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94205" w14:textId="77777777" w:rsidR="00B40AA4" w:rsidRPr="00A21349" w:rsidRDefault="00B40AA4" w:rsidP="00B40AA4">
      <w:pPr>
        <w:pStyle w:val="Heading1"/>
        <w:spacing w:before="0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2E671F">
        <w:rPr>
          <w:noProof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0439E5FA" wp14:editId="3C384A10">
            <wp:simplePos x="0" y="0"/>
            <wp:positionH relativeFrom="column">
              <wp:posOffset>5088255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671F">
        <w:rPr>
          <w:noProof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567E2206" wp14:editId="3FEC34B2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21349">
        <w:rPr>
          <w:rFonts w:ascii="Times New Roman" w:hAnsi="Times New Roman" w:cs="Times New Roman"/>
          <w:color w:val="auto"/>
          <w:sz w:val="26"/>
          <w:szCs w:val="26"/>
        </w:rPr>
        <w:t>Republika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21349">
        <w:rPr>
          <w:rFonts w:ascii="Times New Roman" w:hAnsi="Times New Roman" w:cs="Times New Roman"/>
          <w:color w:val="auto"/>
          <w:sz w:val="26"/>
          <w:szCs w:val="26"/>
        </w:rPr>
        <w:t>e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21349">
        <w:rPr>
          <w:rFonts w:ascii="Times New Roman" w:hAnsi="Times New Roman" w:cs="Times New Roman"/>
          <w:color w:val="auto"/>
          <w:sz w:val="26"/>
          <w:szCs w:val="26"/>
        </w:rPr>
        <w:t>Kosovës-Republic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21349">
        <w:rPr>
          <w:rFonts w:ascii="Times New Roman" w:hAnsi="Times New Roman" w:cs="Times New Roman"/>
          <w:color w:val="auto"/>
          <w:sz w:val="26"/>
          <w:szCs w:val="26"/>
        </w:rPr>
        <w:t>of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21349">
        <w:rPr>
          <w:rFonts w:ascii="Times New Roman" w:hAnsi="Times New Roman" w:cs="Times New Roman"/>
          <w:color w:val="auto"/>
          <w:sz w:val="26"/>
          <w:szCs w:val="26"/>
        </w:rPr>
        <w:t>Kosovo</w:t>
      </w:r>
    </w:p>
    <w:p w14:paraId="2446A112" w14:textId="77777777" w:rsidR="00B40AA4" w:rsidRPr="00A21349" w:rsidRDefault="00B40AA4" w:rsidP="00B40AA4">
      <w:pPr>
        <w:pStyle w:val="Heading1"/>
        <w:tabs>
          <w:tab w:val="left" w:pos="2082"/>
          <w:tab w:val="center" w:pos="3656"/>
        </w:tabs>
        <w:spacing w:before="0"/>
        <w:ind w:left="1360" w:right="2389" w:hanging="1018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</w:t>
      </w:r>
      <w:r w:rsidRPr="00A21349">
        <w:rPr>
          <w:rFonts w:ascii="Times New Roman" w:hAnsi="Times New Roman" w:cs="Times New Roman"/>
          <w:color w:val="auto"/>
          <w:sz w:val="26"/>
          <w:szCs w:val="26"/>
        </w:rPr>
        <w:t>Komuna–Municipality</w:t>
      </w:r>
    </w:p>
    <w:p w14:paraId="449DEE8E" w14:textId="77777777" w:rsidR="00B40AA4" w:rsidRPr="00A21349" w:rsidRDefault="00B40AA4" w:rsidP="00B40A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A21349">
        <w:rPr>
          <w:rFonts w:ascii="Times New Roman" w:hAnsi="Times New Roman" w:cs="Times New Roman"/>
          <w:sz w:val="26"/>
          <w:szCs w:val="26"/>
        </w:rPr>
        <w:t>Hani i Elezit</w:t>
      </w:r>
    </w:p>
    <w:p w14:paraId="79D58E35" w14:textId="5625B24C" w:rsidR="00B40AA4" w:rsidRPr="00E22266" w:rsidRDefault="00B40AA4" w:rsidP="00E22266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US"/>
        </w:rPr>
        <w:t>_____________________________________________________________________________________</w:t>
      </w:r>
      <w:r>
        <w:rPr>
          <w:noProof/>
          <w:lang w:val="en-US"/>
        </w:rPr>
        <w:tab/>
      </w:r>
      <w:r w:rsidRPr="000A7E7A">
        <w:rPr>
          <w:rFonts w:ascii="Times New Roman" w:hAnsi="Times New Roman" w:cs="Times New Roman"/>
          <w:b/>
          <w:sz w:val="24"/>
          <w:szCs w:val="24"/>
          <w:u w:val="single"/>
        </w:rPr>
        <w:t>04/</w:t>
      </w:r>
      <w:r w:rsidR="00E22266">
        <w:rPr>
          <w:rFonts w:ascii="Times New Roman" w:hAnsi="Times New Roman" w:cs="Times New Roman"/>
          <w:b/>
          <w:sz w:val="24"/>
          <w:szCs w:val="24"/>
          <w:u w:val="single"/>
        </w:rPr>
        <w:t>2042/</w:t>
      </w:r>
      <w:r w:rsidR="00251B19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</w:p>
    <w:p w14:paraId="10BD722E" w14:textId="77777777" w:rsidR="00B40AA4" w:rsidRDefault="00B40AA4" w:rsidP="00B40AA4"/>
    <w:p w14:paraId="4ED209FB" w14:textId="77777777" w:rsidR="00B40AA4" w:rsidRDefault="00B40AA4" w:rsidP="00B40AA4">
      <w:pPr>
        <w:jc w:val="center"/>
      </w:pPr>
      <w:r>
        <w:tab/>
      </w:r>
    </w:p>
    <w:p w14:paraId="6AD5AFA8" w14:textId="77777777" w:rsidR="00B40AA4" w:rsidRDefault="00B40AA4" w:rsidP="00B40AA4">
      <w:pPr>
        <w:jc w:val="center"/>
      </w:pPr>
    </w:p>
    <w:p w14:paraId="22C0B931" w14:textId="77777777" w:rsidR="00B40AA4" w:rsidRPr="00A65425" w:rsidRDefault="00B40AA4" w:rsidP="00B40AA4">
      <w:pPr>
        <w:jc w:val="center"/>
        <w:rPr>
          <w:rFonts w:ascii="Times New Roman" w:hAnsi="Times New Roman" w:cs="Times New Roman"/>
          <w:sz w:val="48"/>
          <w:szCs w:val="24"/>
        </w:rPr>
      </w:pPr>
      <w:r w:rsidRPr="00A65425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568D5BB3" w14:textId="77777777" w:rsidR="00B40AA4" w:rsidRDefault="00B40AA4" w:rsidP="00B40AA4">
      <w:pPr>
        <w:rPr>
          <w:rFonts w:ascii="Times New Roman" w:hAnsi="Times New Roman" w:cs="Times New Roman"/>
          <w:sz w:val="72"/>
          <w:szCs w:val="24"/>
        </w:rPr>
      </w:pPr>
    </w:p>
    <w:p w14:paraId="0803C623" w14:textId="77777777" w:rsidR="00B40AA4" w:rsidRDefault="00B40AA4" w:rsidP="00B40AA4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13D4D39B" w14:textId="77777777" w:rsidR="00B40AA4" w:rsidRPr="00A65425" w:rsidRDefault="00B40AA4" w:rsidP="00B40AA4">
      <w:pPr>
        <w:jc w:val="center"/>
        <w:rPr>
          <w:rFonts w:ascii="Times New Roman" w:hAnsi="Times New Roman" w:cs="Times New Roman"/>
          <w:sz w:val="44"/>
          <w:szCs w:val="24"/>
        </w:rPr>
      </w:pPr>
      <w:r w:rsidRPr="00A65425">
        <w:rPr>
          <w:rFonts w:ascii="Times New Roman" w:hAnsi="Times New Roman" w:cs="Times New Roman"/>
          <w:sz w:val="44"/>
          <w:szCs w:val="24"/>
        </w:rPr>
        <w:t>RAPORTI I PUNËS DHE AKTIVITETEVE</w:t>
      </w:r>
      <w:r>
        <w:rPr>
          <w:rFonts w:ascii="Times New Roman" w:hAnsi="Times New Roman" w:cs="Times New Roman"/>
          <w:sz w:val="44"/>
          <w:szCs w:val="24"/>
        </w:rPr>
        <w:t xml:space="preserve"> </w:t>
      </w:r>
      <w:r w:rsidR="00BA16F4">
        <w:rPr>
          <w:rFonts w:ascii="Times New Roman" w:hAnsi="Times New Roman" w:cs="Times New Roman"/>
          <w:sz w:val="44"/>
          <w:szCs w:val="24"/>
        </w:rPr>
        <w:t>PËR PERIUDHËN JANAR-DHJETOR 2025</w:t>
      </w:r>
    </w:p>
    <w:p w14:paraId="66C69F33" w14:textId="77777777" w:rsidR="00B40AA4" w:rsidRDefault="00B40AA4" w:rsidP="00B40AA4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6CD642B6" w14:textId="77777777" w:rsidR="00B40AA4" w:rsidRDefault="00B40AA4" w:rsidP="00B40AA4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72CA427D" w14:textId="77777777" w:rsidR="00B40AA4" w:rsidRDefault="00B40AA4" w:rsidP="00B40AA4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5465B7B6" w14:textId="77777777" w:rsidR="00B40AA4" w:rsidRDefault="00B40AA4" w:rsidP="00B40AA4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5D459629" w14:textId="77777777" w:rsidR="00B40AA4" w:rsidRDefault="00B40AA4" w:rsidP="00B40AA4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19E82F4" w14:textId="77777777" w:rsidR="00B40AA4" w:rsidRDefault="00B40AA4" w:rsidP="00B40AA4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49129F3C" w14:textId="77777777" w:rsidR="00B40AA4" w:rsidRDefault="00251B19" w:rsidP="00B40AA4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Hani i Elezit, 2026</w:t>
      </w:r>
    </w:p>
    <w:p w14:paraId="6A739D68" w14:textId="77777777" w:rsidR="00B40AA4" w:rsidRPr="00FE1103" w:rsidRDefault="00B40AA4" w:rsidP="00B40AA4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FE1103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>DREJTORIA PËR BUXHE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t xml:space="preserve">T DHE FINANCA </w:t>
      </w:r>
    </w:p>
    <w:p w14:paraId="706A8C19" w14:textId="77777777" w:rsidR="00B40AA4" w:rsidRDefault="00B40AA4" w:rsidP="00B40AA4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8D9BCF" w14:textId="77777777" w:rsidR="00B40AA4" w:rsidRPr="00FE1103" w:rsidRDefault="00B40AA4" w:rsidP="00B40AA4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Drejtoria për Buxhet dhe Financa pë</w:t>
      </w:r>
      <w:r w:rsidR="00BA16F4">
        <w:rPr>
          <w:rFonts w:ascii="Times New Roman" w:eastAsia="Calibri" w:hAnsi="Times New Roman" w:cs="Times New Roman"/>
          <w:color w:val="000000"/>
          <w:sz w:val="24"/>
          <w:szCs w:val="24"/>
        </w:rPr>
        <w:t>r vitin 2025</w:t>
      </w: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ë</w:t>
      </w: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qeverisjen lokale, Ligjin mbi tatimin në pronën e paluajtshme, Rregulloret dhe udhëzimet administrative nga Ministria e Financave, Punës dhe Transfereve (MFPT).</w:t>
      </w:r>
    </w:p>
    <w:p w14:paraId="4D9F306F" w14:textId="77777777" w:rsidR="00B40AA4" w:rsidRPr="00FE1103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cave dhe përgjegjësive, ka funksionuar kryesisht në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katër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4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>) sektorë:</w:t>
      </w:r>
    </w:p>
    <w:p w14:paraId="6F12032A" w14:textId="77777777" w:rsidR="00B40AA4" w:rsidRDefault="00B40AA4" w:rsidP="00B40AA4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2110513B" w14:textId="77777777" w:rsidR="00B40AA4" w:rsidRPr="00FE1103" w:rsidRDefault="00B40AA4" w:rsidP="00B40AA4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0A08F85D" w14:textId="77777777" w:rsidR="00B40AA4" w:rsidRPr="00FE1103" w:rsidRDefault="00B40AA4" w:rsidP="00B40AA4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dhe</w:t>
      </w:r>
    </w:p>
    <w:p w14:paraId="152CB68B" w14:textId="77777777" w:rsidR="00B40AA4" w:rsidRPr="00FE1103" w:rsidRDefault="00B40AA4" w:rsidP="00B40AA4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F63B328" w14:textId="77777777" w:rsidR="00B40AA4" w:rsidRPr="00FE1103" w:rsidRDefault="00B40AA4" w:rsidP="00B40AA4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DCFC5E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Drejtoria për Buxhet dhe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Financa e menaxhuar nga drejtoresha e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dr</w:t>
      </w:r>
      <w:r w:rsidR="00BA16F4">
        <w:rPr>
          <w:rFonts w:ascii="Times New Roman" w:eastAsia="MS Mincho" w:hAnsi="Times New Roman" w:cs="Times New Roman"/>
          <w:color w:val="000000"/>
          <w:sz w:val="24"/>
          <w:szCs w:val="24"/>
        </w:rPr>
        <w:t>ejtorisë dhe me një staf prej (6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zyrtarëve, gjatë vitit 202</w:t>
      </w:r>
      <w:r w:rsidR="00BA16F4">
        <w:rPr>
          <w:rFonts w:ascii="Times New Roman" w:eastAsia="MS Mincho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>kishte një angazhim permanent, me një përkushtim të madh në drejtim të realizimit sa më të suksesshëm të të gjitha objektiva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ve dhe detyrave të parashikuara në planin e punës së drejtorisë. 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Aktiviteti i drejtorisë ka qenë i përqëndruar në realizimin e buxhetit sipas dinamikës së planifikuar dhe menaxhimin sa më efikas të buxhetit. </w:t>
      </w:r>
    </w:p>
    <w:p w14:paraId="5ECA7F48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981E4E5" w14:textId="77777777" w:rsidR="00BA16F4" w:rsidRPr="00B3474B" w:rsidRDefault="00BA16F4" w:rsidP="00BA16F4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Buxheti i komunës së Hanit të Elezit i ndarë sipas Ligjit me </w:t>
      </w:r>
      <w:hyperlink r:id="rId7" w:history="1">
        <w:r w:rsidRPr="00B3474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NR. 08/L-332 MBI NDARJET BUXHETORE PËR BUXHETIN E REPUBLIKЁS SЁ KOSOVЁS PЁR VITIN 2025</w:t>
        </w:r>
      </w:hyperlink>
      <w:r w:rsidRPr="00B3474B">
        <w:rPr>
          <w:rFonts w:ascii="Times New Roman" w:hAnsi="Times New Roman" w:cs="Times New Roman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është në lartësi prej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</w:t>
      </w:r>
      <w:r w:rsidRPr="00B3474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.00 Euro.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</w:p>
    <w:p w14:paraId="2736E2B6" w14:textId="77777777" w:rsidR="00BA16F4" w:rsidRPr="00B3474B" w:rsidRDefault="00BA16F4" w:rsidP="00BA16F4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A41876" w14:textId="77777777" w:rsidR="00BA16F4" w:rsidRPr="00B3474B" w:rsidRDefault="00BA16F4" w:rsidP="00BA16F4">
      <w:pPr>
        <w:pStyle w:val="BodyText"/>
        <w:spacing w:line="360" w:lineRule="auto"/>
        <w:ind w:left="342"/>
      </w:pPr>
      <w:r w:rsidRPr="00B3474B">
        <w:t>Ky buxhet është ndarë sipas kategorive ekonomike si në vijim:</w:t>
      </w:r>
    </w:p>
    <w:p w14:paraId="554B577C" w14:textId="77777777" w:rsidR="00BA16F4" w:rsidRPr="00B3474B" w:rsidRDefault="00BA16F4" w:rsidP="00BA16F4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48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Paga dhe shtesa................. 2,188,542.00 €,</w:t>
      </w:r>
    </w:p>
    <w:p w14:paraId="46680A2F" w14:textId="77777777" w:rsidR="00BA16F4" w:rsidRPr="00B3474B" w:rsidRDefault="00BA16F4" w:rsidP="00BA16F4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10"/>
        </w:tabs>
        <w:autoSpaceDE w:val="0"/>
        <w:autoSpaceDN w:val="0"/>
        <w:spacing w:before="3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Mallra dhe shërbime............. 584,500.00 €,</w:t>
      </w:r>
    </w:p>
    <w:p w14:paraId="205B9A9F" w14:textId="77777777" w:rsidR="00BA16F4" w:rsidRPr="00B3474B" w:rsidRDefault="00BA16F4" w:rsidP="00BA16F4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6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Shpenzimet komunale</w:t>
      </w:r>
      <w:r w:rsidRPr="00B3474B">
        <w:rPr>
          <w:rFonts w:ascii="Times New Roman" w:hAnsi="Times New Roman" w:cs="Times New Roman"/>
          <w:sz w:val="24"/>
          <w:szCs w:val="24"/>
        </w:rPr>
        <w:tab/>
        <w:t>..94,000.00 €,</w:t>
      </w:r>
    </w:p>
    <w:p w14:paraId="75478EAA" w14:textId="77777777" w:rsidR="00BA16F4" w:rsidRPr="00B3474B" w:rsidRDefault="00BA16F4" w:rsidP="00BA16F4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48"/>
        </w:tabs>
        <w:autoSpaceDE w:val="0"/>
        <w:autoSpaceDN w:val="0"/>
        <w:spacing w:before="2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Subvencione dhe transfere</w:t>
      </w:r>
      <w:r w:rsidRPr="00B3474B">
        <w:rPr>
          <w:rFonts w:ascii="Times New Roman" w:hAnsi="Times New Roman" w:cs="Times New Roman"/>
          <w:sz w:val="24"/>
          <w:szCs w:val="24"/>
        </w:rPr>
        <w:tab/>
        <w:t>143,000.00 €,</w:t>
      </w:r>
    </w:p>
    <w:p w14:paraId="553905D8" w14:textId="77777777" w:rsidR="00BA16F4" w:rsidRPr="00B3474B" w:rsidRDefault="00BA16F4" w:rsidP="00BA16F4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29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 kapitale</w:t>
      </w:r>
      <w:r w:rsidRPr="00B3474B">
        <w:rPr>
          <w:rFonts w:ascii="Times New Roman" w:hAnsi="Times New Roman" w:cs="Times New Roman"/>
          <w:sz w:val="24"/>
          <w:szCs w:val="24"/>
        </w:rPr>
        <w:tab/>
        <w:t>.. 605,415.00 €,</w:t>
      </w:r>
    </w:p>
    <w:p w14:paraId="07A21380" w14:textId="77777777" w:rsidR="00BA16F4" w:rsidRPr="00B3474B" w:rsidRDefault="00BA16F4" w:rsidP="00BA16F4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571"/>
        </w:tabs>
        <w:autoSpaceDE w:val="0"/>
        <w:autoSpaceDN w:val="0"/>
        <w:spacing w:before="6" w:after="0" w:line="360" w:lineRule="auto"/>
        <w:ind w:hanging="361"/>
        <w:contextualSpacing w:val="0"/>
        <w:rPr>
          <w:rFonts w:ascii="Times New Roman" w:hAnsi="Times New Roman" w:cs="Times New Roman"/>
          <w:sz w:val="16"/>
        </w:rPr>
      </w:pPr>
      <w:r w:rsidRPr="00B3474B">
        <w:rPr>
          <w:rFonts w:ascii="Times New Roman" w:hAnsi="Times New Roman" w:cs="Times New Roman"/>
          <w:sz w:val="24"/>
          <w:u w:val="single"/>
        </w:rPr>
        <w:t>Totali i buxhetit</w:t>
      </w:r>
      <w:r w:rsidRPr="00B3474B">
        <w:rPr>
          <w:rFonts w:ascii="Times New Roman" w:hAnsi="Times New Roman" w:cs="Times New Roman"/>
          <w:sz w:val="24"/>
        </w:rPr>
        <w:t>..................</w:t>
      </w:r>
      <w:r w:rsidRPr="00B3474B">
        <w:rPr>
          <w:rFonts w:ascii="Times New Roman" w:hAnsi="Times New Roman" w:cs="Times New Roman"/>
        </w:rPr>
        <w:t xml:space="preserve">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3,615,457.00</w:t>
      </w:r>
      <w:r w:rsidRPr="00B3474B">
        <w:rPr>
          <w:rFonts w:ascii="Times New Roman" w:hAnsi="Times New Roman" w:cs="Times New Roman"/>
          <w:b/>
          <w:bCs/>
          <w:sz w:val="24"/>
          <w:u w:val="single"/>
        </w:rPr>
        <w:t xml:space="preserve"> €.</w:t>
      </w:r>
    </w:p>
    <w:p w14:paraId="6FD2DBC8" w14:textId="77777777" w:rsidR="00BA16F4" w:rsidRPr="00B3474B" w:rsidRDefault="00BA16F4" w:rsidP="00BA16F4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7467009" w14:textId="77777777" w:rsidR="00B40AA4" w:rsidRPr="00FE1103" w:rsidRDefault="00B40AA4" w:rsidP="00B40AA4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444BDCC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C31FB3F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4808C4F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293862B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08F06CC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Punët dhe aktivitetet të cilat janë zhvilluar gjatë </w:t>
      </w:r>
      <w:r w:rsidR="00013F39">
        <w:rPr>
          <w:rFonts w:ascii="Times New Roman" w:eastAsia="MS Mincho" w:hAnsi="Times New Roman" w:cs="Times New Roman"/>
          <w:color w:val="000000"/>
          <w:sz w:val="24"/>
          <w:szCs w:val="24"/>
        </w:rPr>
        <w:t>periudhës janar</w:t>
      </w:r>
      <w:r w:rsidR="00BA16F4">
        <w:rPr>
          <w:rFonts w:ascii="Times New Roman" w:eastAsia="MS Mincho" w:hAnsi="Times New Roman" w:cs="Times New Roman"/>
          <w:color w:val="000000"/>
          <w:sz w:val="24"/>
          <w:szCs w:val="24"/>
        </w:rPr>
        <w:t>-dhjetor 2025</w:t>
      </w:r>
      <w:r>
        <w:rPr>
          <w:rFonts w:ascii="Times New Roman" w:eastAsia="MS Mincho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mund t’i veçojmë këto:</w:t>
      </w:r>
    </w:p>
    <w:p w14:paraId="7A049E84" w14:textId="77777777" w:rsidR="00B40AA4" w:rsidRDefault="00B40AA4" w:rsidP="00B40AA4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E422910" w14:textId="77777777" w:rsidR="00B40AA4" w:rsidRDefault="00B40AA4" w:rsidP="00B40AA4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FE1103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6B2E0F12" w14:textId="77777777" w:rsidR="001360ED" w:rsidRPr="00445B17" w:rsidRDefault="001360ED" w:rsidP="001360ED">
      <w:pPr>
        <w:pStyle w:val="ListParagraph"/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B17">
        <w:rPr>
          <w:rFonts w:ascii="Times New Roman" w:eastAsia="Calibri" w:hAnsi="Times New Roman" w:cs="Times New Roman"/>
          <w:color w:val="000000"/>
          <w:sz w:val="24"/>
          <w:szCs w:val="24"/>
        </w:rPr>
        <w:t>Përgatitja e raporteve mujore të të hyrave dhe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D25AD">
        <w:rPr>
          <w:rFonts w:ascii="Times New Roman" w:eastAsia="Calibri" w:hAnsi="Times New Roman" w:cs="Times New Roman"/>
          <w:color w:val="000000"/>
          <w:sz w:val="24"/>
          <w:szCs w:val="24"/>
        </w:rPr>
        <w:t>shpenzimeve mujore janar-nëntor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Pr="00445B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dhe publikimi në ueb faqen e Komunës,</w:t>
      </w:r>
    </w:p>
    <w:p w14:paraId="61051195" w14:textId="77777777" w:rsidR="001360ED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Përgatitja e raporteve mujore të punës dhe aktiviteteve të Drejtorisë Buxhet dhe Financa 2025 dhe dorëzimi i tyre në Kabinetin e Kryetarit si dhe publikimi në ueb faqen e Komunës në formatin PDF dhe Word,</w:t>
      </w:r>
    </w:p>
    <w:p w14:paraId="1A807EA3" w14:textId="77777777" w:rsidR="001360ED" w:rsidRPr="00B73E36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73E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ato kontraktuale janar-nëntor 2025</w:t>
      </w:r>
      <w:r w:rsidRPr="00B73E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4E86F035" w14:textId="77777777" w:rsidR="001360ED" w:rsidRPr="00B73E36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73E36">
        <w:rPr>
          <w:rFonts w:ascii="Times New Roman" w:eastAsia="Calibri" w:hAnsi="Times New Roman" w:cs="Times New Roman"/>
          <w:color w:val="000000"/>
          <w:sz w:val="24"/>
          <w:szCs w:val="24"/>
        </w:rPr>
        <w:t>Bara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zimi me Thesar periudha janar-nëntor 2025</w:t>
      </w:r>
      <w:r w:rsidRPr="00B73E3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29B9F58D" w14:textId="77777777" w:rsidR="001360ED" w:rsidRPr="00892366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borxhit publik për çdo muaj në ueb faqe të Komunës,</w:t>
      </w:r>
      <w:r w:rsidRPr="002C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DE2F6" w14:textId="77777777" w:rsidR="001360ED" w:rsidRPr="00580115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Mbajtja e takimit me grupin punues për hartimin e KAB-it 2026-2028,</w:t>
      </w:r>
    </w:p>
    <w:p w14:paraId="55C8CECF" w14:textId="77777777" w:rsidR="001360ED" w:rsidRPr="00FF6871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Hartimi i KAB-it 2026-2028 dhe dorëzimi në KPF dhe Kuvend Komunal,</w:t>
      </w:r>
    </w:p>
    <w:p w14:paraId="13B2B411" w14:textId="77777777" w:rsidR="001360ED" w:rsidRPr="00FF6871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Mbajtja e 3 dëgjimeve buxhetore për KAB 2026-2028, </w:t>
      </w:r>
    </w:p>
    <w:p w14:paraId="49B2B3FC" w14:textId="77777777" w:rsidR="001360ED" w:rsidRPr="00FF6871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Miratimi i KAB-it 2026-2028 në Kuvend Komunal, </w:t>
      </w:r>
    </w:p>
    <w:p w14:paraId="67AFB325" w14:textId="77777777" w:rsidR="001360ED" w:rsidRPr="00580115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Publikimi i procesverbaleve dhe listës së pjesëmarrësve në ueb faqen e Komunës, </w:t>
      </w:r>
    </w:p>
    <w:p w14:paraId="5A788228" w14:textId="77777777" w:rsidR="001360ED" w:rsidRPr="00580115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Pranimi i Raportit të Auditimit të PVF 2024 nga Zyra Kombëtare e Auditimit, </w:t>
      </w:r>
    </w:p>
    <w:p w14:paraId="5C263210" w14:textId="77777777" w:rsidR="001360ED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Dorëzimi i Kornizës Afatmesme Buxhetore 2026-2028 në Departamentin e Buxhetit – MFPT,</w:t>
      </w:r>
    </w:p>
    <w:p w14:paraId="405B817B" w14:textId="77777777" w:rsidR="001360ED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Raportit Financiar Janar-Qershor 2025, </w:t>
      </w:r>
    </w:p>
    <w:p w14:paraId="11831438" w14:textId="77777777" w:rsidR="001360ED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Publikimi i Raportit Financiar Janar-Qershor 2025 në ueb faqen e Komunës në tre formate: Word, PDF dhe Excel,</w:t>
      </w:r>
    </w:p>
    <w:p w14:paraId="6CAB5539" w14:textId="77777777" w:rsidR="001360ED" w:rsidRPr="002B073E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Është diskutuar në Kuvend Komunal Raporti i </w:t>
      </w:r>
      <w:r>
        <w:rPr>
          <w:rFonts w:ascii="Times New Roman" w:hAnsi="Times New Roman" w:cs="Times New Roman"/>
          <w:sz w:val="24"/>
          <w:szCs w:val="24"/>
        </w:rPr>
        <w:t xml:space="preserve">Auditimit të PVF 2024 nga Zyra Kombëtare e Auditimit, </w:t>
      </w:r>
    </w:p>
    <w:p w14:paraId="03F16458" w14:textId="77777777" w:rsidR="001360ED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hartuar Plani i Veprimit për adresimin e rekomandimeve të ZKA për vitin 2024,</w:t>
      </w:r>
    </w:p>
    <w:p w14:paraId="5EA34887" w14:textId="77777777" w:rsidR="001360ED" w:rsidRPr="00B47EA1" w:rsidRDefault="001360ED" w:rsidP="00B47EA1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Publikimi i </w:t>
      </w:r>
      <w:r>
        <w:rPr>
          <w:rFonts w:ascii="Times New Roman" w:hAnsi="Times New Roman" w:cs="Times New Roman"/>
          <w:sz w:val="24"/>
          <w:szCs w:val="24"/>
        </w:rPr>
        <w:t>KAB-it 2026-2028</w:t>
      </w:r>
      <w:r w:rsidRPr="00B47EA1">
        <w:rPr>
          <w:rFonts w:ascii="Times New Roman" w:hAnsi="Times New Roman" w:cs="Times New Roman"/>
          <w:sz w:val="24"/>
          <w:szCs w:val="24"/>
        </w:rPr>
        <w:t xml:space="preserve"> në ueb faqen e Komunës, </w:t>
      </w:r>
    </w:p>
    <w:p w14:paraId="3922449A" w14:textId="77777777" w:rsidR="001360ED" w:rsidRPr="002B073E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Publikimi 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Raporti i </w:t>
      </w:r>
      <w:r>
        <w:rPr>
          <w:rFonts w:ascii="Times New Roman" w:hAnsi="Times New Roman" w:cs="Times New Roman"/>
          <w:sz w:val="24"/>
          <w:szCs w:val="24"/>
        </w:rPr>
        <w:t>Auditimit të PVF 202</w:t>
      </w:r>
      <w:r w:rsidR="00B47E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nga Zyra Kombëtare e Auditimit në ueb faqen e Komunës, </w:t>
      </w:r>
    </w:p>
    <w:p w14:paraId="72AE8E73" w14:textId="77777777" w:rsidR="001360ED" w:rsidRPr="00ED420A" w:rsidRDefault="00752111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Pranimi i Qarkoreve</w:t>
      </w:r>
      <w:r w:rsidR="001360ED">
        <w:rPr>
          <w:rFonts w:ascii="Times New Roman" w:hAnsi="Times New Roman" w:cs="Times New Roman"/>
          <w:sz w:val="24"/>
          <w:szCs w:val="24"/>
        </w:rPr>
        <w:t xml:space="preserve"> Buxhetore 202</w:t>
      </w:r>
      <w:r w:rsidR="00676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/01 dhe 2026/02</w:t>
      </w:r>
      <w:r w:rsidR="001360ED">
        <w:rPr>
          <w:rFonts w:ascii="Times New Roman" w:hAnsi="Times New Roman" w:cs="Times New Roman"/>
          <w:sz w:val="24"/>
          <w:szCs w:val="24"/>
        </w:rPr>
        <w:t xml:space="preserve"> nga Departamenti i Buxhetit – MFPT,</w:t>
      </w:r>
    </w:p>
    <w:p w14:paraId="2D9BCF0F" w14:textId="77777777" w:rsidR="001360ED" w:rsidRPr="00544CF1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Draft Buxhetit të vitit </w:t>
      </w:r>
      <w:r w:rsidR="00676B92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dhe paras</w:t>
      </w:r>
      <w:r w:rsidR="00676B92">
        <w:rPr>
          <w:rFonts w:ascii="Times New Roman" w:hAnsi="Times New Roman" w:cs="Times New Roman"/>
          <w:sz w:val="24"/>
          <w:szCs w:val="24"/>
        </w:rPr>
        <w:t>hikimet buxhetore për vitet 2027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76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6340E6" w14:textId="77777777" w:rsidR="001360ED" w:rsidRPr="00445B17" w:rsidRDefault="00676B92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Mbajtja e 11</w:t>
      </w:r>
      <w:r w:rsidR="001360ED">
        <w:rPr>
          <w:rFonts w:ascii="Times New Roman" w:hAnsi="Times New Roman" w:cs="Times New Roman"/>
          <w:sz w:val="24"/>
          <w:szCs w:val="24"/>
        </w:rPr>
        <w:t xml:space="preserve"> dëgjimeve buxhetore</w:t>
      </w:r>
      <w:r>
        <w:rPr>
          <w:rFonts w:ascii="Times New Roman" w:hAnsi="Times New Roman" w:cs="Times New Roman"/>
          <w:sz w:val="24"/>
          <w:szCs w:val="24"/>
        </w:rPr>
        <w:t xml:space="preserve"> për Draft Buxhetin e vitit 2026</w:t>
      </w:r>
      <w:r w:rsidR="001360ED">
        <w:rPr>
          <w:rFonts w:ascii="Times New Roman" w:hAnsi="Times New Roman" w:cs="Times New Roman"/>
          <w:sz w:val="24"/>
          <w:szCs w:val="24"/>
        </w:rPr>
        <w:t xml:space="preserve"> dhe paras</w:t>
      </w:r>
      <w:r>
        <w:rPr>
          <w:rFonts w:ascii="Times New Roman" w:hAnsi="Times New Roman" w:cs="Times New Roman"/>
          <w:sz w:val="24"/>
          <w:szCs w:val="24"/>
        </w:rPr>
        <w:t>hikimet buxhetore për vitet 2027-2028</w:t>
      </w:r>
      <w:r w:rsidR="001360ED">
        <w:rPr>
          <w:rFonts w:ascii="Times New Roman" w:hAnsi="Times New Roman" w:cs="Times New Roman"/>
          <w:sz w:val="24"/>
          <w:szCs w:val="24"/>
        </w:rPr>
        <w:t>,</w:t>
      </w:r>
    </w:p>
    <w:p w14:paraId="73BD9836" w14:textId="77777777" w:rsidR="001360ED" w:rsidRPr="00903DA3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Hartimi i Raportit të Dëgjimeve Bux</w:t>
      </w:r>
      <w:r w:rsidR="00676B92">
        <w:rPr>
          <w:rFonts w:ascii="Times New Roman" w:hAnsi="Times New Roman" w:cs="Times New Roman"/>
          <w:sz w:val="24"/>
          <w:szCs w:val="24"/>
        </w:rPr>
        <w:t>hetore për Buxhetin e vitit 2026</w:t>
      </w:r>
      <w:r>
        <w:rPr>
          <w:rFonts w:ascii="Times New Roman" w:hAnsi="Times New Roman" w:cs="Times New Roman"/>
          <w:sz w:val="24"/>
          <w:szCs w:val="24"/>
        </w:rPr>
        <w:t xml:space="preserve"> dhe paras</w:t>
      </w:r>
      <w:r w:rsidR="00676B92">
        <w:rPr>
          <w:rFonts w:ascii="Times New Roman" w:hAnsi="Times New Roman" w:cs="Times New Roman"/>
          <w:sz w:val="24"/>
          <w:szCs w:val="24"/>
        </w:rPr>
        <w:t>hikimet buxhetore për vitet 2027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76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853598" w14:textId="77777777" w:rsidR="001360ED" w:rsidRPr="00903DA3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Publikimi i Raportit të Dëgjimeve Buxhetore për Buxhetin e </w:t>
      </w:r>
      <w:r w:rsidR="00676B92">
        <w:rPr>
          <w:rFonts w:ascii="Times New Roman" w:hAnsi="Times New Roman" w:cs="Times New Roman"/>
          <w:sz w:val="24"/>
          <w:szCs w:val="24"/>
        </w:rPr>
        <w:t>vitit 2026</w:t>
      </w:r>
      <w:r>
        <w:rPr>
          <w:rFonts w:ascii="Times New Roman" w:hAnsi="Times New Roman" w:cs="Times New Roman"/>
          <w:sz w:val="24"/>
          <w:szCs w:val="24"/>
        </w:rPr>
        <w:t xml:space="preserve"> dhe parashikimet buxhetore për vitet 202</w:t>
      </w:r>
      <w:r w:rsidR="00676B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76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65EA4D" w14:textId="77777777" w:rsidR="001360ED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Dorëzimi i Raportit të Monitorimit të Investimeve Kapitale sipas Periudhave (Q1, Q2 dhe Q3) në Departamentin e Buxhetit – MFPT,</w:t>
      </w:r>
    </w:p>
    <w:p w14:paraId="70DA5CE4" w14:textId="77777777" w:rsidR="001360ED" w:rsidRPr="00637556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Miratimi i </w:t>
      </w:r>
      <w:r w:rsidR="00676B92">
        <w:rPr>
          <w:rFonts w:ascii="Times New Roman" w:hAnsi="Times New Roman" w:cs="Times New Roman"/>
          <w:sz w:val="24"/>
          <w:szCs w:val="24"/>
        </w:rPr>
        <w:t>Buxhetin e vitit 2026</w:t>
      </w:r>
      <w:r>
        <w:rPr>
          <w:rFonts w:ascii="Times New Roman" w:hAnsi="Times New Roman" w:cs="Times New Roman"/>
          <w:sz w:val="24"/>
          <w:szCs w:val="24"/>
        </w:rPr>
        <w:t xml:space="preserve"> dhe parashikimet buxhetore për vitet</w:t>
      </w:r>
      <w:r w:rsidR="00676B92">
        <w:rPr>
          <w:rFonts w:ascii="Times New Roman" w:hAnsi="Times New Roman" w:cs="Times New Roman"/>
          <w:sz w:val="24"/>
          <w:szCs w:val="24"/>
        </w:rPr>
        <w:t xml:space="preserve"> 2027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76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në Kuvend Komunal, </w:t>
      </w:r>
    </w:p>
    <w:p w14:paraId="042A9DA1" w14:textId="77777777" w:rsidR="001360ED" w:rsidRPr="00676B92" w:rsidRDefault="001360ED" w:rsidP="00676B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Dorëzimi i Buxhetit të vitit 202</w:t>
      </w:r>
      <w:r w:rsidR="00676B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dhe paras</w:t>
      </w:r>
      <w:r w:rsidR="00676B92">
        <w:rPr>
          <w:rFonts w:ascii="Times New Roman" w:hAnsi="Times New Roman" w:cs="Times New Roman"/>
          <w:sz w:val="24"/>
          <w:szCs w:val="24"/>
        </w:rPr>
        <w:t>hikimet buxhetore për vitet 2027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76B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në Departamentin e Buxhetit – MFPT, </w:t>
      </w:r>
      <w:r w:rsidRPr="00676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DD445" w14:textId="77777777" w:rsidR="001360ED" w:rsidRPr="00637556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Rialokimi i mjeteve buxhetore në kuadër të kategorisë buxhetore Investime Kapitale,</w:t>
      </w:r>
    </w:p>
    <w:p w14:paraId="4BF55067" w14:textId="77777777" w:rsidR="001360ED" w:rsidRPr="000B702E" w:rsidRDefault="001360ED" w:rsidP="001360E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0B702E">
        <w:rPr>
          <w:rFonts w:ascii="Times New Roman" w:hAnsi="Times New Roman" w:cs="Times New Roman"/>
          <w:sz w:val="24"/>
          <w:szCs w:val="24"/>
        </w:rPr>
        <w:t xml:space="preserve"> </w:t>
      </w:r>
      <w:r w:rsidRPr="000B7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B702E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0B702E">
        <w:rPr>
          <w:rFonts w:ascii="Times New Roman" w:eastAsia="Calibri" w:hAnsi="Times New Roman" w:cs="Times New Roman"/>
          <w:color w:val="000000"/>
        </w:rPr>
        <w:t>.</w:t>
      </w:r>
    </w:p>
    <w:p w14:paraId="1D1A6AA5" w14:textId="77777777" w:rsidR="001360ED" w:rsidRDefault="001360ED" w:rsidP="001360ED"/>
    <w:p w14:paraId="1979ECA6" w14:textId="77777777" w:rsidR="001360ED" w:rsidRDefault="001360ED" w:rsidP="001360ED"/>
    <w:p w14:paraId="75785253" w14:textId="77777777" w:rsidR="001360ED" w:rsidRDefault="001360ED" w:rsidP="001360ED">
      <w:pPr>
        <w:pStyle w:val="ListParagraph"/>
        <w:tabs>
          <w:tab w:val="left" w:pos="540"/>
          <w:tab w:val="left" w:pos="1080"/>
        </w:tabs>
        <w:spacing w:after="0" w:line="360" w:lineRule="auto"/>
        <w:ind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73E3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PERIUDHËN JANAR - DHJET</w:t>
      </w:r>
      <w:r w:rsidR="00676B9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OR 2025</w:t>
      </w: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2440"/>
        <w:gridCol w:w="1371"/>
        <w:gridCol w:w="1460"/>
        <w:gridCol w:w="1371"/>
        <w:gridCol w:w="1005"/>
      </w:tblGrid>
      <w:tr w:rsidR="00FC5265" w:rsidRPr="00FC5265" w14:paraId="6D9BABF5" w14:textId="77777777" w:rsidTr="00FC5265">
        <w:trPr>
          <w:trHeight w:val="828"/>
          <w:jc w:val="center"/>
        </w:trPr>
        <w:tc>
          <w:tcPr>
            <w:tcW w:w="24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23FB38EF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Kategoritë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buxhetore</w:t>
            </w:r>
            <w:proofErr w:type="spellEnd"/>
          </w:p>
        </w:tc>
        <w:tc>
          <w:tcPr>
            <w:tcW w:w="12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77C3E92F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Buxheti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2025</w:t>
            </w:r>
          </w:p>
        </w:tc>
        <w:tc>
          <w:tcPr>
            <w:tcW w:w="1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31D5B167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Buxheti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përfundimtar</w:t>
            </w:r>
            <w:proofErr w:type="spellEnd"/>
          </w:p>
        </w:tc>
        <w:tc>
          <w:tcPr>
            <w:tcW w:w="12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6E0383AC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Realizimi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Janar-Dhjetor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2025</w:t>
            </w:r>
          </w:p>
        </w:tc>
        <w:tc>
          <w:tcPr>
            <w:tcW w:w="9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17DF53B9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%</w:t>
            </w:r>
          </w:p>
        </w:tc>
      </w:tr>
      <w:tr w:rsidR="00FC5265" w:rsidRPr="00FC5265" w14:paraId="25FF58E7" w14:textId="77777777" w:rsidTr="00FC5265">
        <w:trPr>
          <w:trHeight w:val="288"/>
          <w:jc w:val="center"/>
        </w:trPr>
        <w:tc>
          <w:tcPr>
            <w:tcW w:w="244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0820C859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Paga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dhe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shtesa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bottom"/>
            <w:hideMark/>
          </w:tcPr>
          <w:p w14:paraId="6CB2B900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2,188,542.00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1F701775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2,333,505.44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2A40B10E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2,333,505.44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0ED53FDA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100.00%</w:t>
            </w:r>
          </w:p>
        </w:tc>
      </w:tr>
      <w:tr w:rsidR="00FC5265" w:rsidRPr="00FC5265" w14:paraId="040B5A3A" w14:textId="77777777" w:rsidTr="00FC5265">
        <w:trPr>
          <w:trHeight w:val="288"/>
          <w:jc w:val="center"/>
        </w:trPr>
        <w:tc>
          <w:tcPr>
            <w:tcW w:w="244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50024D11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Mallra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dhe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shërbime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bottom"/>
            <w:hideMark/>
          </w:tcPr>
          <w:p w14:paraId="03535308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584,500.00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2EA502D2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1,048,306.44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0B69EC84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885,908.70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79A32D3C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84.51%</w:t>
            </w:r>
          </w:p>
        </w:tc>
      </w:tr>
      <w:tr w:rsidR="00FC5265" w:rsidRPr="00FC5265" w14:paraId="37E753B4" w14:textId="77777777" w:rsidTr="00FC5265">
        <w:trPr>
          <w:trHeight w:val="288"/>
          <w:jc w:val="center"/>
        </w:trPr>
        <w:tc>
          <w:tcPr>
            <w:tcW w:w="244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42910743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Shpenzime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komunale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bottom"/>
            <w:hideMark/>
          </w:tcPr>
          <w:p w14:paraId="50D064EA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94,000.00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65BC3B19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114,000.00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013422F9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111,622.88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482E6BB8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97.91%</w:t>
            </w:r>
          </w:p>
        </w:tc>
      </w:tr>
      <w:tr w:rsidR="00FC5265" w:rsidRPr="00FC5265" w14:paraId="0B9FC96C" w14:textId="77777777" w:rsidTr="00FC5265">
        <w:trPr>
          <w:trHeight w:val="288"/>
          <w:jc w:val="center"/>
        </w:trPr>
        <w:tc>
          <w:tcPr>
            <w:tcW w:w="244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4082E7DF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Subvencione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dhe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trans.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79063ACA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143,000.00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7F0A3CFB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193,520.00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46D27513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193,519.48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12E2388A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100.00%</w:t>
            </w:r>
          </w:p>
        </w:tc>
      </w:tr>
      <w:tr w:rsidR="00FC5265" w:rsidRPr="00FC5265" w14:paraId="45614925" w14:textId="77777777" w:rsidTr="00FC5265">
        <w:trPr>
          <w:trHeight w:val="288"/>
          <w:jc w:val="center"/>
        </w:trPr>
        <w:tc>
          <w:tcPr>
            <w:tcW w:w="244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0BFEEC0F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Investime</w:t>
            </w:r>
            <w:proofErr w:type="spellEnd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 xml:space="preserve"> </w:t>
            </w:r>
            <w:proofErr w:type="spellStart"/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Kapitale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bottom"/>
            <w:hideMark/>
          </w:tcPr>
          <w:p w14:paraId="4DB2BB4A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605,415.00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5CC7D66E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1,295,254.03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797A1DE9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838,345.28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5CDA7FAF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color w:val="3F3F3F"/>
                <w:lang w:val="en-US"/>
              </w:rPr>
              <w:t>64.72%</w:t>
            </w:r>
          </w:p>
        </w:tc>
      </w:tr>
      <w:tr w:rsidR="00FC5265" w:rsidRPr="00FC5265" w14:paraId="3A69F2FE" w14:textId="77777777" w:rsidTr="00FC5265">
        <w:trPr>
          <w:trHeight w:val="288"/>
          <w:jc w:val="center"/>
        </w:trPr>
        <w:tc>
          <w:tcPr>
            <w:tcW w:w="244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403FF1D9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702DF0C3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  <w:t>3,615,457.00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2D7A6E5D" w14:textId="77777777" w:rsidR="00FC5265" w:rsidRPr="00FC5265" w:rsidRDefault="00FC5265" w:rsidP="00FC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  <w:t>4,984,585.91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4CE8B3A3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  <w:t>4,362,901.78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1640437E" w14:textId="77777777" w:rsidR="00FC5265" w:rsidRPr="00FC5265" w:rsidRDefault="00FC5265" w:rsidP="00F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</w:pPr>
            <w:r w:rsidRPr="00FC5265">
              <w:rPr>
                <w:rFonts w:ascii="Times New Roman" w:eastAsia="Times New Roman" w:hAnsi="Times New Roman" w:cs="Times New Roman"/>
                <w:b/>
                <w:bCs/>
                <w:color w:val="3F3F3F"/>
                <w:lang w:val="en-US"/>
              </w:rPr>
              <w:t>87.53%</w:t>
            </w:r>
          </w:p>
        </w:tc>
      </w:tr>
    </w:tbl>
    <w:p w14:paraId="0D9BD949" w14:textId="77777777" w:rsidR="001360ED" w:rsidRPr="00BF4CCD" w:rsidRDefault="00E64273" w:rsidP="00840E16">
      <w:pPr>
        <w:tabs>
          <w:tab w:val="left" w:pos="1128"/>
        </w:tabs>
        <w:ind w:right="270" w:firstLine="630"/>
        <w:rPr>
          <w:rFonts w:ascii="Times New Roman" w:hAnsi="Times New Roman" w:cs="Times New Roman"/>
          <w:b/>
          <w:color w:val="FF0000"/>
        </w:rPr>
      </w:pPr>
      <w:r w:rsidRPr="00BF4CCD">
        <w:rPr>
          <w:rFonts w:ascii="Times New Roman" w:hAnsi="Times New Roman" w:cs="Times New Roman"/>
          <w:b/>
          <w:color w:val="FF0000"/>
        </w:rPr>
        <w:t xml:space="preserve"> </w:t>
      </w:r>
    </w:p>
    <w:p w14:paraId="2EEB8549" w14:textId="77777777" w:rsidR="001360ED" w:rsidRDefault="001360ED" w:rsidP="001360ED"/>
    <w:p w14:paraId="1C650B1A" w14:textId="77777777" w:rsidR="00FC5265" w:rsidRDefault="00FC5265" w:rsidP="001360ED"/>
    <w:p w14:paraId="6B67A628" w14:textId="77777777" w:rsidR="00FC5265" w:rsidRDefault="00FC5265" w:rsidP="001360ED"/>
    <w:p w14:paraId="025E31D7" w14:textId="77777777" w:rsidR="00752111" w:rsidRDefault="00752111" w:rsidP="001360ED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2AAA865" w14:textId="77777777" w:rsidR="00752111" w:rsidRDefault="00752111" w:rsidP="001360ED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80B19BE" w14:textId="77777777" w:rsidR="001360ED" w:rsidRDefault="001360ED" w:rsidP="001360ED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A343D7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14:paraId="7CE7398E" w14:textId="77777777" w:rsidR="001360ED" w:rsidRDefault="001360ED" w:rsidP="001360ED"/>
    <w:p w14:paraId="4D97EAE1" w14:textId="77777777" w:rsidR="001360ED" w:rsidRPr="00720A8E" w:rsidRDefault="001360ED" w:rsidP="001360ED">
      <w:pPr>
        <w:spacing w:after="0" w:line="360" w:lineRule="auto"/>
        <w:ind w:left="-2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03">
        <w:rPr>
          <w:rFonts w:ascii="Times New Roman" w:eastAsia="Times New Roman" w:hAnsi="Times New Roman" w:cs="Times New Roman"/>
          <w:sz w:val="24"/>
          <w:szCs w:val="24"/>
        </w:rPr>
        <w:t>Planifikimi i t</w:t>
      </w:r>
      <w:r w:rsidR="00E1115E">
        <w:rPr>
          <w:rFonts w:ascii="Times New Roman" w:eastAsia="Times New Roman" w:hAnsi="Times New Roman" w:cs="Times New Roman"/>
          <w:sz w:val="24"/>
          <w:szCs w:val="24"/>
        </w:rPr>
        <w:t>ë hyrave vetanake për vitin 2025</w:t>
      </w:r>
      <w:r w:rsidR="004616B2">
        <w:rPr>
          <w:rFonts w:ascii="Times New Roman" w:eastAsia="Times New Roman" w:hAnsi="Times New Roman" w:cs="Times New Roman"/>
          <w:sz w:val="24"/>
          <w:szCs w:val="24"/>
        </w:rPr>
        <w:t xml:space="preserve"> është në shumë prej 33</w:t>
      </w:r>
      <w:r w:rsidR="00E1115E">
        <w:rPr>
          <w:rFonts w:ascii="Times New Roman" w:eastAsia="Times New Roman" w:hAnsi="Times New Roman" w:cs="Times New Roman"/>
          <w:sz w:val="24"/>
          <w:szCs w:val="24"/>
        </w:rPr>
        <w:t>9,719.00</w:t>
      </w:r>
      <w:r w:rsidRPr="00FE1103">
        <w:rPr>
          <w:rFonts w:ascii="Times New Roman" w:eastAsia="Times New Roman" w:hAnsi="Times New Roman" w:cs="Times New Roman"/>
          <w:sz w:val="24"/>
          <w:szCs w:val="24"/>
        </w:rPr>
        <w:t xml:space="preserve"> €.</w:t>
      </w:r>
    </w:p>
    <w:p w14:paraId="581AA1F6" w14:textId="77777777" w:rsidR="001360ED" w:rsidRDefault="001360ED" w:rsidP="001360E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>Në kuadër të këtij sektori janë kryer këto aktivitete:</w:t>
      </w:r>
    </w:p>
    <w:p w14:paraId="10C44D9C" w14:textId="77777777" w:rsidR="001360ED" w:rsidRDefault="001360ED" w:rsidP="001360ED">
      <w:pPr>
        <w:numPr>
          <w:ilvl w:val="0"/>
          <w:numId w:val="4"/>
        </w:numPr>
        <w:spacing w:after="0" w:line="360" w:lineRule="auto"/>
        <w:ind w:left="9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Përpunimi, harmonizimi dhe barazimi i evidencave të detajizuara te të gjitha llojet e të hyrave sipas programeve buxhetore, fondeve dhe kodeve ekonomike në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Sistemin Informativ të M</w:t>
      </w:r>
      <w:r w:rsidRPr="00FE1103">
        <w:rPr>
          <w:rFonts w:ascii="Times New Roman" w:eastAsia="Calibri" w:hAnsi="Times New Roman" w:cs="Times New Roman"/>
          <w:color w:val="000000"/>
          <w:sz w:val="24"/>
          <w:szCs w:val="24"/>
        </w:rPr>
        <w:t>enaxhim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it Financiar të Kosovës (SIMFK),</w:t>
      </w:r>
    </w:p>
    <w:p w14:paraId="55E21B15" w14:textId="77777777" w:rsidR="001360ED" w:rsidRDefault="001360ED" w:rsidP="001360ED">
      <w:pPr>
        <w:numPr>
          <w:ilvl w:val="0"/>
          <w:numId w:val="4"/>
        </w:numPr>
        <w:spacing w:after="0" w:line="360" w:lineRule="auto"/>
        <w:ind w:left="9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Pranimi i të hyrave indirekte nga Gjobat e Policisë, Agjensioni Pyjor i Kosovës dhe gjobat nga Gjyka</w:t>
      </w:r>
      <w:r w:rsidR="00E1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tat për TM1, </w:t>
      </w:r>
      <w:r w:rsidR="00FC5265">
        <w:rPr>
          <w:rFonts w:ascii="Times New Roman" w:eastAsia="Calibri" w:hAnsi="Times New Roman" w:cs="Times New Roman"/>
          <w:color w:val="000000"/>
          <w:sz w:val="24"/>
          <w:szCs w:val="24"/>
        </w:rPr>
        <w:t>TM2, TM3 dhe TM4 në shumë prej 119,568</w:t>
      </w:r>
      <w:r w:rsidR="00E1115E">
        <w:rPr>
          <w:rFonts w:ascii="Times New Roman" w:eastAsia="Calibri" w:hAnsi="Times New Roman" w:cs="Times New Roman"/>
          <w:color w:val="000000"/>
          <w:sz w:val="24"/>
          <w:szCs w:val="24"/>
        </w:rPr>
        <w:t>.75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€,</w:t>
      </w:r>
    </w:p>
    <w:p w14:paraId="5E35E46C" w14:textId="77777777" w:rsidR="001360ED" w:rsidRDefault="001360ED" w:rsidP="001360ED">
      <w:pPr>
        <w:numPr>
          <w:ilvl w:val="0"/>
          <w:numId w:val="4"/>
        </w:numPr>
        <w:spacing w:after="0" w:line="360" w:lineRule="auto"/>
        <w:ind w:left="9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Alokimi i të hyrave të inkasuara në Nën – Programe dhe kategori buxhetore varësisht prej planifikimeve buxhetore, </w:t>
      </w:r>
    </w:p>
    <w:p w14:paraId="5488DD5F" w14:textId="77777777" w:rsidR="001360ED" w:rsidRDefault="00E1115E" w:rsidP="00E1115E">
      <w:pPr>
        <w:numPr>
          <w:ilvl w:val="0"/>
          <w:numId w:val="4"/>
        </w:numPr>
        <w:spacing w:after="0" w:line="360" w:lineRule="auto"/>
        <w:ind w:left="-90" w:hanging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1360ED">
        <w:rPr>
          <w:rFonts w:ascii="Times New Roman" w:eastAsia="Calibri" w:hAnsi="Times New Roman" w:cs="Times New Roman"/>
          <w:color w:val="000000"/>
          <w:sz w:val="24"/>
          <w:szCs w:val="24"/>
        </w:rPr>
        <w:t>Bartja e bilancit të pashpenzuar nga viti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1360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vitin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1360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shumë prej </w:t>
      </w:r>
      <w:r w:rsidRPr="00E1115E">
        <w:rPr>
          <w:rFonts w:ascii="Times New Roman" w:eastAsia="Calibri" w:hAnsi="Times New Roman" w:cs="Times New Roman"/>
          <w:color w:val="000000"/>
          <w:sz w:val="24"/>
          <w:szCs w:val="24"/>
        </w:rPr>
        <w:t>170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E1115E">
        <w:rPr>
          <w:rFonts w:ascii="Times New Roman" w:eastAsia="Calibri" w:hAnsi="Times New Roman" w:cs="Times New Roman"/>
          <w:color w:val="000000"/>
          <w:sz w:val="24"/>
          <w:szCs w:val="24"/>
        </w:rPr>
        <w:t>771.67</w:t>
      </w:r>
      <w:r w:rsidR="001360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€. </w:t>
      </w:r>
    </w:p>
    <w:p w14:paraId="21A1730F" w14:textId="77777777" w:rsidR="001360ED" w:rsidRDefault="001360ED" w:rsidP="001360ED">
      <w:pPr>
        <w:numPr>
          <w:ilvl w:val="0"/>
          <w:numId w:val="4"/>
        </w:numPr>
        <w:spacing w:after="0" w:line="360" w:lineRule="auto"/>
        <w:ind w:left="9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71A5">
        <w:rPr>
          <w:rFonts w:ascii="Times New Roman" w:eastAsia="Calibri" w:hAnsi="Times New Roman" w:cs="Times New Roman"/>
          <w:color w:val="000000"/>
          <w:sz w:val="24"/>
          <w:szCs w:val="24"/>
        </w:rPr>
        <w:t>Inkasimi i të hyrave direkte vetana</w:t>
      </w:r>
      <w:r w:rsidR="00E1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 </w:t>
      </w:r>
      <w:r w:rsidR="00FC5265">
        <w:rPr>
          <w:rFonts w:ascii="Times New Roman" w:eastAsia="Calibri" w:hAnsi="Times New Roman" w:cs="Times New Roman"/>
          <w:color w:val="000000"/>
          <w:sz w:val="24"/>
          <w:szCs w:val="24"/>
        </w:rPr>
        <w:t>për periudhën janar – dhjetor</w:t>
      </w:r>
      <w:r w:rsidR="00E1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është në shumë prej 1,</w:t>
      </w:r>
      <w:r w:rsidR="003D013E">
        <w:rPr>
          <w:rFonts w:ascii="Times New Roman" w:eastAsia="Calibri" w:hAnsi="Times New Roman" w:cs="Times New Roman"/>
          <w:color w:val="000000"/>
          <w:sz w:val="24"/>
          <w:szCs w:val="24"/>
        </w:rPr>
        <w:t>147,751.99</w:t>
      </w:r>
      <w:r w:rsidR="004616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€. </w:t>
      </w:r>
    </w:p>
    <w:p w14:paraId="49C7CF5B" w14:textId="77777777" w:rsidR="004616B2" w:rsidRDefault="004616B2" w:rsidP="001360ED">
      <w:pPr>
        <w:numPr>
          <w:ilvl w:val="0"/>
          <w:numId w:val="4"/>
        </w:numPr>
        <w:spacing w:after="0" w:line="360" w:lineRule="auto"/>
        <w:ind w:left="9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Totali i të hyrave</w:t>
      </w:r>
      <w:r w:rsidR="00FC52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direkte dhe të hyrave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indire</w:t>
      </w:r>
      <w:r w:rsidR="00E74183">
        <w:rPr>
          <w:rFonts w:ascii="Times New Roman" w:eastAsia="Calibri" w:hAnsi="Times New Roman" w:cs="Times New Roman"/>
          <w:color w:val="000000"/>
          <w:sz w:val="24"/>
          <w:szCs w:val="24"/>
        </w:rPr>
        <w:t>kte janë në shumë prej 1,267,320.74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€</w:t>
      </w:r>
    </w:p>
    <w:p w14:paraId="116AA5C9" w14:textId="77777777" w:rsidR="00752111" w:rsidRDefault="00752111" w:rsidP="001360ED">
      <w:pPr>
        <w:numPr>
          <w:ilvl w:val="0"/>
          <w:numId w:val="4"/>
        </w:numPr>
        <w:spacing w:after="0" w:line="360" w:lineRule="auto"/>
        <w:ind w:left="9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Tejkalimi i projeksionit të të hyrave vetanake në shumë prej </w:t>
      </w:r>
      <w:r w:rsidR="00E74183">
        <w:rPr>
          <w:rFonts w:ascii="Times New Roman" w:eastAsia="Calibri" w:hAnsi="Times New Roman" w:cs="Times New Roman"/>
          <w:color w:val="000000"/>
          <w:sz w:val="24"/>
          <w:szCs w:val="24"/>
        </w:rPr>
        <w:t>927,601.74 € ose 273</w:t>
      </w:r>
      <w:r w:rsidR="004616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tejkalim. </w:t>
      </w:r>
    </w:p>
    <w:p w14:paraId="4366CDB0" w14:textId="77777777" w:rsidR="001360ED" w:rsidRDefault="001360ED" w:rsidP="001360E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ED9F38" w14:textId="77777777" w:rsidR="001360ED" w:rsidRDefault="001360ED" w:rsidP="001360E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020FB9" w14:textId="77777777" w:rsidR="001360ED" w:rsidRDefault="001360ED" w:rsidP="001360E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21E0A8" w14:textId="77777777" w:rsidR="001360ED" w:rsidRPr="005E57CE" w:rsidRDefault="001360ED" w:rsidP="001360ED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E57C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1CB46C91" w14:textId="77777777" w:rsidR="001360ED" w:rsidRPr="00FE1103" w:rsidRDefault="001360ED" w:rsidP="001360ED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0B5C0DB" w14:textId="77777777" w:rsidR="001360ED" w:rsidRDefault="001360ED" w:rsidP="001360ED">
      <w:pPr>
        <w:spacing w:after="0" w:line="360" w:lineRule="auto"/>
        <w:ind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Gjatë këtij viti, ky sektor</w:t>
      </w:r>
      <w:r w:rsidRPr="00FE110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ka pasur këto aktivitete:</w:t>
      </w:r>
    </w:p>
    <w:p w14:paraId="67B464A7" w14:textId="77777777" w:rsidR="001360ED" w:rsidRPr="00655A20" w:rsidRDefault="001360ED" w:rsidP="001360ED">
      <w:pPr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55A20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</w:p>
    <w:p w14:paraId="0E86455F" w14:textId="77777777" w:rsidR="001360ED" w:rsidRDefault="001360ED" w:rsidP="001360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20A8E">
        <w:rPr>
          <w:rFonts w:ascii="Times New Roman" w:eastAsia="MS Mincho" w:hAnsi="Times New Roman" w:cs="Times New Roman"/>
          <w:color w:val="000000"/>
          <w:sz w:val="24"/>
          <w:szCs w:val="24"/>
        </w:rPr>
        <w:t>Shërbim</w:t>
      </w:r>
      <w:r w:rsidR="00752111">
        <w:rPr>
          <w:rFonts w:ascii="Times New Roman" w:eastAsia="MS Mincho" w:hAnsi="Times New Roman" w:cs="Times New Roman"/>
          <w:color w:val="000000"/>
          <w:sz w:val="24"/>
          <w:szCs w:val="24"/>
        </w:rPr>
        <w:t>e të rregullta ndaj qytetarëve,</w:t>
      </w:r>
    </w:p>
    <w:p w14:paraId="501FF3CD" w14:textId="77777777" w:rsidR="001360ED" w:rsidRDefault="001360ED" w:rsidP="001360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Shpërndarja e faturave të tatimit në pronë për vitin 202</w:t>
      </w:r>
      <w:r w:rsidR="00752111">
        <w:rPr>
          <w:rFonts w:ascii="Times New Roman" w:eastAsia="MS Mincho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nga Posta e Kosovës, </w:t>
      </w:r>
    </w:p>
    <w:p w14:paraId="74D8D257" w14:textId="77777777" w:rsidR="001360ED" w:rsidRDefault="001360ED" w:rsidP="001360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Plotësimi i formularit të inspektimit të tatimit në pronë për vitin 202</w:t>
      </w:r>
      <w:r w:rsidR="00752111">
        <w:rPr>
          <w:rFonts w:ascii="Times New Roman" w:eastAsia="MS Mincho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</w:p>
    <w:p w14:paraId="3D0A4FC3" w14:textId="77777777" w:rsidR="001360ED" w:rsidRDefault="001360ED" w:rsidP="001360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Pranimi i Raportit të vlerësimit</w:t>
      </w:r>
      <w:r w:rsidR="0075211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të pronave rezidenciale dhe industriale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nga DTP – MFPT, </w:t>
      </w:r>
    </w:p>
    <w:p w14:paraId="4FA2C4EE" w14:textId="77777777" w:rsidR="001360ED" w:rsidRDefault="001360ED" w:rsidP="001360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Shqyrtimi i ankesave të tatimit në pronë nga Komisioni i shqyrtimit të ankesave të tatimit në pronë të parashtruara nga tatimpaguesit. </w:t>
      </w:r>
    </w:p>
    <w:p w14:paraId="3269B72D" w14:textId="77777777" w:rsidR="00B40AA4" w:rsidRDefault="00B40AA4" w:rsidP="00B40AA4"/>
    <w:p w14:paraId="1CA51596" w14:textId="77777777" w:rsidR="00C657AD" w:rsidRDefault="00C657AD"/>
    <w:sectPr w:rsidR="00C657AD" w:rsidSect="00E1115E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6DE"/>
    <w:multiLevelType w:val="hybridMultilevel"/>
    <w:tmpl w:val="F202B6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0384E"/>
    <w:multiLevelType w:val="hybridMultilevel"/>
    <w:tmpl w:val="865CE14E"/>
    <w:lvl w:ilvl="0" w:tplc="90B02D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A4"/>
    <w:rsid w:val="00013F39"/>
    <w:rsid w:val="00090B84"/>
    <w:rsid w:val="001360ED"/>
    <w:rsid w:val="00251B19"/>
    <w:rsid w:val="003D013E"/>
    <w:rsid w:val="003D25AD"/>
    <w:rsid w:val="004616B2"/>
    <w:rsid w:val="00676B92"/>
    <w:rsid w:val="00682A14"/>
    <w:rsid w:val="00731AD0"/>
    <w:rsid w:val="00752111"/>
    <w:rsid w:val="007959EE"/>
    <w:rsid w:val="00840E16"/>
    <w:rsid w:val="008837AE"/>
    <w:rsid w:val="00AF44B4"/>
    <w:rsid w:val="00B31C61"/>
    <w:rsid w:val="00B40AA4"/>
    <w:rsid w:val="00B47EA1"/>
    <w:rsid w:val="00B9330A"/>
    <w:rsid w:val="00BA14D1"/>
    <w:rsid w:val="00BA16F4"/>
    <w:rsid w:val="00BB5F30"/>
    <w:rsid w:val="00BF4CCD"/>
    <w:rsid w:val="00C657AD"/>
    <w:rsid w:val="00E1115E"/>
    <w:rsid w:val="00E22266"/>
    <w:rsid w:val="00E64273"/>
    <w:rsid w:val="00E74183"/>
    <w:rsid w:val="00E85608"/>
    <w:rsid w:val="00F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ECE0"/>
  <w15:chartTrackingRefBased/>
  <w15:docId w15:val="{4E36635E-9682-439B-BF94-E976E73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AA4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B40AA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0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0AA4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BA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MainContent$rAktet$ctl00$lblAn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Windows User</cp:lastModifiedBy>
  <cp:revision>2</cp:revision>
  <dcterms:created xsi:type="dcterms:W3CDTF">2026-03-02T09:54:00Z</dcterms:created>
  <dcterms:modified xsi:type="dcterms:W3CDTF">2026-03-02T09:54:00Z</dcterms:modified>
</cp:coreProperties>
</file>