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31E90" w14:textId="77777777" w:rsidR="00FC180D" w:rsidRPr="007C4543" w:rsidRDefault="00FC180D" w:rsidP="00FC180D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5301437A" wp14:editId="72867F3A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2CCBC118" wp14:editId="1FBB7449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14:paraId="29A82E64" w14:textId="77777777" w:rsidR="00FC180D" w:rsidRPr="007C4543" w:rsidRDefault="00FC180D" w:rsidP="00FC180D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14:paraId="34086F05" w14:textId="77777777" w:rsidR="00FC180D" w:rsidRPr="007C4543" w:rsidRDefault="00FC180D" w:rsidP="00FC180D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14:paraId="4297F19A" w14:textId="44EC214C" w:rsidR="00FC180D" w:rsidRPr="00B3474B" w:rsidRDefault="00FC180D" w:rsidP="00FC180D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B2E12">
        <w:rPr>
          <w:rFonts w:ascii="Times New Roman" w:hAnsi="Times New Roman" w:cs="Times New Roman"/>
          <w:b/>
          <w:sz w:val="24"/>
          <w:szCs w:val="24"/>
          <w:u w:val="single"/>
        </w:rPr>
        <w:t>714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A1C722B" w14:textId="77777777" w:rsidR="00FC180D" w:rsidRPr="00B3474B" w:rsidRDefault="00FC180D" w:rsidP="00FC180D">
      <w:pPr>
        <w:rPr>
          <w:rFonts w:ascii="Times New Roman" w:hAnsi="Times New Roman" w:cs="Times New Roman"/>
        </w:rPr>
      </w:pPr>
    </w:p>
    <w:p w14:paraId="1054B191" w14:textId="77777777" w:rsidR="00FC180D" w:rsidRPr="00B3474B" w:rsidRDefault="00FC180D" w:rsidP="00FC180D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14:paraId="1C2CC844" w14:textId="77777777" w:rsidR="00FC180D" w:rsidRPr="00B3474B" w:rsidRDefault="00FC180D" w:rsidP="00FC180D">
      <w:pPr>
        <w:jc w:val="center"/>
        <w:rPr>
          <w:rFonts w:ascii="Times New Roman" w:hAnsi="Times New Roman" w:cs="Times New Roman"/>
        </w:rPr>
      </w:pPr>
    </w:p>
    <w:p w14:paraId="7D0BA234" w14:textId="77777777" w:rsidR="00FC180D" w:rsidRPr="00B3474B" w:rsidRDefault="00FC180D" w:rsidP="00FC180D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14:paraId="425AAC5C" w14:textId="77777777" w:rsidR="00FC180D" w:rsidRPr="00B3474B" w:rsidRDefault="00FC180D" w:rsidP="00FC180D">
      <w:pPr>
        <w:rPr>
          <w:rFonts w:ascii="Times New Roman" w:hAnsi="Times New Roman" w:cs="Times New Roman"/>
          <w:sz w:val="72"/>
          <w:szCs w:val="24"/>
        </w:rPr>
      </w:pPr>
    </w:p>
    <w:p w14:paraId="2B932ED9" w14:textId="77777777" w:rsidR="00FC180D" w:rsidRPr="00B3474B" w:rsidRDefault="00FC180D" w:rsidP="00FC180D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4879041D" w14:textId="647B298A" w:rsidR="00FC180D" w:rsidRPr="00B3474B" w:rsidRDefault="00FC180D" w:rsidP="00FC180D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>
        <w:rPr>
          <w:rFonts w:ascii="Times New Roman" w:hAnsi="Times New Roman" w:cs="Times New Roman"/>
          <w:sz w:val="44"/>
          <w:szCs w:val="24"/>
        </w:rPr>
        <w:t>DHJETOR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</w:t>
      </w:r>
      <w:r>
        <w:rPr>
          <w:rFonts w:ascii="Times New Roman" w:hAnsi="Times New Roman" w:cs="Times New Roman"/>
          <w:sz w:val="44"/>
          <w:szCs w:val="24"/>
        </w:rPr>
        <w:t>5</w:t>
      </w:r>
    </w:p>
    <w:p w14:paraId="659F98BC" w14:textId="77777777" w:rsidR="00FC180D" w:rsidRPr="00B3474B" w:rsidRDefault="00FC180D" w:rsidP="00FC180D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36B35A16" w14:textId="77777777" w:rsidR="00FC180D" w:rsidRPr="00B3474B" w:rsidRDefault="00FC180D" w:rsidP="00FC180D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993C627" w14:textId="77777777" w:rsidR="00FC180D" w:rsidRPr="00B3474B" w:rsidRDefault="00FC180D" w:rsidP="00FC180D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14:paraId="55257692" w14:textId="77777777" w:rsidR="00FC180D" w:rsidRPr="00B3474B" w:rsidRDefault="00FC180D" w:rsidP="00FC180D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14:paraId="1942A5EB" w14:textId="77777777" w:rsidR="00FC180D" w:rsidRPr="00B3474B" w:rsidRDefault="00FC180D" w:rsidP="00FC180D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CE3EAE9" w14:textId="77777777" w:rsidR="00FC180D" w:rsidRPr="00B3474B" w:rsidRDefault="00FC180D" w:rsidP="00FC180D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EB7AB83" w14:textId="5EC0604F" w:rsidR="00FC180D" w:rsidRPr="00B3474B" w:rsidRDefault="00FC180D" w:rsidP="00FC180D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</w:t>
      </w:r>
      <w:r>
        <w:rPr>
          <w:rFonts w:ascii="Times New Roman" w:hAnsi="Times New Roman" w:cs="Times New Roman"/>
          <w:sz w:val="28"/>
          <w:szCs w:val="32"/>
        </w:rPr>
        <w:t>6</w:t>
      </w:r>
    </w:p>
    <w:p w14:paraId="273B8347" w14:textId="77777777" w:rsidR="00FC180D" w:rsidRPr="00B3474B" w:rsidRDefault="00FC180D" w:rsidP="00FC180D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14:paraId="31280798" w14:textId="77777777" w:rsidR="00FC180D" w:rsidRPr="00B3474B" w:rsidRDefault="00FC180D" w:rsidP="00FC180D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B83306" w14:textId="66D3A910" w:rsidR="00FC180D" w:rsidRPr="00B3474B" w:rsidRDefault="00FC180D" w:rsidP="00FC180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Dhjetor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14:paraId="208A6119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14:paraId="77BBAF7B" w14:textId="77777777" w:rsidR="00FC180D" w:rsidRPr="00B3474B" w:rsidRDefault="00FC180D" w:rsidP="00FC180D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14:paraId="7647F2BF" w14:textId="77777777" w:rsidR="00FC180D" w:rsidRPr="00B3474B" w:rsidRDefault="00FC180D" w:rsidP="00FC180D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14:paraId="41388D56" w14:textId="77777777" w:rsidR="00FC180D" w:rsidRPr="00B3474B" w:rsidRDefault="00FC180D" w:rsidP="00FC180D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14:paraId="3192F123" w14:textId="77777777" w:rsidR="00FC180D" w:rsidRPr="00B3474B" w:rsidRDefault="00FC180D" w:rsidP="00FC180D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14:paraId="6D399DD5" w14:textId="77777777" w:rsidR="00FC180D" w:rsidRPr="00B3474B" w:rsidRDefault="00FC180D" w:rsidP="00FC180D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68F794" w14:textId="1CF0C9D6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Dhjetor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2025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14:paraId="13EEC4B5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9FD025C" w14:textId="77777777" w:rsidR="00FC180D" w:rsidRPr="00B3474B" w:rsidRDefault="00FC180D" w:rsidP="00FC180D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Buxheti i komunës së Hanit të Elezit i ndarë sipas Ligjit me </w:t>
      </w:r>
      <w:hyperlink r:id="rId9" w:history="1">
        <w:r w:rsidRPr="00B3474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NR. 08/L-332 MBI NDARJET BUXHETORE PËR BUXHETIN E REPUBLIKЁS SЁ KOSOVЁS PЁR VITIN 2025</w:t>
        </w:r>
      </w:hyperlink>
      <w:r w:rsidRPr="00B3474B">
        <w:rPr>
          <w:rFonts w:ascii="Times New Roman" w:hAnsi="Times New Roman" w:cs="Times New Roman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është në lartësi prej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</w:t>
      </w:r>
      <w:r w:rsidRPr="00B3474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>.00 Euro.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</w:p>
    <w:p w14:paraId="0A505C84" w14:textId="77777777" w:rsidR="00FC180D" w:rsidRPr="00B3474B" w:rsidRDefault="00FC180D" w:rsidP="00FC180D">
      <w:p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F9E64E" w14:textId="77777777" w:rsidR="00FC180D" w:rsidRPr="00B3474B" w:rsidRDefault="00FC180D" w:rsidP="00FC180D">
      <w:pPr>
        <w:pStyle w:val="BodyText"/>
        <w:spacing w:line="360" w:lineRule="auto"/>
        <w:ind w:left="342"/>
      </w:pPr>
      <w:r w:rsidRPr="00B3474B">
        <w:t>Ky buxhet është ndarë sipas kategorive ekonomike si në vijim:</w:t>
      </w:r>
    </w:p>
    <w:p w14:paraId="59051A92" w14:textId="77777777" w:rsidR="00FC180D" w:rsidRPr="00B3474B" w:rsidRDefault="00FC180D" w:rsidP="00FC180D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48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Paga dhe shtesa................. 2,188,542.00 €,</w:t>
      </w:r>
    </w:p>
    <w:p w14:paraId="33D943E2" w14:textId="77777777" w:rsidR="00FC180D" w:rsidRPr="00B3474B" w:rsidRDefault="00FC180D" w:rsidP="00FC180D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10"/>
        </w:tabs>
        <w:autoSpaceDE w:val="0"/>
        <w:autoSpaceDN w:val="0"/>
        <w:spacing w:before="3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Mallra dhe shërbime............. 584,500.00 €,</w:t>
      </w:r>
    </w:p>
    <w:p w14:paraId="310DFDB5" w14:textId="77777777" w:rsidR="00FC180D" w:rsidRPr="00B3474B" w:rsidRDefault="00FC180D" w:rsidP="00FC180D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6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Shpenzimet komunale</w:t>
      </w:r>
      <w:r w:rsidRPr="00B3474B">
        <w:rPr>
          <w:rFonts w:ascii="Times New Roman" w:hAnsi="Times New Roman" w:cs="Times New Roman"/>
          <w:sz w:val="24"/>
          <w:szCs w:val="24"/>
        </w:rPr>
        <w:tab/>
        <w:t>..94,000.00 €,</w:t>
      </w:r>
    </w:p>
    <w:p w14:paraId="00CAE2F9" w14:textId="77777777" w:rsidR="00FC180D" w:rsidRPr="00B3474B" w:rsidRDefault="00FC180D" w:rsidP="00FC180D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48"/>
        </w:tabs>
        <w:autoSpaceDE w:val="0"/>
        <w:autoSpaceDN w:val="0"/>
        <w:spacing w:before="2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Subvencione dhe transfere</w:t>
      </w:r>
      <w:r w:rsidRPr="00B3474B">
        <w:rPr>
          <w:rFonts w:ascii="Times New Roman" w:hAnsi="Times New Roman" w:cs="Times New Roman"/>
          <w:sz w:val="24"/>
          <w:szCs w:val="24"/>
        </w:rPr>
        <w:tab/>
        <w:t>143,000.00 €,</w:t>
      </w:r>
    </w:p>
    <w:p w14:paraId="0272123F" w14:textId="77777777" w:rsidR="00FC180D" w:rsidRPr="00B3474B" w:rsidRDefault="00FC180D" w:rsidP="00FC180D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29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 kapitale</w:t>
      </w:r>
      <w:r w:rsidRPr="00B3474B">
        <w:rPr>
          <w:rFonts w:ascii="Times New Roman" w:hAnsi="Times New Roman" w:cs="Times New Roman"/>
          <w:sz w:val="24"/>
          <w:szCs w:val="24"/>
        </w:rPr>
        <w:tab/>
        <w:t>.. 605,415.00 €,</w:t>
      </w:r>
    </w:p>
    <w:p w14:paraId="6D32BFAB" w14:textId="77777777" w:rsidR="00FC180D" w:rsidRPr="00B3474B" w:rsidRDefault="00FC180D" w:rsidP="00FC180D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571"/>
        </w:tabs>
        <w:autoSpaceDE w:val="0"/>
        <w:autoSpaceDN w:val="0"/>
        <w:spacing w:before="6" w:after="0" w:line="360" w:lineRule="auto"/>
        <w:ind w:hanging="361"/>
        <w:contextualSpacing w:val="0"/>
        <w:rPr>
          <w:rFonts w:ascii="Times New Roman" w:hAnsi="Times New Roman" w:cs="Times New Roman"/>
          <w:sz w:val="16"/>
        </w:rPr>
      </w:pPr>
      <w:r w:rsidRPr="00B3474B">
        <w:rPr>
          <w:rFonts w:ascii="Times New Roman" w:hAnsi="Times New Roman" w:cs="Times New Roman"/>
          <w:sz w:val="24"/>
          <w:u w:val="single"/>
        </w:rPr>
        <w:t>Totali i buxhetit</w:t>
      </w:r>
      <w:r w:rsidRPr="00B3474B">
        <w:rPr>
          <w:rFonts w:ascii="Times New Roman" w:hAnsi="Times New Roman" w:cs="Times New Roman"/>
          <w:sz w:val="24"/>
        </w:rPr>
        <w:t>..................</w:t>
      </w:r>
      <w:r w:rsidRPr="00B3474B">
        <w:rPr>
          <w:rFonts w:ascii="Times New Roman" w:hAnsi="Times New Roman" w:cs="Times New Roman"/>
        </w:rPr>
        <w:t xml:space="preserve">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3,615,457.00</w:t>
      </w:r>
      <w:r w:rsidRPr="00B3474B">
        <w:rPr>
          <w:rFonts w:ascii="Times New Roman" w:hAnsi="Times New Roman" w:cs="Times New Roman"/>
          <w:b/>
          <w:bCs/>
          <w:sz w:val="24"/>
          <w:u w:val="single"/>
        </w:rPr>
        <w:t xml:space="preserve"> €.</w:t>
      </w:r>
    </w:p>
    <w:p w14:paraId="4EF00515" w14:textId="77777777" w:rsidR="00FC180D" w:rsidRPr="00B3474B" w:rsidRDefault="00FC180D" w:rsidP="00FC180D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8FFCED1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8AE201D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B12B980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863297B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F3B468D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00E5428" w14:textId="77777777" w:rsidR="00FC180D" w:rsidRPr="00B3474B" w:rsidRDefault="00FC180D" w:rsidP="00FC180D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0BF6092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8E872F0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Punët dhe aktivitetet të cilat janë zhvilluar gjatë këtij muaji, mund t’i veçojmë këto:</w:t>
      </w:r>
    </w:p>
    <w:p w14:paraId="388E6057" w14:textId="77777777" w:rsidR="00FC180D" w:rsidRPr="00B3474B" w:rsidRDefault="00FC180D" w:rsidP="00FC180D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912CCCF" w14:textId="77777777" w:rsidR="00FC180D" w:rsidRPr="00B3474B" w:rsidRDefault="00FC180D" w:rsidP="00FC180D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14:paraId="71480DEB" w14:textId="6F75326E" w:rsidR="00FC180D" w:rsidRPr="00B3474B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Nëntor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</w:t>
      </w:r>
    </w:p>
    <w:p w14:paraId="744ADFB6" w14:textId="4CCCF76C" w:rsidR="00FC180D" w:rsidRPr="00B3474B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periudha Janar-Nëntor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</w:t>
      </w:r>
    </w:p>
    <w:p w14:paraId="77754652" w14:textId="201DB1A1" w:rsidR="00FC180D" w:rsidRPr="00B3474B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Nëntor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 në ueb faqen komunale,</w:t>
      </w:r>
    </w:p>
    <w:p w14:paraId="6917A5B5" w14:textId="4D78102A" w:rsidR="00FC180D" w:rsidRPr="00B34CE7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Nëntor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14:paraId="4B3CFC93" w14:textId="1E0E03D9" w:rsidR="00FC180D" w:rsidRPr="00FC180D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Hartimi i raportit mujor të të hyrave dhe shpenzimeve të muajit Nëntor 2025,</w:t>
      </w:r>
    </w:p>
    <w:p w14:paraId="1AB66830" w14:textId="12A7F22D" w:rsidR="00FC180D" w:rsidRPr="00FC180D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Publikimi i Raportit Financiar për periudhën Janar-Shtator 2025, në ueb faqen komunale në tri formate: Word, PDF dhe Excel,</w:t>
      </w:r>
    </w:p>
    <w:p w14:paraId="500272C0" w14:textId="0785BCBE" w:rsidR="00FC180D" w:rsidRPr="00FC180D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Përgatitja e Planit të punës së Drejtorisë për Buxhet dhe Financa për vitin 2026, </w:t>
      </w:r>
    </w:p>
    <w:p w14:paraId="30A6683E" w14:textId="4FAEBD37" w:rsidR="00FC180D" w:rsidRPr="00FC180D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Publikimi i Buxhetit të vitit 2026 dhe parashikimet buxhetore 2027-2028 në ueb faqen komunale, me të gjitha tabelat e caktuara, përfshirë: </w:t>
      </w:r>
    </w:p>
    <w:p w14:paraId="7D9DC743" w14:textId="3CD1DE3D" w:rsidR="00FC180D" w:rsidRDefault="00FC180D" w:rsidP="00FC180D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Tabela 4.1 Plani i ndarjeve buxhetore për vitin 2026,</w:t>
      </w:r>
    </w:p>
    <w:p w14:paraId="5A478EDE" w14:textId="744ECF93" w:rsidR="00FC180D" w:rsidRDefault="00FC180D" w:rsidP="00FC180D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Tabela 4.2 Financimi i investimeve kapitale 2026-2028, </w:t>
      </w:r>
    </w:p>
    <w:p w14:paraId="0E7E3729" w14:textId="69AF398D" w:rsidR="00FC180D" w:rsidRDefault="00FC180D" w:rsidP="00FC180D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Tabela 4.3 Plani Afatmesëm i Të hyrave Vetanake 2026-2028. </w:t>
      </w:r>
    </w:p>
    <w:p w14:paraId="023FCBF0" w14:textId="7B7162E4" w:rsidR="00FC180D" w:rsidRDefault="00FC180D" w:rsidP="00FC180D">
      <w:pPr>
        <w:tabs>
          <w:tab w:val="left" w:pos="540"/>
          <w:tab w:val="left" w:pos="1080"/>
        </w:tabs>
        <w:spacing w:after="0" w:line="360" w:lineRule="auto"/>
        <w:ind w:left="709" w:hanging="42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Përveç tabelave të gjeneruara nga Sistemet PIP dhe BDMS, është bërë publikimi i buxhetit edhe në formatin e Excel, Word dhe PDF. </w:t>
      </w:r>
    </w:p>
    <w:p w14:paraId="47EBB9A4" w14:textId="0971630D" w:rsidR="00FC180D" w:rsidRPr="00FC180D" w:rsidRDefault="00FC180D" w:rsidP="00FC180D">
      <w:pPr>
        <w:pStyle w:val="ListParagraph"/>
        <w:numPr>
          <w:ilvl w:val="0"/>
          <w:numId w:val="7"/>
        </w:num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Hartimi i planit të prokurimit të DBF për vitin 2026,</w:t>
      </w:r>
    </w:p>
    <w:p w14:paraId="5BA748C9" w14:textId="77777777" w:rsidR="00FC180D" w:rsidRPr="000222D3" w:rsidRDefault="00FC180D" w:rsidP="00FC180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222D3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0222D3">
        <w:rPr>
          <w:rFonts w:ascii="Times New Roman" w:eastAsia="Calibri" w:hAnsi="Times New Roman" w:cs="Times New Roman"/>
          <w:color w:val="000000"/>
        </w:rPr>
        <w:t>.</w:t>
      </w:r>
    </w:p>
    <w:p w14:paraId="3BA0407B" w14:textId="77777777" w:rsidR="00FC180D" w:rsidRDefault="00FC180D" w:rsidP="00FC180D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DD67306" w14:textId="77777777" w:rsidR="00FC180D" w:rsidRDefault="00FC180D" w:rsidP="00FC180D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7075377" w14:textId="77777777" w:rsidR="00FC180D" w:rsidRDefault="00FC180D" w:rsidP="00FC180D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6F19F576" w14:textId="1CAB7C90" w:rsidR="00FC180D" w:rsidRDefault="00FC180D" w:rsidP="00FC180D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9D66252" w14:textId="3086E4F7" w:rsidR="00FC180D" w:rsidRDefault="00FC180D" w:rsidP="00FC180D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20AB744" w14:textId="77777777" w:rsidR="00FC180D" w:rsidRPr="00676D5A" w:rsidRDefault="00FC180D" w:rsidP="00FC180D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1EAAC2C" w14:textId="77777777" w:rsidR="00FC180D" w:rsidRDefault="00FC180D" w:rsidP="00FC180D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2DBFB03" w14:textId="3A4B5B64" w:rsidR="00FC180D" w:rsidRPr="00B3474B" w:rsidRDefault="00FC180D" w:rsidP="00FC180D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DHJETOR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2025</w:t>
      </w:r>
    </w:p>
    <w:p w14:paraId="3C397290" w14:textId="77777777" w:rsidR="00FC180D" w:rsidRPr="00B3474B" w:rsidRDefault="00FC180D" w:rsidP="00FC180D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701"/>
        <w:gridCol w:w="1559"/>
      </w:tblGrid>
      <w:tr w:rsidR="00FC180D" w:rsidRPr="00944743" w14:paraId="28DE4556" w14:textId="77777777" w:rsidTr="00606B46">
        <w:trPr>
          <w:trHeight w:val="8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DB4D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ekonomike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shpenzimeve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DC68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Buxheti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6DE8" w14:textId="54209586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Dhjetor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2BE1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%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</w:t>
            </w:r>
            <w:proofErr w:type="spellEnd"/>
          </w:p>
        </w:tc>
      </w:tr>
      <w:tr w:rsidR="00FC180D" w:rsidRPr="00944743" w14:paraId="2A86D6E3" w14:textId="77777777" w:rsidTr="00606B4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6AB9D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shtesa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288CA" w14:textId="736BD904" w:rsidR="00FC180D" w:rsidRPr="00FC180D" w:rsidRDefault="00FC180D" w:rsidP="00606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80D">
              <w:rPr>
                <w:rFonts w:ascii="Times New Roman" w:hAnsi="Times New Roman" w:cs="Times New Roman"/>
              </w:rPr>
              <w:t>2,333,505.44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696CF" w14:textId="6C78E055" w:rsidR="00FC180D" w:rsidRPr="00041BB2" w:rsidRDefault="00C46E75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201,021.65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44C7B" w14:textId="228ADDA6" w:rsidR="00FC180D" w:rsidRPr="00041BB2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8.</w:t>
            </w:r>
            <w:r w:rsidR="00C46E75">
              <w:rPr>
                <w:rFonts w:ascii="Times New Roman" w:hAnsi="Times New Roman" w:cs="Times New Roman"/>
                <w:color w:val="000000"/>
              </w:rPr>
              <w:t>6</w:t>
            </w:r>
            <w:r w:rsidRPr="00041BB2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C180D" w:rsidRPr="00944743" w14:paraId="2C705C17" w14:textId="77777777" w:rsidTr="00606B4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E91E4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shërbime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F9FFD" w14:textId="1B1B3346" w:rsidR="00FC180D" w:rsidRPr="00FC180D" w:rsidRDefault="00FC180D" w:rsidP="00606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80D">
              <w:rPr>
                <w:rFonts w:ascii="Times New Roman" w:hAnsi="Times New Roman" w:cs="Times New Roman"/>
              </w:rPr>
              <w:t>1,048,306.44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5D50" w14:textId="1D598327" w:rsidR="00FC180D" w:rsidRPr="00041BB2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</w:t>
            </w:r>
            <w:r w:rsidR="00C46E75">
              <w:rPr>
                <w:rFonts w:ascii="Times New Roman" w:hAnsi="Times New Roman" w:cs="Times New Roman"/>
                <w:color w:val="000000"/>
              </w:rPr>
              <w:t>94,080.79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ACF0" w14:textId="1747B275" w:rsidR="00FC180D" w:rsidRPr="00041BB2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</w:t>
            </w:r>
            <w:r w:rsidR="00C46E75">
              <w:rPr>
                <w:rFonts w:ascii="Times New Roman" w:hAnsi="Times New Roman" w:cs="Times New Roman"/>
                <w:color w:val="000000"/>
              </w:rPr>
              <w:t>8</w:t>
            </w:r>
            <w:r w:rsidRPr="00041BB2">
              <w:rPr>
                <w:rFonts w:ascii="Times New Roman" w:hAnsi="Times New Roman" w:cs="Times New Roman"/>
                <w:color w:val="000000"/>
              </w:rPr>
              <w:t>.</w:t>
            </w:r>
            <w:r w:rsidR="00C46E7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C180D" w:rsidRPr="00944743" w14:paraId="507DC476" w14:textId="77777777" w:rsidTr="00606B4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9D38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komunale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15664" w14:textId="77777777" w:rsidR="00FC180D" w:rsidRPr="00FC180D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C180D">
              <w:rPr>
                <w:rFonts w:ascii="Times New Roman" w:hAnsi="Times New Roman" w:cs="Times New Roman"/>
              </w:rPr>
              <w:t>114,000.00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C2DA4" w14:textId="5F61C973" w:rsidR="00FC180D" w:rsidRPr="00041BB2" w:rsidRDefault="00C46E75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11,544.85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DB53" w14:textId="1F3A370B" w:rsidR="00FC180D" w:rsidRPr="00041BB2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</w:t>
            </w:r>
            <w:r w:rsidR="00C46E75">
              <w:rPr>
                <w:rFonts w:ascii="Times New Roman" w:hAnsi="Times New Roman" w:cs="Times New Roman"/>
                <w:color w:val="000000"/>
              </w:rPr>
              <w:t>0.1</w:t>
            </w:r>
            <w:r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C180D" w:rsidRPr="00944743" w14:paraId="4A68C3DD" w14:textId="77777777" w:rsidTr="00606B4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6BD62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trans.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1C43" w14:textId="31B4727B" w:rsidR="00FC180D" w:rsidRPr="00FC180D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C180D">
              <w:rPr>
                <w:rFonts w:ascii="Times New Roman" w:hAnsi="Times New Roman" w:cs="Times New Roman"/>
              </w:rPr>
              <w:t>193,520.00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51100" w14:textId="1AD13DAB" w:rsidR="00FC180D" w:rsidRPr="00041BB2" w:rsidRDefault="00C46E75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41,194.80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24F6" w14:textId="2C6615E7" w:rsidR="00FC180D" w:rsidRPr="00041BB2" w:rsidRDefault="00C46E75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21.2</w:t>
            </w:r>
            <w:r w:rsidR="00FC180D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C180D" w:rsidRPr="00944743" w14:paraId="117B643E" w14:textId="77777777" w:rsidTr="00606B4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CE9A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kapitale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B135" w14:textId="200F1B96" w:rsidR="00FC180D" w:rsidRPr="00FC180D" w:rsidRDefault="00FC180D" w:rsidP="00606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80D">
              <w:rPr>
                <w:rFonts w:ascii="Times New Roman" w:hAnsi="Times New Roman" w:cs="Times New Roman"/>
              </w:rPr>
              <w:t>1,295,254.03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2E7C3" w14:textId="69341497" w:rsidR="00FC180D" w:rsidRPr="00041BB2" w:rsidRDefault="00C46E75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387,754.30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15CD" w14:textId="57E6F1F8" w:rsidR="00FC180D" w:rsidRPr="00041BB2" w:rsidRDefault="00C46E75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29.9</w:t>
            </w:r>
            <w:r w:rsidR="00FC180D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C180D" w:rsidRPr="00041BB2" w14:paraId="6351DFF9" w14:textId="77777777" w:rsidTr="00606B4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6149" w14:textId="77777777" w:rsidR="00FC180D" w:rsidRPr="00944743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014B" w14:textId="0FA1F504" w:rsidR="00FC180D" w:rsidRPr="00FC180D" w:rsidRDefault="00FC180D" w:rsidP="00606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180D">
              <w:rPr>
                <w:rFonts w:ascii="Times New Roman" w:hAnsi="Times New Roman" w:cs="Times New Roman"/>
                <w:b/>
                <w:bCs/>
              </w:rPr>
              <w:t>4,984,585.91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5091" w14:textId="414D2FDE" w:rsidR="00FC180D" w:rsidRPr="00041BB2" w:rsidRDefault="00C46E75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835,596.39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3BEF6" w14:textId="400D4475" w:rsidR="00FC180D" w:rsidRPr="00041BB2" w:rsidRDefault="00FC180D" w:rsidP="006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C46E7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041BB2">
              <w:rPr>
                <w:rFonts w:ascii="Times New Roman" w:hAnsi="Times New Roman" w:cs="Times New Roman"/>
                <w:b/>
                <w:bCs/>
                <w:color w:val="000000"/>
              </w:rPr>
              <w:t>.7 %</w:t>
            </w:r>
          </w:p>
        </w:tc>
      </w:tr>
    </w:tbl>
    <w:p w14:paraId="570A2FFE" w14:textId="77777777" w:rsidR="00FC180D" w:rsidRPr="00B3474B" w:rsidRDefault="00FC180D" w:rsidP="00FC180D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14:paraId="3CE009A0" w14:textId="77777777" w:rsidR="00FC180D" w:rsidRPr="00B3474B" w:rsidRDefault="00FC180D" w:rsidP="00FC180D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14:paraId="79DE1D9B" w14:textId="77777777" w:rsidR="00FC180D" w:rsidRPr="00B3474B" w:rsidRDefault="00FC180D" w:rsidP="00FC180D">
      <w:pPr>
        <w:rPr>
          <w:rFonts w:ascii="Times New Roman" w:hAnsi="Times New Roman" w:cs="Times New Roman"/>
        </w:rPr>
      </w:pPr>
    </w:p>
    <w:p w14:paraId="5922C562" w14:textId="5042902C" w:rsidR="00FC180D" w:rsidRPr="00B3474B" w:rsidRDefault="00FC180D" w:rsidP="00FC180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Planifikimi i të hyrave vetanake për vitin 2025 është në shumë prej 339,719.00 €.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Inkasimi i të hyrave për muajin </w:t>
      </w:r>
      <w:r w:rsidR="00806125">
        <w:rPr>
          <w:rFonts w:ascii="Times New Roman" w:eastAsia="Calibri" w:hAnsi="Times New Roman" w:cs="Times New Roman"/>
          <w:color w:val="000000"/>
          <w:sz w:val="24"/>
          <w:szCs w:val="24"/>
        </w:rPr>
        <w:t>Dhjetor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ësht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 në shumë prej</w:t>
      </w:r>
      <w:r w:rsidR="008061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191,377.29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€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Ndërsa nga muaji Janar deri në muajin </w:t>
      </w:r>
      <w:r w:rsidR="00806125">
        <w:rPr>
          <w:rFonts w:ascii="Times New Roman" w:eastAsia="Calibri" w:hAnsi="Times New Roman" w:cs="Times New Roman"/>
          <w:color w:val="000000"/>
          <w:sz w:val="24"/>
          <w:szCs w:val="24"/>
        </w:rPr>
        <w:t>Dhjetor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nga të hyrat direkte dhe indirekte kemi </w:t>
      </w:r>
      <w:r w:rsidRPr="00C15333">
        <w:rPr>
          <w:rFonts w:ascii="Times New Roman" w:eastAsia="Calibri" w:hAnsi="Times New Roman" w:cs="Times New Roman"/>
          <w:color w:val="000000"/>
          <w:sz w:val="24"/>
          <w:szCs w:val="24"/>
        </w:rPr>
        <w:t>inkasuar</w:t>
      </w:r>
      <w:r w:rsidRPr="00C1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061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1,417,269.16</w:t>
      </w:r>
      <w:r w:rsidRPr="00C1533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C153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€ ose </w:t>
      </w:r>
      <w:r w:rsidR="008061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1,077,550.16</w:t>
      </w:r>
      <w:r w:rsidRPr="00C153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€ </w:t>
      </w:r>
      <w:r w:rsidRPr="00C15333">
        <w:rPr>
          <w:rFonts w:ascii="Times New Roman" w:eastAsia="Calibri" w:hAnsi="Times New Roman" w:cs="Times New Roman"/>
          <w:color w:val="000000"/>
          <w:sz w:val="24"/>
          <w:szCs w:val="24"/>
        </w:rPr>
        <w:t>tejkalim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vlerë tejkalim prej projeksionit vjetor. </w:t>
      </w:r>
    </w:p>
    <w:p w14:paraId="25FB2708" w14:textId="77777777" w:rsidR="00FC180D" w:rsidRDefault="00FC180D" w:rsidP="00FC18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151CFF" w14:textId="6FD7C92C" w:rsidR="00FC180D" w:rsidRDefault="00FC180D" w:rsidP="00FC18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Pranimi i një donacioni nga </w:t>
      </w:r>
      <w:r w:rsidR="00806125">
        <w:rPr>
          <w:rFonts w:ascii="Times New Roman" w:eastAsia="Times New Roman" w:hAnsi="Times New Roman" w:cs="Times New Roman"/>
          <w:sz w:val="24"/>
          <w:szCs w:val="24"/>
        </w:rPr>
        <w:t xml:space="preserve">Bashkimi Evropian në shumë prej 168,802.34 </w:t>
      </w:r>
      <w:r>
        <w:rPr>
          <w:rFonts w:ascii="Times New Roman" w:eastAsia="Times New Roman" w:hAnsi="Times New Roman" w:cs="Times New Roman"/>
          <w:sz w:val="24"/>
          <w:szCs w:val="24"/>
        </w:rPr>
        <w:t>€,</w:t>
      </w:r>
    </w:p>
    <w:p w14:paraId="45214811" w14:textId="77777777" w:rsidR="00FC180D" w:rsidRDefault="00FC180D" w:rsidP="00FC18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8D69ECD" w14:textId="77777777" w:rsidR="00FC180D" w:rsidRDefault="00FC180D" w:rsidP="00FC18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C96E428" w14:textId="77777777" w:rsidR="00FC180D" w:rsidRDefault="00FC180D" w:rsidP="00FC18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3BBA986" w14:textId="77777777" w:rsidR="00FC180D" w:rsidRPr="00B3474B" w:rsidRDefault="00FC180D" w:rsidP="00FC180D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14:paraId="61634F19" w14:textId="77777777" w:rsidR="00FC180D" w:rsidRPr="00B3474B" w:rsidRDefault="00FC180D" w:rsidP="00FC180D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9DE4E9F" w14:textId="77777777" w:rsidR="00FC180D" w:rsidRDefault="00FC180D" w:rsidP="00FC180D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14:paraId="207AE9C1" w14:textId="77777777" w:rsidR="00FC180D" w:rsidRDefault="00FC180D" w:rsidP="00FC180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ëshimin e faturave të tatimit në pronë, </w:t>
      </w:r>
    </w:p>
    <w:p w14:paraId="17394C96" w14:textId="4830F725" w:rsidR="00FC180D" w:rsidRPr="00806125" w:rsidRDefault="00FC180D" w:rsidP="00FC180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125">
        <w:rPr>
          <w:rFonts w:ascii="Times New Roman" w:eastAsia="MS Mincho" w:hAnsi="Times New Roman" w:cs="Times New Roman"/>
          <w:color w:val="000000"/>
          <w:sz w:val="24"/>
          <w:szCs w:val="24"/>
        </w:rPr>
        <w:t>Lëshimin e vërtetimeve për qëllime të ndryshme</w:t>
      </w:r>
      <w:r w:rsidR="00806125" w:rsidRPr="0080612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</w:p>
    <w:p w14:paraId="1986168B" w14:textId="4907FB25" w:rsidR="00806125" w:rsidRDefault="00806125" w:rsidP="00806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3A8525" w14:textId="77777777" w:rsidR="00806125" w:rsidRPr="00806125" w:rsidRDefault="00806125" w:rsidP="00806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BE219" w14:textId="77777777" w:rsidR="00FC180D" w:rsidRPr="00B3474B" w:rsidRDefault="00FC180D" w:rsidP="00FC180D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14:paraId="0686CED0" w14:textId="2B74937E" w:rsidR="00FC180D" w:rsidRDefault="00FC180D" w:rsidP="00FC180D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p w14:paraId="7CB8BEDA" w14:textId="77777777" w:rsidR="00FC180D" w:rsidRDefault="00FC180D" w:rsidP="00FC180D"/>
    <w:p w14:paraId="567EA15D" w14:textId="77777777" w:rsidR="00FC180D" w:rsidRDefault="00FC180D" w:rsidP="00FC180D"/>
    <w:p w14:paraId="6743F801" w14:textId="77777777" w:rsidR="005971C0" w:rsidRDefault="005971C0"/>
    <w:sectPr w:rsidR="005971C0" w:rsidSect="002D4A8C">
      <w:footerReference w:type="default" r:id="rId10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4CBED" w14:textId="77777777" w:rsidR="00DC79AC" w:rsidRDefault="00DC79AC">
      <w:pPr>
        <w:spacing w:after="0" w:line="240" w:lineRule="auto"/>
      </w:pPr>
      <w:r>
        <w:separator/>
      </w:r>
    </w:p>
  </w:endnote>
  <w:endnote w:type="continuationSeparator" w:id="0">
    <w:p w14:paraId="5C229996" w14:textId="77777777" w:rsidR="00DC79AC" w:rsidRDefault="00DC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14:paraId="5359B7A9" w14:textId="77777777" w:rsidR="002D4A8C" w:rsidRDefault="00806125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7E2856" wp14:editId="34DE553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8E1B1" w14:textId="7A203F37" w:rsidR="002D4A8C" w:rsidRDefault="0080612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B47AA" w:rsidRPr="002B47A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7E285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14:paraId="7568E1B1" w14:textId="7A203F37" w:rsidR="002D4A8C" w:rsidRDefault="0080612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B47AA" w:rsidRPr="002B47A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2DE8" w14:textId="77777777" w:rsidR="00DC79AC" w:rsidRDefault="00DC79AC">
      <w:pPr>
        <w:spacing w:after="0" w:line="240" w:lineRule="auto"/>
      </w:pPr>
      <w:r>
        <w:separator/>
      </w:r>
    </w:p>
  </w:footnote>
  <w:footnote w:type="continuationSeparator" w:id="0">
    <w:p w14:paraId="0C358091" w14:textId="77777777" w:rsidR="00DC79AC" w:rsidRDefault="00DC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17060"/>
    <w:multiLevelType w:val="hybridMultilevel"/>
    <w:tmpl w:val="D33C27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D0D95"/>
    <w:multiLevelType w:val="hybridMultilevel"/>
    <w:tmpl w:val="5C8859C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FD1820"/>
    <w:multiLevelType w:val="hybridMultilevel"/>
    <w:tmpl w:val="5E2AC6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0D"/>
    <w:rsid w:val="002B47AA"/>
    <w:rsid w:val="005971C0"/>
    <w:rsid w:val="007F60B5"/>
    <w:rsid w:val="00806125"/>
    <w:rsid w:val="00C46E75"/>
    <w:rsid w:val="00DC79AC"/>
    <w:rsid w:val="00FB2E12"/>
    <w:rsid w:val="00F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F765"/>
  <w15:chartTrackingRefBased/>
  <w15:docId w15:val="{0DBE90DA-4D1C-46EB-9C19-E22D8BFF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0D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FC180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C1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180D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FC180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C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0D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Ballazhi</dc:creator>
  <cp:keywords/>
  <dc:description/>
  <cp:lastModifiedBy>Windows User</cp:lastModifiedBy>
  <cp:revision>2</cp:revision>
  <cp:lastPrinted>2026-01-26T10:25:00Z</cp:lastPrinted>
  <dcterms:created xsi:type="dcterms:W3CDTF">2026-01-26T13:39:00Z</dcterms:created>
  <dcterms:modified xsi:type="dcterms:W3CDTF">2026-01-26T13:39:00Z</dcterms:modified>
</cp:coreProperties>
</file>