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DD33E" w14:textId="3E192FF3" w:rsidR="00715663" w:rsidRPr="00A67A0F" w:rsidRDefault="00A67A0F" w:rsidP="00A67A0F">
      <w:pPr>
        <w:jc w:val="center"/>
        <w:rPr>
          <w:rFonts w:ascii="Times New Roman" w:hAnsi="Times New Roman" w:cs="Times New Roman"/>
          <w:b/>
        </w:rPr>
      </w:pPr>
      <w:r w:rsidRPr="00A67A0F"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5BA856A5" wp14:editId="71935CA5">
            <wp:simplePos x="0" y="0"/>
            <wp:positionH relativeFrom="column">
              <wp:posOffset>-104775</wp:posOffset>
            </wp:positionH>
            <wp:positionV relativeFrom="paragraph">
              <wp:posOffset>-76200</wp:posOffset>
            </wp:positionV>
            <wp:extent cx="912495" cy="885825"/>
            <wp:effectExtent l="0" t="0" r="1905" b="9525"/>
            <wp:wrapNone/>
            <wp:docPr id="10" name="Picture 3" descr="Logoe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ere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15663" w:rsidRPr="00A67A0F"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36576" distB="36576" distL="36576" distR="36576" simplePos="0" relativeHeight="251661312" behindDoc="0" locked="0" layoutInCell="1" allowOverlap="1" wp14:anchorId="48474C56" wp14:editId="1E9B6AB4">
            <wp:simplePos x="0" y="0"/>
            <wp:positionH relativeFrom="column">
              <wp:posOffset>5069205</wp:posOffset>
            </wp:positionH>
            <wp:positionV relativeFrom="paragraph">
              <wp:posOffset>-85725</wp:posOffset>
            </wp:positionV>
            <wp:extent cx="1028700" cy="895350"/>
            <wp:effectExtent l="0" t="0" r="0" b="0"/>
            <wp:wrapNone/>
            <wp:docPr id="9" name="Picture 2" descr="STEM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95350"/>
                    </a:xfrm>
                    <a:prstGeom prst="rect">
                      <a:avLst/>
                    </a:prstGeom>
                    <a:noFill/>
                    <a:ln w="9525" algn="in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1477" w:rsidRPr="00A67A0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q-AL"/>
        </w:rPr>
        <w:t>REPUBLIKA E KOSOVËS - REPUBLIC O</w:t>
      </w:r>
      <w:r w:rsidR="00715663" w:rsidRPr="00A67A0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q-AL"/>
        </w:rPr>
        <w:t>F KOSOV</w:t>
      </w:r>
      <w:r w:rsidR="00326E4B" w:rsidRPr="00A67A0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q-AL"/>
        </w:rPr>
        <w:t>O</w:t>
      </w:r>
    </w:p>
    <w:p w14:paraId="58DDC7EA" w14:textId="77777777" w:rsidR="00715663" w:rsidRPr="00A67A0F" w:rsidRDefault="00715663" w:rsidP="00715663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sq-AL"/>
        </w:rPr>
      </w:pPr>
      <w:r w:rsidRPr="00A67A0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sq-AL"/>
        </w:rPr>
        <w:t>KOMUNA – MUNICIPALITY</w:t>
      </w:r>
    </w:p>
    <w:p w14:paraId="4F4B4668" w14:textId="77777777" w:rsidR="00715663" w:rsidRPr="00A67A0F" w:rsidRDefault="00715663" w:rsidP="00715663">
      <w:pPr>
        <w:pStyle w:val="Heading2"/>
        <w:pBdr>
          <w:bottom w:val="single" w:sz="12" w:space="1" w:color="auto"/>
        </w:pBdr>
        <w:tabs>
          <w:tab w:val="left" w:pos="2250"/>
        </w:tabs>
        <w:jc w:val="center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sq-AL"/>
        </w:rPr>
      </w:pPr>
      <w:r w:rsidRPr="00A67A0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sq-AL"/>
        </w:rPr>
        <w:t>HANI I ELEZIT</w:t>
      </w:r>
    </w:p>
    <w:p w14:paraId="15D8DAED" w14:textId="36895BBD" w:rsidR="00715663" w:rsidRPr="00830C1A" w:rsidRDefault="00715663" w:rsidP="00715663">
      <w:pPr>
        <w:jc w:val="right"/>
        <w:rPr>
          <w:rFonts w:ascii="Times New Roman" w:hAnsi="Times New Roman" w:cs="Times New Roman"/>
          <w:b/>
          <w:bCs/>
          <w:u w:val="single"/>
        </w:rPr>
      </w:pPr>
      <w:r w:rsidRPr="00830C1A">
        <w:rPr>
          <w:rFonts w:ascii="Times New Roman" w:hAnsi="Times New Roman" w:cs="Times New Roman"/>
          <w:b/>
          <w:bCs/>
          <w:u w:val="single"/>
        </w:rPr>
        <w:softHyphen/>
      </w:r>
      <w:r w:rsidRPr="00830C1A">
        <w:rPr>
          <w:rFonts w:ascii="Times New Roman" w:hAnsi="Times New Roman" w:cs="Times New Roman"/>
          <w:b/>
          <w:bCs/>
          <w:u w:val="single"/>
        </w:rPr>
        <w:softHyphen/>
      </w:r>
      <w:r w:rsidRPr="00830C1A">
        <w:rPr>
          <w:rFonts w:ascii="Times New Roman" w:hAnsi="Times New Roman" w:cs="Times New Roman"/>
          <w:b/>
          <w:bCs/>
          <w:u w:val="single"/>
        </w:rPr>
        <w:softHyphen/>
      </w:r>
      <w:r w:rsidRPr="00830C1A">
        <w:rPr>
          <w:rFonts w:ascii="Times New Roman" w:hAnsi="Times New Roman" w:cs="Times New Roman"/>
          <w:b/>
          <w:bCs/>
          <w:u w:val="single"/>
        </w:rPr>
        <w:softHyphen/>
      </w:r>
      <w:r w:rsidRPr="00830C1A">
        <w:rPr>
          <w:rFonts w:ascii="Times New Roman" w:hAnsi="Times New Roman" w:cs="Times New Roman"/>
          <w:b/>
          <w:bCs/>
          <w:u w:val="single"/>
        </w:rPr>
        <w:softHyphen/>
      </w:r>
      <w:r w:rsidRPr="00830C1A">
        <w:rPr>
          <w:rFonts w:ascii="Times New Roman" w:hAnsi="Times New Roman" w:cs="Times New Roman"/>
          <w:b/>
          <w:bCs/>
          <w:u w:val="single"/>
        </w:rPr>
        <w:softHyphen/>
      </w:r>
      <w:r w:rsidRPr="00830C1A">
        <w:rPr>
          <w:rFonts w:ascii="Times New Roman" w:hAnsi="Times New Roman" w:cs="Times New Roman"/>
          <w:b/>
          <w:bCs/>
          <w:u w:val="single"/>
        </w:rPr>
        <w:softHyphen/>
      </w:r>
      <w:r w:rsidRPr="00830C1A">
        <w:rPr>
          <w:rFonts w:ascii="Times New Roman" w:hAnsi="Times New Roman" w:cs="Times New Roman"/>
          <w:b/>
          <w:bCs/>
          <w:u w:val="single"/>
        </w:rPr>
        <w:softHyphen/>
      </w:r>
      <w:r w:rsidRPr="00830C1A">
        <w:rPr>
          <w:rFonts w:ascii="Times New Roman" w:hAnsi="Times New Roman" w:cs="Times New Roman"/>
          <w:b/>
          <w:bCs/>
          <w:u w:val="single"/>
        </w:rPr>
        <w:softHyphen/>
      </w:r>
      <w:r w:rsidRPr="00830C1A">
        <w:rPr>
          <w:rFonts w:ascii="Times New Roman" w:hAnsi="Times New Roman" w:cs="Times New Roman"/>
          <w:b/>
          <w:bCs/>
          <w:u w:val="single"/>
        </w:rPr>
        <w:softHyphen/>
      </w:r>
      <w:r w:rsidRPr="00830C1A">
        <w:rPr>
          <w:rFonts w:ascii="Times New Roman" w:hAnsi="Times New Roman" w:cs="Times New Roman"/>
          <w:b/>
          <w:bCs/>
          <w:u w:val="single"/>
        </w:rPr>
        <w:softHyphen/>
      </w:r>
      <w:r w:rsidRPr="00830C1A">
        <w:rPr>
          <w:rFonts w:ascii="Times New Roman" w:hAnsi="Times New Roman" w:cs="Times New Roman"/>
          <w:b/>
          <w:bCs/>
          <w:u w:val="single"/>
        </w:rPr>
        <w:softHyphen/>
      </w:r>
      <w:r w:rsidRPr="00830C1A">
        <w:rPr>
          <w:rFonts w:ascii="Times New Roman" w:hAnsi="Times New Roman" w:cs="Times New Roman"/>
          <w:b/>
          <w:bCs/>
          <w:u w:val="single"/>
        </w:rPr>
        <w:softHyphen/>
      </w:r>
      <w:r w:rsidRPr="00830C1A">
        <w:rPr>
          <w:rFonts w:ascii="Times New Roman" w:hAnsi="Times New Roman" w:cs="Times New Roman"/>
          <w:b/>
          <w:bCs/>
          <w:u w:val="single"/>
        </w:rPr>
        <w:softHyphen/>
      </w:r>
      <w:r w:rsidRPr="00830C1A">
        <w:rPr>
          <w:rFonts w:ascii="Times New Roman" w:hAnsi="Times New Roman" w:cs="Times New Roman"/>
          <w:b/>
          <w:bCs/>
          <w:u w:val="single"/>
        </w:rPr>
        <w:softHyphen/>
      </w:r>
      <w:r w:rsidRPr="00830C1A">
        <w:rPr>
          <w:rFonts w:ascii="Times New Roman" w:hAnsi="Times New Roman" w:cs="Times New Roman"/>
          <w:b/>
          <w:bCs/>
          <w:u w:val="single"/>
        </w:rPr>
        <w:softHyphen/>
      </w:r>
      <w:r w:rsidRPr="00830C1A">
        <w:rPr>
          <w:rFonts w:ascii="Times New Roman" w:hAnsi="Times New Roman" w:cs="Times New Roman"/>
          <w:b/>
          <w:bCs/>
          <w:u w:val="single"/>
        </w:rPr>
        <w:softHyphen/>
      </w:r>
      <w:r w:rsidRPr="00830C1A">
        <w:rPr>
          <w:rFonts w:ascii="Times New Roman" w:hAnsi="Times New Roman" w:cs="Times New Roman"/>
          <w:b/>
          <w:bCs/>
          <w:u w:val="single"/>
        </w:rPr>
        <w:softHyphen/>
      </w:r>
      <w:r w:rsidRPr="00830C1A">
        <w:rPr>
          <w:rFonts w:ascii="Times New Roman" w:hAnsi="Times New Roman" w:cs="Times New Roman"/>
          <w:b/>
          <w:bCs/>
          <w:u w:val="single"/>
        </w:rPr>
        <w:softHyphen/>
      </w:r>
      <w:r w:rsidRPr="00830C1A">
        <w:rPr>
          <w:rFonts w:ascii="Times New Roman" w:hAnsi="Times New Roman" w:cs="Times New Roman"/>
          <w:b/>
          <w:bCs/>
          <w:u w:val="single"/>
        </w:rPr>
        <w:softHyphen/>
      </w:r>
      <w:r w:rsidRPr="00830C1A">
        <w:rPr>
          <w:rFonts w:ascii="Times New Roman" w:hAnsi="Times New Roman" w:cs="Times New Roman"/>
          <w:b/>
          <w:bCs/>
          <w:u w:val="single"/>
        </w:rPr>
        <w:softHyphen/>
        <w:t>04/</w:t>
      </w:r>
      <w:r w:rsidR="00AC01B6">
        <w:rPr>
          <w:rFonts w:ascii="Times New Roman" w:hAnsi="Times New Roman" w:cs="Times New Roman"/>
          <w:b/>
          <w:bCs/>
          <w:u w:val="single"/>
        </w:rPr>
        <w:t>7008</w:t>
      </w:r>
      <w:r w:rsidR="00681CDB" w:rsidRPr="00830C1A">
        <w:rPr>
          <w:rFonts w:ascii="Times New Roman" w:hAnsi="Times New Roman" w:cs="Times New Roman"/>
          <w:b/>
          <w:bCs/>
          <w:u w:val="single"/>
        </w:rPr>
        <w:t>/</w:t>
      </w:r>
      <w:r w:rsidR="00C10B6B">
        <w:rPr>
          <w:rFonts w:ascii="Times New Roman" w:hAnsi="Times New Roman" w:cs="Times New Roman"/>
          <w:b/>
          <w:bCs/>
          <w:u w:val="single"/>
        </w:rPr>
        <w:t>202</w:t>
      </w:r>
      <w:r w:rsidR="00326E4B">
        <w:rPr>
          <w:rFonts w:ascii="Times New Roman" w:hAnsi="Times New Roman" w:cs="Times New Roman"/>
          <w:b/>
          <w:bCs/>
          <w:u w:val="single"/>
        </w:rPr>
        <w:t>5</w:t>
      </w:r>
    </w:p>
    <w:p w14:paraId="3B537317" w14:textId="1AED6D21" w:rsidR="00715663" w:rsidRPr="00C10B6B" w:rsidRDefault="00C10B6B" w:rsidP="00715663">
      <w:pPr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Data:</w:t>
      </w:r>
      <w:r w:rsidR="00AC01B6">
        <w:rPr>
          <w:rFonts w:ascii="Times New Roman" w:hAnsi="Times New Roman" w:cs="Times New Roman"/>
          <w:b/>
          <w:bCs/>
          <w:u w:val="single"/>
        </w:rPr>
        <w:t>28/08/</w:t>
      </w:r>
      <w:r w:rsidRPr="00C10B6B">
        <w:rPr>
          <w:rFonts w:ascii="Times New Roman" w:hAnsi="Times New Roman" w:cs="Times New Roman"/>
          <w:b/>
          <w:bCs/>
          <w:u w:val="single"/>
        </w:rPr>
        <w:t>202</w:t>
      </w:r>
      <w:r w:rsidR="00326E4B">
        <w:rPr>
          <w:rFonts w:ascii="Times New Roman" w:hAnsi="Times New Roman" w:cs="Times New Roman"/>
          <w:b/>
          <w:bCs/>
          <w:u w:val="single"/>
        </w:rPr>
        <w:t>5</w:t>
      </w:r>
    </w:p>
    <w:p w14:paraId="0B730DA7" w14:textId="77777777" w:rsidR="00715663" w:rsidRPr="002E671F" w:rsidRDefault="00715663" w:rsidP="00715663">
      <w:pPr>
        <w:jc w:val="right"/>
        <w:rPr>
          <w:rFonts w:ascii="Times New Roman" w:hAnsi="Times New Roman" w:cs="Times New Roman"/>
          <w:b/>
          <w:bCs/>
        </w:rPr>
      </w:pPr>
    </w:p>
    <w:p w14:paraId="57DF8068" w14:textId="77777777" w:rsidR="00715663" w:rsidRPr="002E671F" w:rsidRDefault="00715663" w:rsidP="00715663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344DED39" w14:textId="77777777" w:rsidR="00715663" w:rsidRPr="002E671F" w:rsidRDefault="00715663" w:rsidP="00715663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2C927C93" w14:textId="77777777" w:rsidR="00715663" w:rsidRPr="002E671F" w:rsidRDefault="00715663" w:rsidP="00715663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0AC1D737" w14:textId="77777777" w:rsidR="00715663" w:rsidRPr="002E671F" w:rsidRDefault="00715663" w:rsidP="00715663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496A1B38" w14:textId="010314CB" w:rsidR="00715663" w:rsidRPr="002E671F" w:rsidRDefault="00C10B6B" w:rsidP="00715663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PROJEKT BUXHETI PËR VITIN 202</w:t>
      </w:r>
      <w:r w:rsidR="00326E4B">
        <w:rPr>
          <w:rFonts w:ascii="Times New Roman" w:hAnsi="Times New Roman" w:cs="Times New Roman"/>
          <w:b/>
          <w:bCs/>
          <w:sz w:val="52"/>
          <w:szCs w:val="52"/>
        </w:rPr>
        <w:t>6</w:t>
      </w:r>
      <w:r w:rsidR="00715663" w:rsidRPr="002E671F">
        <w:rPr>
          <w:rFonts w:ascii="Times New Roman" w:hAnsi="Times New Roman" w:cs="Times New Roman"/>
          <w:b/>
          <w:bCs/>
          <w:sz w:val="52"/>
          <w:szCs w:val="52"/>
        </w:rPr>
        <w:t xml:space="preserve"> DHE</w:t>
      </w:r>
      <w:r w:rsidR="00D05321">
        <w:rPr>
          <w:rFonts w:ascii="Times New Roman" w:hAnsi="Times New Roman" w:cs="Times New Roman"/>
          <w:b/>
          <w:bCs/>
          <w:sz w:val="52"/>
          <w:szCs w:val="52"/>
        </w:rPr>
        <w:t xml:space="preserve"> PARASHIKIMET BUXHETORE PËR VITET</w:t>
      </w:r>
      <w:r>
        <w:rPr>
          <w:rFonts w:ascii="Times New Roman" w:hAnsi="Times New Roman" w:cs="Times New Roman"/>
          <w:b/>
          <w:bCs/>
          <w:sz w:val="52"/>
          <w:szCs w:val="52"/>
        </w:rPr>
        <w:t xml:space="preserve"> 202</w:t>
      </w:r>
      <w:r w:rsidR="00326E4B">
        <w:rPr>
          <w:rFonts w:ascii="Times New Roman" w:hAnsi="Times New Roman" w:cs="Times New Roman"/>
          <w:b/>
          <w:bCs/>
          <w:sz w:val="52"/>
          <w:szCs w:val="52"/>
        </w:rPr>
        <w:t>7</w:t>
      </w:r>
      <w:r>
        <w:rPr>
          <w:rFonts w:ascii="Times New Roman" w:hAnsi="Times New Roman" w:cs="Times New Roman"/>
          <w:b/>
          <w:bCs/>
          <w:sz w:val="52"/>
          <w:szCs w:val="52"/>
        </w:rPr>
        <w:t>-202</w:t>
      </w:r>
      <w:r w:rsidR="00326E4B">
        <w:rPr>
          <w:rFonts w:ascii="Times New Roman" w:hAnsi="Times New Roman" w:cs="Times New Roman"/>
          <w:b/>
          <w:bCs/>
          <w:sz w:val="52"/>
          <w:szCs w:val="52"/>
        </w:rPr>
        <w:t>8</w:t>
      </w:r>
    </w:p>
    <w:p w14:paraId="06A2FCB4" w14:textId="77777777" w:rsidR="00715663" w:rsidRPr="002E671F" w:rsidRDefault="00715663" w:rsidP="00715663">
      <w:pPr>
        <w:rPr>
          <w:rFonts w:ascii="Times New Roman" w:hAnsi="Times New Roman" w:cs="Times New Roman"/>
          <w:sz w:val="52"/>
          <w:szCs w:val="52"/>
        </w:rPr>
      </w:pPr>
    </w:p>
    <w:p w14:paraId="35C53233" w14:textId="77777777" w:rsidR="00715663" w:rsidRPr="002E671F" w:rsidRDefault="00715663" w:rsidP="00715663">
      <w:pPr>
        <w:rPr>
          <w:rFonts w:ascii="Times New Roman" w:hAnsi="Times New Roman" w:cs="Times New Roman"/>
          <w:sz w:val="52"/>
          <w:szCs w:val="52"/>
        </w:rPr>
      </w:pPr>
    </w:p>
    <w:p w14:paraId="692399D4" w14:textId="77777777" w:rsidR="00715663" w:rsidRPr="002E671F" w:rsidRDefault="00715663" w:rsidP="00715663">
      <w:pPr>
        <w:rPr>
          <w:rFonts w:ascii="Times New Roman" w:hAnsi="Times New Roman" w:cs="Times New Roman"/>
          <w:sz w:val="52"/>
          <w:szCs w:val="52"/>
        </w:rPr>
      </w:pPr>
    </w:p>
    <w:p w14:paraId="15D148EA" w14:textId="77777777" w:rsidR="00715663" w:rsidRPr="002E671F" w:rsidRDefault="00715663" w:rsidP="00715663">
      <w:pPr>
        <w:rPr>
          <w:rFonts w:ascii="Times New Roman" w:hAnsi="Times New Roman" w:cs="Times New Roman"/>
          <w:sz w:val="52"/>
          <w:szCs w:val="52"/>
        </w:rPr>
      </w:pPr>
    </w:p>
    <w:p w14:paraId="6D0E2E19" w14:textId="77777777" w:rsidR="00582E75" w:rsidRDefault="00582E75" w:rsidP="00582E75">
      <w:pPr>
        <w:pStyle w:val="Title"/>
        <w:jc w:val="center"/>
        <w:rPr>
          <w:rFonts w:ascii="Times New Roman" w:hAnsi="Times New Roman" w:cs="Times New Roman"/>
          <w:sz w:val="32"/>
        </w:rPr>
      </w:pPr>
    </w:p>
    <w:p w14:paraId="4A47C542" w14:textId="77777777" w:rsidR="00E628B0" w:rsidRDefault="00E628B0" w:rsidP="00582E75">
      <w:pPr>
        <w:pStyle w:val="Title"/>
        <w:jc w:val="center"/>
        <w:rPr>
          <w:rFonts w:ascii="Times New Roman" w:hAnsi="Times New Roman" w:cs="Times New Roman"/>
          <w:sz w:val="28"/>
        </w:rPr>
      </w:pPr>
    </w:p>
    <w:p w14:paraId="1BFF9CD5" w14:textId="77777777" w:rsidR="00E628B0" w:rsidRDefault="00E628B0" w:rsidP="00582E75">
      <w:pPr>
        <w:pStyle w:val="Title"/>
        <w:jc w:val="center"/>
        <w:rPr>
          <w:rFonts w:ascii="Times New Roman" w:hAnsi="Times New Roman" w:cs="Times New Roman"/>
          <w:sz w:val="28"/>
        </w:rPr>
      </w:pPr>
    </w:p>
    <w:p w14:paraId="11F2DFD6" w14:textId="77777777" w:rsidR="00E628B0" w:rsidRDefault="00C10B6B" w:rsidP="00582E75">
      <w:pPr>
        <w:pStyle w:val="Title"/>
        <w:jc w:val="center"/>
        <w:rPr>
          <w:rFonts w:ascii="Times New Roman" w:hAnsi="Times New Roman" w:cs="Times New Roman"/>
          <w:sz w:val="28"/>
        </w:rPr>
      </w:pPr>
      <w:r w:rsidRPr="00582E75">
        <w:rPr>
          <w:rFonts w:ascii="Times New Roman" w:hAnsi="Times New Roman" w:cs="Times New Roman"/>
          <w:sz w:val="28"/>
        </w:rPr>
        <w:t>Hani i Elezit, 202</w:t>
      </w:r>
      <w:r w:rsidR="00326E4B">
        <w:rPr>
          <w:rFonts w:ascii="Times New Roman" w:hAnsi="Times New Roman" w:cs="Times New Roman"/>
          <w:sz w:val="28"/>
        </w:rPr>
        <w:t>5</w:t>
      </w:r>
    </w:p>
    <w:p w14:paraId="5B91ED08" w14:textId="77777777" w:rsidR="00126E75" w:rsidRDefault="00126E75" w:rsidP="00582E75">
      <w:pPr>
        <w:pStyle w:val="Title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q-AL"/>
        </w:rPr>
      </w:pPr>
    </w:p>
    <w:p w14:paraId="53692841" w14:textId="250F6B3E" w:rsidR="00147B77" w:rsidRPr="00582E75" w:rsidRDefault="00147B77" w:rsidP="00582E75">
      <w:pPr>
        <w:pStyle w:val="Title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2E671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q-AL"/>
        </w:rPr>
        <w:lastRenderedPageBreak/>
        <w:t>Hyrje</w:t>
      </w:r>
    </w:p>
    <w:p w14:paraId="043A1B56" w14:textId="77777777" w:rsidR="00147B77" w:rsidRPr="002E671F" w:rsidRDefault="00147B77" w:rsidP="00147B77">
      <w:pPr>
        <w:jc w:val="both"/>
        <w:rPr>
          <w:rFonts w:ascii="Arial" w:hAnsi="Arial" w:cs="Arial"/>
          <w:color w:val="22251A"/>
          <w:shd w:val="clear" w:color="auto" w:fill="FFFFFF"/>
          <w:lang w:val="sq-AL"/>
        </w:rPr>
      </w:pPr>
    </w:p>
    <w:p w14:paraId="44375DED" w14:textId="52A8ECBD" w:rsidR="00147B77" w:rsidRPr="002E671F" w:rsidRDefault="00147B77" w:rsidP="00147B77">
      <w:pPr>
        <w:jc w:val="both"/>
        <w:rPr>
          <w:rFonts w:ascii="Times New Roman" w:hAnsi="Times New Roman"/>
          <w:color w:val="22251A"/>
          <w:sz w:val="24"/>
          <w:szCs w:val="24"/>
          <w:shd w:val="clear" w:color="auto" w:fill="FFFFFF"/>
          <w:lang w:val="sq-AL"/>
        </w:rPr>
      </w:pPr>
      <w:r w:rsidRPr="002E671F">
        <w:rPr>
          <w:rFonts w:ascii="Times New Roman" w:hAnsi="Times New Roman"/>
          <w:color w:val="22251A"/>
          <w:sz w:val="24"/>
          <w:szCs w:val="24"/>
          <w:shd w:val="clear" w:color="auto" w:fill="FFFFFF"/>
          <w:lang w:val="sq-AL"/>
        </w:rPr>
        <w:t xml:space="preserve">Buxheti i komunës së Hanit të Elezit është një plan fiskal që përcakton të hyrat dhe shpenzimet e parashikuara për të udhëhequr shërbimet dhe politikat që </w:t>
      </w:r>
      <w:r w:rsidR="00C10B6B">
        <w:rPr>
          <w:rFonts w:ascii="Times New Roman" w:hAnsi="Times New Roman"/>
          <w:color w:val="22251A"/>
          <w:sz w:val="24"/>
          <w:szCs w:val="24"/>
          <w:shd w:val="clear" w:color="auto" w:fill="FFFFFF"/>
          <w:lang w:val="sq-AL"/>
        </w:rPr>
        <w:t>zbatohen gjatë vitit fiskal 202</w:t>
      </w:r>
      <w:r w:rsidR="00326E4B">
        <w:rPr>
          <w:rFonts w:ascii="Times New Roman" w:hAnsi="Times New Roman"/>
          <w:color w:val="22251A"/>
          <w:sz w:val="24"/>
          <w:szCs w:val="24"/>
          <w:shd w:val="clear" w:color="auto" w:fill="FFFFFF"/>
          <w:lang w:val="sq-AL"/>
        </w:rPr>
        <w:t>6</w:t>
      </w:r>
      <w:r w:rsidRPr="002E671F">
        <w:rPr>
          <w:rFonts w:ascii="Times New Roman" w:hAnsi="Times New Roman"/>
          <w:color w:val="22251A"/>
          <w:sz w:val="24"/>
          <w:szCs w:val="24"/>
          <w:shd w:val="clear" w:color="auto" w:fill="FFFFFF"/>
          <w:lang w:val="sq-AL"/>
        </w:rPr>
        <w:t>. Ai përcakton bazat për ato që do të jenë qëllimet dhe arritjet e komunitetit tonë.</w:t>
      </w:r>
    </w:p>
    <w:p w14:paraId="1B1B22F8" w14:textId="1283A6A8" w:rsidR="00147B77" w:rsidRPr="002E671F" w:rsidRDefault="00147B77" w:rsidP="00147B77">
      <w:pPr>
        <w:jc w:val="both"/>
        <w:rPr>
          <w:rFonts w:ascii="Times New Roman" w:hAnsi="Times New Roman"/>
          <w:color w:val="22251A"/>
          <w:sz w:val="24"/>
          <w:szCs w:val="24"/>
          <w:shd w:val="clear" w:color="auto" w:fill="FFFFFF"/>
          <w:lang w:val="sq-AL"/>
        </w:rPr>
      </w:pPr>
      <w:r w:rsidRPr="002E671F">
        <w:rPr>
          <w:rFonts w:ascii="Times New Roman" w:hAnsi="Times New Roman"/>
          <w:color w:val="22251A"/>
          <w:sz w:val="24"/>
          <w:szCs w:val="24"/>
          <w:shd w:val="clear" w:color="auto" w:fill="FFFFFF"/>
          <w:lang w:val="sq-AL"/>
        </w:rPr>
        <w:t>Buxheti i propozuar do të vazhdojë të arrijë prioritetet afatmesme të komunës s</w:t>
      </w:r>
      <w:r w:rsidR="00C10B6B">
        <w:rPr>
          <w:rFonts w:ascii="Times New Roman" w:hAnsi="Times New Roman"/>
          <w:color w:val="22251A"/>
          <w:sz w:val="24"/>
          <w:szCs w:val="24"/>
          <w:shd w:val="clear" w:color="auto" w:fill="FFFFFF"/>
          <w:lang w:val="sq-AL"/>
        </w:rPr>
        <w:t xml:space="preserve">iç janë aprovuar në </w:t>
      </w:r>
      <w:r w:rsidR="00326E4B">
        <w:rPr>
          <w:rFonts w:ascii="Times New Roman" w:hAnsi="Times New Roman"/>
          <w:color w:val="22251A"/>
          <w:sz w:val="24"/>
          <w:szCs w:val="24"/>
          <w:shd w:val="clear" w:color="auto" w:fill="FFFFFF"/>
          <w:lang w:val="sq-AL"/>
        </w:rPr>
        <w:t>Q</w:t>
      </w:r>
      <w:r w:rsidR="00C10B6B">
        <w:rPr>
          <w:rFonts w:ascii="Times New Roman" w:hAnsi="Times New Roman"/>
          <w:color w:val="22251A"/>
          <w:sz w:val="24"/>
          <w:szCs w:val="24"/>
          <w:shd w:val="clear" w:color="auto" w:fill="FFFFFF"/>
          <w:lang w:val="sq-AL"/>
        </w:rPr>
        <w:t>ershor 202</w:t>
      </w:r>
      <w:r w:rsidR="00326E4B">
        <w:rPr>
          <w:rFonts w:ascii="Times New Roman" w:hAnsi="Times New Roman"/>
          <w:color w:val="22251A"/>
          <w:sz w:val="24"/>
          <w:szCs w:val="24"/>
          <w:shd w:val="clear" w:color="auto" w:fill="FFFFFF"/>
          <w:lang w:val="sq-AL"/>
        </w:rPr>
        <w:t>5</w:t>
      </w:r>
      <w:r w:rsidRPr="002E671F">
        <w:rPr>
          <w:rFonts w:ascii="Times New Roman" w:hAnsi="Times New Roman"/>
          <w:color w:val="22251A"/>
          <w:sz w:val="24"/>
          <w:szCs w:val="24"/>
          <w:shd w:val="clear" w:color="auto" w:fill="FFFFFF"/>
          <w:lang w:val="sq-AL"/>
        </w:rPr>
        <w:t xml:space="preserve"> me Kornizën Afatmesme </w:t>
      </w:r>
      <w:r w:rsidR="0027660F">
        <w:rPr>
          <w:rFonts w:ascii="Times New Roman" w:hAnsi="Times New Roman"/>
          <w:color w:val="22251A"/>
          <w:sz w:val="24"/>
          <w:szCs w:val="24"/>
          <w:shd w:val="clear" w:color="auto" w:fill="FFFFFF"/>
          <w:lang w:val="sq-AL"/>
        </w:rPr>
        <w:t>Buxhetore</w:t>
      </w:r>
      <w:r w:rsidRPr="002E671F">
        <w:rPr>
          <w:rFonts w:ascii="Times New Roman" w:hAnsi="Times New Roman"/>
          <w:color w:val="22251A"/>
          <w:sz w:val="24"/>
          <w:szCs w:val="24"/>
          <w:shd w:val="clear" w:color="auto" w:fill="FFFFFF"/>
          <w:lang w:val="sq-AL"/>
        </w:rPr>
        <w:t xml:space="preserve"> 202</w:t>
      </w:r>
      <w:r w:rsidR="00326E4B">
        <w:rPr>
          <w:rFonts w:ascii="Times New Roman" w:hAnsi="Times New Roman"/>
          <w:color w:val="22251A"/>
          <w:sz w:val="24"/>
          <w:szCs w:val="24"/>
          <w:shd w:val="clear" w:color="auto" w:fill="FFFFFF"/>
          <w:lang w:val="sq-AL"/>
        </w:rPr>
        <w:t>6</w:t>
      </w:r>
      <w:r w:rsidR="00C10B6B">
        <w:rPr>
          <w:rFonts w:ascii="Times New Roman" w:hAnsi="Times New Roman"/>
          <w:color w:val="22251A"/>
          <w:sz w:val="24"/>
          <w:szCs w:val="24"/>
          <w:shd w:val="clear" w:color="auto" w:fill="FFFFFF"/>
          <w:lang w:val="sq-AL"/>
        </w:rPr>
        <w:t>-202</w:t>
      </w:r>
      <w:r w:rsidR="00326E4B">
        <w:rPr>
          <w:rFonts w:ascii="Times New Roman" w:hAnsi="Times New Roman"/>
          <w:color w:val="22251A"/>
          <w:sz w:val="24"/>
          <w:szCs w:val="24"/>
          <w:shd w:val="clear" w:color="auto" w:fill="FFFFFF"/>
          <w:lang w:val="sq-AL"/>
        </w:rPr>
        <w:t>8</w:t>
      </w:r>
      <w:r w:rsidRPr="002E671F">
        <w:rPr>
          <w:rFonts w:ascii="Times New Roman" w:hAnsi="Times New Roman"/>
          <w:color w:val="22251A"/>
          <w:sz w:val="24"/>
          <w:szCs w:val="24"/>
          <w:shd w:val="clear" w:color="auto" w:fill="FFFFFF"/>
          <w:lang w:val="sq-AL"/>
        </w:rPr>
        <w:t>. Ju do të shihni se këtyre prioriteteve do t’i referohem përgjatë këtij dokumenti. Për më tepër, buxheti i propozuar reflekton kryesisht kërkesat e qytetarëve</w:t>
      </w:r>
      <w:r w:rsidR="00392B16">
        <w:rPr>
          <w:rFonts w:ascii="Times New Roman" w:hAnsi="Times New Roman"/>
          <w:color w:val="22251A"/>
          <w:sz w:val="24"/>
          <w:szCs w:val="24"/>
          <w:shd w:val="clear" w:color="auto" w:fill="FFFFFF"/>
          <w:lang w:val="sq-AL"/>
        </w:rPr>
        <w:t>/eve</w:t>
      </w:r>
      <w:r w:rsidRPr="002E671F">
        <w:rPr>
          <w:rFonts w:ascii="Times New Roman" w:hAnsi="Times New Roman"/>
          <w:color w:val="22251A"/>
          <w:sz w:val="24"/>
          <w:szCs w:val="24"/>
          <w:shd w:val="clear" w:color="auto" w:fill="FFFFFF"/>
          <w:lang w:val="sq-AL"/>
        </w:rPr>
        <w:t>, siç paraqiten gjatë dëgjimeve publike buxhetore, të organizuara nga ekzekutivi dhe legjislativi komunal.</w:t>
      </w:r>
    </w:p>
    <w:p w14:paraId="7B193DB6" w14:textId="2DE28DD2" w:rsidR="00147B77" w:rsidRPr="002E671F" w:rsidRDefault="00C10B6B" w:rsidP="00147B77">
      <w:pPr>
        <w:jc w:val="both"/>
        <w:rPr>
          <w:rFonts w:ascii="Times New Roman" w:hAnsi="Times New Roman"/>
          <w:color w:val="22251A"/>
          <w:sz w:val="24"/>
          <w:szCs w:val="24"/>
          <w:shd w:val="clear" w:color="auto" w:fill="FFFFFF"/>
          <w:lang w:val="sq-AL"/>
        </w:rPr>
      </w:pPr>
      <w:r>
        <w:rPr>
          <w:rFonts w:ascii="Times New Roman" w:hAnsi="Times New Roman"/>
          <w:color w:val="22251A"/>
          <w:sz w:val="24"/>
          <w:szCs w:val="24"/>
          <w:shd w:val="clear" w:color="auto" w:fill="FFFFFF"/>
          <w:lang w:val="sq-AL"/>
        </w:rPr>
        <w:t>Buxheti i vitit 202</w:t>
      </w:r>
      <w:r w:rsidR="00326E4B">
        <w:rPr>
          <w:rFonts w:ascii="Times New Roman" w:hAnsi="Times New Roman"/>
          <w:color w:val="22251A"/>
          <w:sz w:val="24"/>
          <w:szCs w:val="24"/>
          <w:shd w:val="clear" w:color="auto" w:fill="FFFFFF"/>
          <w:lang w:val="sq-AL"/>
        </w:rPr>
        <w:t>6</w:t>
      </w:r>
      <w:r w:rsidR="00147B77" w:rsidRPr="002E671F">
        <w:rPr>
          <w:rFonts w:ascii="Times New Roman" w:hAnsi="Times New Roman"/>
          <w:color w:val="22251A"/>
          <w:sz w:val="24"/>
          <w:szCs w:val="24"/>
          <w:shd w:val="clear" w:color="auto" w:fill="FFFFFF"/>
          <w:lang w:val="sq-AL"/>
        </w:rPr>
        <w:t xml:space="preserve"> pasqyron përpjekjen tonë të vazhdueshme për të ofruar shërbime arsimore cilësore në nivelin parashkollor, fillor dhe të mesëm; shërbime shëndetësore, si dhe zhvillim të mëtutjeshëm të infrastrukturës që do të japë kontribut drejt zhvillimit të komunës së Hanit të Elezit. </w:t>
      </w:r>
    </w:p>
    <w:p w14:paraId="1261631C" w14:textId="0751C532" w:rsidR="00147B77" w:rsidRPr="002E671F" w:rsidRDefault="00147B77" w:rsidP="00147B77">
      <w:pPr>
        <w:jc w:val="both"/>
        <w:rPr>
          <w:rFonts w:ascii="Times New Roman" w:hAnsi="Times New Roman"/>
          <w:color w:val="22251A"/>
          <w:sz w:val="24"/>
          <w:szCs w:val="24"/>
          <w:shd w:val="clear" w:color="auto" w:fill="FFFFFF"/>
          <w:lang w:val="sq-AL"/>
        </w:rPr>
      </w:pPr>
      <w:r w:rsidRPr="002E671F">
        <w:rPr>
          <w:rFonts w:ascii="Times New Roman" w:hAnsi="Times New Roman"/>
          <w:color w:val="22251A"/>
          <w:sz w:val="24"/>
          <w:szCs w:val="24"/>
          <w:shd w:val="clear" w:color="auto" w:fill="FFFFFF"/>
          <w:lang w:val="sq-AL"/>
        </w:rPr>
        <w:t>Për t’i zbatuar prioritetet e mësipërme, buxheti për vitin fiskal 202</w:t>
      </w:r>
      <w:r w:rsidR="00326E4B">
        <w:rPr>
          <w:rFonts w:ascii="Times New Roman" w:hAnsi="Times New Roman"/>
          <w:color w:val="22251A"/>
          <w:sz w:val="24"/>
          <w:szCs w:val="24"/>
          <w:shd w:val="clear" w:color="auto" w:fill="FFFFFF"/>
          <w:lang w:val="sq-AL"/>
        </w:rPr>
        <w:t>6</w:t>
      </w:r>
      <w:r w:rsidRPr="002E671F">
        <w:rPr>
          <w:rFonts w:ascii="Times New Roman" w:hAnsi="Times New Roman"/>
          <w:color w:val="22251A"/>
          <w:sz w:val="24"/>
          <w:szCs w:val="24"/>
          <w:shd w:val="clear" w:color="auto" w:fill="FFFFFF"/>
          <w:lang w:val="sq-AL"/>
        </w:rPr>
        <w:t xml:space="preserve"> ka përfshirë gamën e plotë të operacioneve dhe programeve komunale të cilat i përfshijnë të mëposhtmet:  </w:t>
      </w:r>
    </w:p>
    <w:p w14:paraId="3D23E38B" w14:textId="77777777" w:rsidR="00147B77" w:rsidRPr="002E671F" w:rsidRDefault="00147B77" w:rsidP="00147B7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22251A"/>
          <w:sz w:val="24"/>
          <w:szCs w:val="24"/>
          <w:shd w:val="clear" w:color="auto" w:fill="FFFFFF"/>
          <w:lang w:val="sq-AL"/>
        </w:rPr>
      </w:pPr>
      <w:r w:rsidRPr="002E671F">
        <w:rPr>
          <w:rFonts w:ascii="Times New Roman" w:hAnsi="Times New Roman"/>
          <w:color w:val="22251A"/>
          <w:sz w:val="24"/>
          <w:szCs w:val="24"/>
          <w:shd w:val="clear" w:color="auto" w:fill="FFFFFF"/>
          <w:lang w:val="sq-AL"/>
        </w:rPr>
        <w:t>Zyra e Kryetarit,</w:t>
      </w:r>
    </w:p>
    <w:p w14:paraId="24DD1215" w14:textId="77777777" w:rsidR="00147B77" w:rsidRPr="002E671F" w:rsidRDefault="00147B77" w:rsidP="00147B7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22251A"/>
          <w:sz w:val="24"/>
          <w:szCs w:val="24"/>
          <w:shd w:val="clear" w:color="auto" w:fill="FFFFFF"/>
          <w:lang w:val="sq-AL"/>
        </w:rPr>
      </w:pPr>
      <w:r w:rsidRPr="002E671F">
        <w:rPr>
          <w:rFonts w:ascii="Times New Roman" w:hAnsi="Times New Roman"/>
          <w:color w:val="22251A"/>
          <w:sz w:val="24"/>
          <w:szCs w:val="24"/>
          <w:shd w:val="clear" w:color="auto" w:fill="FFFFFF"/>
          <w:lang w:val="sq-AL"/>
        </w:rPr>
        <w:t>Administrata dhe Personeli,</w:t>
      </w:r>
    </w:p>
    <w:p w14:paraId="500B6726" w14:textId="77777777" w:rsidR="00147B77" w:rsidRPr="002E671F" w:rsidRDefault="00147B77" w:rsidP="00147B7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22251A"/>
          <w:sz w:val="24"/>
          <w:szCs w:val="24"/>
          <w:shd w:val="clear" w:color="auto" w:fill="FFFFFF"/>
          <w:lang w:val="sq-AL"/>
        </w:rPr>
      </w:pPr>
      <w:r w:rsidRPr="002E671F">
        <w:rPr>
          <w:rFonts w:ascii="Times New Roman" w:hAnsi="Times New Roman"/>
          <w:color w:val="22251A"/>
          <w:sz w:val="24"/>
          <w:szCs w:val="24"/>
          <w:shd w:val="clear" w:color="auto" w:fill="FFFFFF"/>
          <w:lang w:val="sq-AL"/>
        </w:rPr>
        <w:t>Zyra e Kuvendit Komunal,</w:t>
      </w:r>
    </w:p>
    <w:p w14:paraId="60810D7F" w14:textId="77777777" w:rsidR="00147B77" w:rsidRPr="002E671F" w:rsidRDefault="00147B77" w:rsidP="00147B7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22251A"/>
          <w:sz w:val="24"/>
          <w:szCs w:val="24"/>
          <w:shd w:val="clear" w:color="auto" w:fill="FFFFFF"/>
          <w:lang w:val="sq-AL"/>
        </w:rPr>
      </w:pPr>
      <w:r w:rsidRPr="002E671F">
        <w:rPr>
          <w:rFonts w:ascii="Times New Roman" w:hAnsi="Times New Roman"/>
          <w:color w:val="22251A"/>
          <w:sz w:val="24"/>
          <w:szCs w:val="24"/>
          <w:shd w:val="clear" w:color="auto" w:fill="FFFFFF"/>
          <w:lang w:val="sq-AL"/>
        </w:rPr>
        <w:t>Buxheti dhe Financat,</w:t>
      </w:r>
    </w:p>
    <w:p w14:paraId="51EFA22B" w14:textId="77777777" w:rsidR="00147B77" w:rsidRPr="002E671F" w:rsidRDefault="00147B77" w:rsidP="00147B7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22251A"/>
          <w:sz w:val="24"/>
          <w:szCs w:val="24"/>
          <w:shd w:val="clear" w:color="auto" w:fill="FFFFFF"/>
          <w:lang w:val="sq-AL"/>
        </w:rPr>
      </w:pPr>
      <w:r w:rsidRPr="002E671F">
        <w:rPr>
          <w:rFonts w:ascii="Times New Roman" w:hAnsi="Times New Roman"/>
          <w:color w:val="22251A"/>
          <w:sz w:val="24"/>
          <w:szCs w:val="24"/>
          <w:shd w:val="clear" w:color="auto" w:fill="FFFFFF"/>
          <w:lang w:val="sq-AL"/>
        </w:rPr>
        <w:t>Shërbimet Publike, Emergjenca dhe Mbrojtja Civile,</w:t>
      </w:r>
    </w:p>
    <w:p w14:paraId="712D2E13" w14:textId="77777777" w:rsidR="00147B77" w:rsidRPr="002E671F" w:rsidRDefault="00147B77" w:rsidP="00147B7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22251A"/>
          <w:sz w:val="24"/>
          <w:szCs w:val="24"/>
          <w:shd w:val="clear" w:color="auto" w:fill="FFFFFF"/>
          <w:lang w:val="sq-AL"/>
        </w:rPr>
      </w:pPr>
      <w:r w:rsidRPr="002E671F">
        <w:rPr>
          <w:rFonts w:ascii="Times New Roman" w:hAnsi="Times New Roman"/>
          <w:color w:val="22251A"/>
          <w:sz w:val="24"/>
          <w:szCs w:val="24"/>
          <w:shd w:val="clear" w:color="auto" w:fill="FFFFFF"/>
          <w:lang w:val="sq-AL"/>
        </w:rPr>
        <w:t xml:space="preserve">Zyra për Komunitete dhe Kthim,       </w:t>
      </w:r>
    </w:p>
    <w:p w14:paraId="6D4D82AA" w14:textId="77777777" w:rsidR="00147B77" w:rsidRPr="002E671F" w:rsidRDefault="00147B77" w:rsidP="00147B7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22251A"/>
          <w:sz w:val="24"/>
          <w:szCs w:val="24"/>
          <w:shd w:val="clear" w:color="auto" w:fill="FFFFFF"/>
          <w:lang w:val="sq-AL"/>
        </w:rPr>
      </w:pPr>
      <w:r w:rsidRPr="002E671F">
        <w:rPr>
          <w:rFonts w:ascii="Times New Roman" w:hAnsi="Times New Roman"/>
          <w:color w:val="22251A"/>
          <w:sz w:val="24"/>
          <w:szCs w:val="24"/>
          <w:shd w:val="clear" w:color="auto" w:fill="FFFFFF"/>
          <w:lang w:val="sq-AL"/>
        </w:rPr>
        <w:t>Bujqësia, Pylltaria dhe Zhvillimi Rural,</w:t>
      </w:r>
    </w:p>
    <w:p w14:paraId="519AA606" w14:textId="77777777" w:rsidR="00147B77" w:rsidRPr="002E671F" w:rsidRDefault="00147B77" w:rsidP="00147B7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22251A"/>
          <w:sz w:val="24"/>
          <w:szCs w:val="24"/>
          <w:shd w:val="clear" w:color="auto" w:fill="FFFFFF"/>
          <w:lang w:val="sq-AL"/>
        </w:rPr>
      </w:pPr>
      <w:r w:rsidRPr="002E671F">
        <w:rPr>
          <w:rFonts w:ascii="Times New Roman" w:hAnsi="Times New Roman"/>
          <w:color w:val="22251A"/>
          <w:sz w:val="24"/>
          <w:szCs w:val="24"/>
          <w:shd w:val="clear" w:color="auto" w:fill="FFFFFF"/>
          <w:lang w:val="sq-AL"/>
        </w:rPr>
        <w:t>Zhvillimi Ekonomik dhe Turizmi,</w:t>
      </w:r>
    </w:p>
    <w:p w14:paraId="34E00E2B" w14:textId="77777777" w:rsidR="00147B77" w:rsidRPr="002E671F" w:rsidRDefault="00147B77" w:rsidP="00147B7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22251A"/>
          <w:sz w:val="24"/>
          <w:szCs w:val="24"/>
          <w:shd w:val="clear" w:color="auto" w:fill="FFFFFF"/>
          <w:lang w:val="sq-AL"/>
        </w:rPr>
      </w:pPr>
      <w:r w:rsidRPr="002E671F">
        <w:rPr>
          <w:rFonts w:ascii="Times New Roman" w:hAnsi="Times New Roman"/>
          <w:color w:val="22251A"/>
          <w:sz w:val="24"/>
          <w:szCs w:val="24"/>
          <w:shd w:val="clear" w:color="auto" w:fill="FFFFFF"/>
          <w:lang w:val="sq-AL"/>
        </w:rPr>
        <w:t>Planifikimi Urban dhe Inspeksioni,</w:t>
      </w:r>
    </w:p>
    <w:p w14:paraId="128C673C" w14:textId="77777777" w:rsidR="00147B77" w:rsidRPr="002E671F" w:rsidRDefault="00147B77" w:rsidP="00147B7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22251A"/>
          <w:sz w:val="24"/>
          <w:szCs w:val="24"/>
          <w:shd w:val="clear" w:color="auto" w:fill="FFFFFF"/>
          <w:lang w:val="sq-AL"/>
        </w:rPr>
      </w:pPr>
      <w:r w:rsidRPr="002E671F">
        <w:rPr>
          <w:rFonts w:ascii="Times New Roman" w:hAnsi="Times New Roman"/>
          <w:color w:val="22251A"/>
          <w:sz w:val="24"/>
          <w:szCs w:val="24"/>
          <w:shd w:val="clear" w:color="auto" w:fill="FFFFFF"/>
          <w:lang w:val="sq-AL"/>
        </w:rPr>
        <w:t>Shëndetësia dhe Mirëqenia Sociale,</w:t>
      </w:r>
    </w:p>
    <w:p w14:paraId="2F611395" w14:textId="77777777" w:rsidR="00147B77" w:rsidRPr="002E671F" w:rsidRDefault="00147B77" w:rsidP="00147B7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22251A"/>
          <w:sz w:val="24"/>
          <w:szCs w:val="24"/>
          <w:shd w:val="clear" w:color="auto" w:fill="FFFFFF"/>
          <w:lang w:val="sq-AL"/>
        </w:rPr>
      </w:pPr>
      <w:r w:rsidRPr="002E671F">
        <w:rPr>
          <w:rFonts w:ascii="Times New Roman" w:hAnsi="Times New Roman"/>
          <w:color w:val="22251A"/>
          <w:sz w:val="24"/>
          <w:szCs w:val="24"/>
          <w:shd w:val="clear" w:color="auto" w:fill="FFFFFF"/>
          <w:lang w:val="sq-AL"/>
        </w:rPr>
        <w:t>Arsimi dhe Shkenca dhe</w:t>
      </w:r>
    </w:p>
    <w:p w14:paraId="3A390A1B" w14:textId="77777777" w:rsidR="00147B77" w:rsidRPr="002E671F" w:rsidRDefault="00147B77" w:rsidP="00147B7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22251A"/>
          <w:sz w:val="24"/>
          <w:szCs w:val="24"/>
          <w:shd w:val="clear" w:color="auto" w:fill="FFFFFF"/>
          <w:lang w:val="sq-AL"/>
        </w:rPr>
      </w:pPr>
      <w:r w:rsidRPr="002E671F">
        <w:rPr>
          <w:rFonts w:ascii="Times New Roman" w:hAnsi="Times New Roman"/>
          <w:color w:val="22251A"/>
          <w:sz w:val="24"/>
          <w:szCs w:val="24"/>
          <w:shd w:val="clear" w:color="auto" w:fill="FFFFFF"/>
          <w:lang w:val="sq-AL"/>
        </w:rPr>
        <w:t xml:space="preserve"> Kultura, Rinia dhe Sporti.</w:t>
      </w:r>
    </w:p>
    <w:p w14:paraId="39457285" w14:textId="77777777" w:rsidR="00147B77" w:rsidRPr="002E671F" w:rsidRDefault="00147B77" w:rsidP="00147B77">
      <w:pPr>
        <w:pStyle w:val="NoSpacing"/>
        <w:rPr>
          <w:rFonts w:ascii="Times New Roman" w:hAnsi="Times New Roman"/>
          <w:sz w:val="24"/>
          <w:szCs w:val="24"/>
          <w:shd w:val="clear" w:color="auto" w:fill="FFFFFF"/>
          <w:lang w:val="sq-AL"/>
        </w:rPr>
      </w:pPr>
      <w:r w:rsidRPr="002E671F">
        <w:rPr>
          <w:rFonts w:ascii="Times New Roman" w:hAnsi="Times New Roman"/>
          <w:sz w:val="24"/>
          <w:szCs w:val="24"/>
          <w:shd w:val="clear" w:color="auto" w:fill="FFFFFF"/>
          <w:lang w:val="sq-AL"/>
        </w:rPr>
        <w:t>Programet e komunës vazhdojnë ta pasqyrojnë qëllimin tonë për ta përmirësuar cilësinë e jetës së qytetarëve</w:t>
      </w:r>
      <w:r w:rsidR="000E2C53">
        <w:rPr>
          <w:rFonts w:ascii="Times New Roman" w:hAnsi="Times New Roman"/>
          <w:sz w:val="24"/>
          <w:szCs w:val="24"/>
          <w:shd w:val="clear" w:color="auto" w:fill="FFFFFF"/>
          <w:lang w:val="sq-AL"/>
        </w:rPr>
        <w:t>/eve</w:t>
      </w:r>
      <w:r w:rsidRPr="002E671F">
        <w:rPr>
          <w:rFonts w:ascii="Times New Roman" w:hAnsi="Times New Roman"/>
          <w:sz w:val="24"/>
          <w:szCs w:val="24"/>
          <w:shd w:val="clear" w:color="auto" w:fill="FFFFFF"/>
          <w:lang w:val="sq-AL"/>
        </w:rPr>
        <w:t xml:space="preserve"> tanë</w:t>
      </w:r>
      <w:r w:rsidR="000E2C53">
        <w:rPr>
          <w:rFonts w:ascii="Times New Roman" w:hAnsi="Times New Roman"/>
          <w:sz w:val="24"/>
          <w:szCs w:val="24"/>
          <w:shd w:val="clear" w:color="auto" w:fill="FFFFFF"/>
          <w:lang w:val="sq-AL"/>
        </w:rPr>
        <w:t>/tona</w:t>
      </w:r>
      <w:r w:rsidRPr="002E671F">
        <w:rPr>
          <w:rFonts w:ascii="Times New Roman" w:hAnsi="Times New Roman"/>
          <w:sz w:val="24"/>
          <w:szCs w:val="24"/>
          <w:shd w:val="clear" w:color="auto" w:fill="FFFFFF"/>
          <w:lang w:val="sq-AL"/>
        </w:rPr>
        <w:t>, shoqëruar me një menaxhim të shëndoshë dhe financiar.</w:t>
      </w:r>
    </w:p>
    <w:p w14:paraId="38472172" w14:textId="77777777" w:rsidR="00147B77" w:rsidRPr="002E671F" w:rsidRDefault="00147B77" w:rsidP="00147B77">
      <w:pPr>
        <w:pStyle w:val="NoSpacing"/>
        <w:rPr>
          <w:rFonts w:ascii="Times New Roman" w:hAnsi="Times New Roman"/>
          <w:sz w:val="24"/>
          <w:szCs w:val="24"/>
          <w:shd w:val="clear" w:color="auto" w:fill="FFFFFF"/>
          <w:lang w:val="sq-AL"/>
        </w:rPr>
      </w:pPr>
    </w:p>
    <w:p w14:paraId="1BDAF70C" w14:textId="112A368A" w:rsidR="00147B77" w:rsidRPr="002E671F" w:rsidRDefault="00147B77" w:rsidP="00147B77">
      <w:pPr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sq-AL"/>
        </w:rPr>
      </w:pPr>
      <w:r w:rsidRPr="002E671F">
        <w:rPr>
          <w:rFonts w:ascii="Times New Roman" w:hAnsi="Times New Roman"/>
          <w:sz w:val="24"/>
          <w:szCs w:val="24"/>
          <w:shd w:val="clear" w:color="auto" w:fill="FFFFFF"/>
          <w:lang w:val="sq-AL"/>
        </w:rPr>
        <w:t xml:space="preserve">Ky buxhet i mundëson komunës t’i mbajë të qëndrueshme shpenzimet dhe të financojë iniciativa dhe projekte të rëndësishme ku i keni të paraqitura më poshtë në tabelën </w:t>
      </w:r>
      <w:r w:rsidR="008F69D6">
        <w:rPr>
          <w:rFonts w:ascii="Times New Roman" w:hAnsi="Times New Roman"/>
          <w:sz w:val="24"/>
          <w:szCs w:val="24"/>
          <w:shd w:val="clear" w:color="auto" w:fill="FFFFFF"/>
          <w:lang w:val="sq-AL"/>
        </w:rPr>
        <w:t>e</w:t>
      </w:r>
      <w:r w:rsidRPr="002E671F">
        <w:rPr>
          <w:rFonts w:ascii="Times New Roman" w:hAnsi="Times New Roman"/>
          <w:sz w:val="24"/>
          <w:szCs w:val="24"/>
          <w:shd w:val="clear" w:color="auto" w:fill="FFFFFF"/>
          <w:lang w:val="sq-AL"/>
        </w:rPr>
        <w:t xml:space="preserve"> Investime</w:t>
      </w:r>
      <w:r w:rsidR="008F69D6">
        <w:rPr>
          <w:rFonts w:ascii="Times New Roman" w:hAnsi="Times New Roman"/>
          <w:sz w:val="24"/>
          <w:szCs w:val="24"/>
          <w:shd w:val="clear" w:color="auto" w:fill="FFFFFF"/>
          <w:lang w:val="sq-AL"/>
        </w:rPr>
        <w:t>ve</w:t>
      </w:r>
      <w:r w:rsidR="00C10B6B">
        <w:rPr>
          <w:rFonts w:ascii="Times New Roman" w:hAnsi="Times New Roman"/>
          <w:sz w:val="24"/>
          <w:szCs w:val="24"/>
          <w:shd w:val="clear" w:color="auto" w:fill="FFFFFF"/>
          <w:lang w:val="sq-AL"/>
        </w:rPr>
        <w:t xml:space="preserve"> Kapitale Komunale 202</w:t>
      </w:r>
      <w:r w:rsidR="00326E4B">
        <w:rPr>
          <w:rFonts w:ascii="Times New Roman" w:hAnsi="Times New Roman"/>
          <w:sz w:val="24"/>
          <w:szCs w:val="24"/>
          <w:shd w:val="clear" w:color="auto" w:fill="FFFFFF"/>
          <w:lang w:val="sq-AL"/>
        </w:rPr>
        <w:t>6</w:t>
      </w:r>
      <w:r w:rsidR="00C10B6B">
        <w:rPr>
          <w:rFonts w:ascii="Times New Roman" w:hAnsi="Times New Roman"/>
          <w:sz w:val="24"/>
          <w:szCs w:val="24"/>
          <w:shd w:val="clear" w:color="auto" w:fill="FFFFFF"/>
          <w:lang w:val="sq-AL"/>
        </w:rPr>
        <w:t>-202</w:t>
      </w:r>
      <w:r w:rsidR="00326E4B">
        <w:rPr>
          <w:rFonts w:ascii="Times New Roman" w:hAnsi="Times New Roman"/>
          <w:sz w:val="24"/>
          <w:szCs w:val="24"/>
          <w:shd w:val="clear" w:color="auto" w:fill="FFFFFF"/>
          <w:lang w:val="sq-AL"/>
        </w:rPr>
        <w:t>8</w:t>
      </w:r>
      <w:r w:rsidRPr="002E671F">
        <w:rPr>
          <w:rFonts w:ascii="Times New Roman" w:hAnsi="Times New Roman"/>
          <w:sz w:val="24"/>
          <w:szCs w:val="24"/>
          <w:shd w:val="clear" w:color="auto" w:fill="FFFFFF"/>
          <w:lang w:val="sq-AL"/>
        </w:rPr>
        <w:t>.</w:t>
      </w:r>
    </w:p>
    <w:p w14:paraId="3A4438AA" w14:textId="77777777" w:rsidR="00147B77" w:rsidRPr="002E671F" w:rsidRDefault="00147B77" w:rsidP="0071566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3E992A" w14:textId="77777777" w:rsidR="006C15BB" w:rsidRPr="002E671F" w:rsidRDefault="006C15BB" w:rsidP="0071566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86BE12" w14:textId="77777777" w:rsidR="006C15BB" w:rsidRPr="002E671F" w:rsidRDefault="006C15BB" w:rsidP="0071566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367BE6" w14:textId="0357E4FD" w:rsidR="006C15BB" w:rsidRPr="002E671F" w:rsidRDefault="00FD3939" w:rsidP="00FD3939">
      <w:pPr>
        <w:tabs>
          <w:tab w:val="left" w:pos="37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B3C0BB5" w14:textId="12BF93AF" w:rsidR="006C15BB" w:rsidRPr="002E671F" w:rsidRDefault="006C15BB" w:rsidP="006C15BB">
      <w:pPr>
        <w:pStyle w:val="Heading3"/>
        <w:jc w:val="center"/>
        <w:rPr>
          <w:rFonts w:ascii="Times New Roman" w:hAnsi="Times New Roman" w:cs="Times New Roman"/>
          <w:b/>
          <w:bCs/>
          <w:color w:val="auto"/>
        </w:rPr>
      </w:pPr>
      <w:r w:rsidRPr="002E671F">
        <w:rPr>
          <w:rFonts w:ascii="Times New Roman" w:hAnsi="Times New Roman" w:cs="Times New Roman"/>
          <w:b/>
          <w:bCs/>
          <w:color w:val="auto"/>
        </w:rPr>
        <w:lastRenderedPageBreak/>
        <w:t>Të hyrat buxhetore</w:t>
      </w:r>
    </w:p>
    <w:p w14:paraId="099A00FD" w14:textId="77777777" w:rsidR="006C15BB" w:rsidRPr="002E671F" w:rsidRDefault="006C15BB" w:rsidP="006C15BB">
      <w:pPr>
        <w:pStyle w:val="NoSpacing"/>
        <w:jc w:val="both"/>
      </w:pPr>
    </w:p>
    <w:p w14:paraId="7424A267" w14:textId="38F5E4A7" w:rsidR="006C15BB" w:rsidRPr="002E671F" w:rsidRDefault="00C10B6B" w:rsidP="00CA53B5">
      <w:pPr>
        <w:pStyle w:val="NoSpacing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Buxheti Komuna</w:t>
      </w:r>
      <w:r w:rsidR="00CA53B5">
        <w:rPr>
          <w:rFonts w:ascii="Times New Roman" w:hAnsi="Times New Roman"/>
          <w:sz w:val="24"/>
          <w:szCs w:val="24"/>
          <w:lang w:val="sq-AL"/>
        </w:rPr>
        <w:t>l për vitin 202</w:t>
      </w:r>
      <w:r w:rsidR="001660F0">
        <w:rPr>
          <w:rFonts w:ascii="Times New Roman" w:hAnsi="Times New Roman"/>
          <w:sz w:val="24"/>
          <w:szCs w:val="24"/>
          <w:lang w:val="sq-AL"/>
        </w:rPr>
        <w:t>6</w:t>
      </w:r>
      <w:r w:rsidR="00CA53B5">
        <w:rPr>
          <w:rFonts w:ascii="Times New Roman" w:hAnsi="Times New Roman"/>
          <w:sz w:val="24"/>
          <w:szCs w:val="24"/>
          <w:lang w:val="sq-AL"/>
        </w:rPr>
        <w:t xml:space="preserve"> mbështetet me  9</w:t>
      </w:r>
      <w:r w:rsidR="001660F0">
        <w:rPr>
          <w:rFonts w:ascii="Times New Roman" w:hAnsi="Times New Roman"/>
          <w:sz w:val="24"/>
          <w:szCs w:val="24"/>
          <w:lang w:val="sq-AL"/>
        </w:rPr>
        <w:t>1.6</w:t>
      </w:r>
      <w:r w:rsidR="006C15BB" w:rsidRPr="002E671F">
        <w:rPr>
          <w:rFonts w:ascii="Times New Roman" w:hAnsi="Times New Roman"/>
          <w:sz w:val="24"/>
          <w:szCs w:val="24"/>
          <w:lang w:val="sq-AL"/>
        </w:rPr>
        <w:t>% në transferet nga Qeveria Qëndrore në formën e Granteve Qeveritare, ndërsa shuma e mbetur krijohet nga burimet e të Hyrave Vetanake. Grantet totale nga Qeve</w:t>
      </w:r>
      <w:r w:rsidR="00CA53B5">
        <w:rPr>
          <w:rFonts w:ascii="Times New Roman" w:hAnsi="Times New Roman"/>
          <w:sz w:val="24"/>
          <w:szCs w:val="24"/>
          <w:lang w:val="sq-AL"/>
        </w:rPr>
        <w:t>ria të propozuara për vitin 202</w:t>
      </w:r>
      <w:r w:rsidR="001660F0">
        <w:rPr>
          <w:rFonts w:ascii="Times New Roman" w:hAnsi="Times New Roman"/>
          <w:sz w:val="24"/>
          <w:szCs w:val="24"/>
          <w:lang w:val="sq-AL"/>
        </w:rPr>
        <w:t>6</w:t>
      </w:r>
      <w:r w:rsidR="00CA53B5">
        <w:rPr>
          <w:rFonts w:ascii="Times New Roman" w:hAnsi="Times New Roman"/>
          <w:sz w:val="24"/>
          <w:szCs w:val="24"/>
          <w:lang w:val="sq-AL"/>
        </w:rPr>
        <w:t xml:space="preserve"> janë 3,</w:t>
      </w:r>
      <w:r w:rsidR="001660F0">
        <w:rPr>
          <w:rFonts w:ascii="Times New Roman" w:hAnsi="Times New Roman"/>
          <w:sz w:val="24"/>
          <w:szCs w:val="24"/>
          <w:lang w:val="sq-AL"/>
        </w:rPr>
        <w:t>877,962</w:t>
      </w:r>
      <w:r w:rsidR="006C15BB" w:rsidRPr="002E671F">
        <w:rPr>
          <w:rFonts w:ascii="Times New Roman" w:hAnsi="Times New Roman"/>
          <w:sz w:val="24"/>
          <w:szCs w:val="24"/>
          <w:lang w:val="sq-AL"/>
        </w:rPr>
        <w:t>.00</w:t>
      </w:r>
      <w:r w:rsidR="00CA53B5">
        <w:rPr>
          <w:rFonts w:ascii="Times New Roman" w:hAnsi="Times New Roman"/>
          <w:sz w:val="24"/>
          <w:szCs w:val="24"/>
          <w:lang w:val="sq-AL"/>
        </w:rPr>
        <w:t xml:space="preserve"> €, ndërsa 3</w:t>
      </w:r>
      <w:r w:rsidR="001660F0">
        <w:rPr>
          <w:rFonts w:ascii="Times New Roman" w:hAnsi="Times New Roman"/>
          <w:sz w:val="24"/>
          <w:szCs w:val="24"/>
          <w:lang w:val="sq-AL"/>
        </w:rPr>
        <w:t>56</w:t>
      </w:r>
      <w:r w:rsidR="00CA53B5">
        <w:rPr>
          <w:rFonts w:ascii="Times New Roman" w:hAnsi="Times New Roman"/>
          <w:sz w:val="24"/>
          <w:szCs w:val="24"/>
          <w:lang w:val="sq-AL"/>
        </w:rPr>
        <w:t>,</w:t>
      </w:r>
      <w:r w:rsidR="001660F0">
        <w:rPr>
          <w:rFonts w:ascii="Times New Roman" w:hAnsi="Times New Roman"/>
          <w:sz w:val="24"/>
          <w:szCs w:val="24"/>
          <w:lang w:val="sq-AL"/>
        </w:rPr>
        <w:t>720</w:t>
      </w:r>
      <w:r w:rsidR="00CA53B5">
        <w:rPr>
          <w:rFonts w:ascii="Times New Roman" w:hAnsi="Times New Roman"/>
          <w:sz w:val="24"/>
          <w:szCs w:val="24"/>
          <w:lang w:val="sq-AL"/>
        </w:rPr>
        <w:t>.00 € apo</w:t>
      </w:r>
      <w:r w:rsidR="001660F0">
        <w:rPr>
          <w:rFonts w:ascii="Times New Roman" w:hAnsi="Times New Roman"/>
          <w:sz w:val="24"/>
          <w:szCs w:val="24"/>
          <w:lang w:val="sq-AL"/>
        </w:rPr>
        <w:t xml:space="preserve"> 8.4</w:t>
      </w:r>
      <w:r w:rsidR="006C15BB" w:rsidRPr="002E671F">
        <w:rPr>
          <w:rFonts w:ascii="Times New Roman" w:hAnsi="Times New Roman"/>
          <w:sz w:val="24"/>
          <w:szCs w:val="24"/>
          <w:lang w:val="sq-AL"/>
        </w:rPr>
        <w:t xml:space="preserve"> % paraqesin burimet nga të Hyrat Vetanake.</w:t>
      </w:r>
    </w:p>
    <w:p w14:paraId="3C7747F9" w14:textId="77777777" w:rsidR="006C15BB" w:rsidRPr="002E671F" w:rsidRDefault="006C15BB" w:rsidP="00CA53B5">
      <w:pPr>
        <w:pStyle w:val="NoSpacing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710ED5B" w14:textId="77777777" w:rsidR="006C15BB" w:rsidRPr="002E671F" w:rsidRDefault="006C15BB" w:rsidP="00CA53B5">
      <w:pPr>
        <w:pStyle w:val="NoSpacing"/>
        <w:jc w:val="both"/>
        <w:rPr>
          <w:rFonts w:ascii="Times New Roman" w:hAnsi="Times New Roman"/>
          <w:sz w:val="24"/>
          <w:szCs w:val="24"/>
          <w:lang w:val="sq-AL"/>
        </w:rPr>
      </w:pPr>
      <w:r w:rsidRPr="002E671F">
        <w:rPr>
          <w:rFonts w:ascii="Times New Roman" w:hAnsi="Times New Roman"/>
          <w:sz w:val="24"/>
          <w:szCs w:val="24"/>
          <w:lang w:val="sq-AL"/>
        </w:rPr>
        <w:t>Shuma e granteve të transferuara në Komunë, duke përfshirë Grantin e Përgjithshëm, Grantin Specifik të Arsimit dhe Grantin Specifik të Shëndetësisë, llogariten në bazë të një formule shtetërore, e cila merr parasysh numrin e nxënës</w:t>
      </w:r>
      <w:r w:rsidR="00150ABE">
        <w:rPr>
          <w:rFonts w:ascii="Times New Roman" w:hAnsi="Times New Roman"/>
          <w:sz w:val="24"/>
          <w:szCs w:val="24"/>
          <w:lang w:val="sq-AL"/>
        </w:rPr>
        <w:t>ve</w:t>
      </w:r>
      <w:r w:rsidR="00AD0512">
        <w:rPr>
          <w:rFonts w:ascii="Times New Roman" w:hAnsi="Times New Roman"/>
          <w:sz w:val="24"/>
          <w:szCs w:val="24"/>
          <w:lang w:val="sq-AL"/>
        </w:rPr>
        <w:t>/eve</w:t>
      </w:r>
      <w:r w:rsidR="00150ABE">
        <w:rPr>
          <w:rFonts w:ascii="Times New Roman" w:hAnsi="Times New Roman"/>
          <w:sz w:val="24"/>
          <w:szCs w:val="24"/>
          <w:lang w:val="sq-AL"/>
        </w:rPr>
        <w:t>, numrin e shkollave, mësimdhënësve</w:t>
      </w:r>
      <w:r w:rsidR="00AD0512">
        <w:rPr>
          <w:rFonts w:ascii="Times New Roman" w:hAnsi="Times New Roman"/>
          <w:sz w:val="24"/>
          <w:szCs w:val="24"/>
          <w:lang w:val="sq-AL"/>
        </w:rPr>
        <w:t>/eve</w:t>
      </w:r>
      <w:r w:rsidRPr="002E671F">
        <w:rPr>
          <w:rFonts w:ascii="Times New Roman" w:hAnsi="Times New Roman"/>
          <w:sz w:val="24"/>
          <w:szCs w:val="24"/>
          <w:lang w:val="sq-AL"/>
        </w:rPr>
        <w:t xml:space="preserve"> (për Grantin e Arsimit), madhësinë</w:t>
      </w:r>
      <w:r w:rsidR="00CA53B5">
        <w:rPr>
          <w:rFonts w:ascii="Times New Roman" w:hAnsi="Times New Roman"/>
          <w:sz w:val="24"/>
          <w:szCs w:val="24"/>
          <w:lang w:val="sq-AL"/>
        </w:rPr>
        <w:t xml:space="preserve"> e Komunës, numrin e popullsisë</w:t>
      </w:r>
      <w:r w:rsidRPr="002E671F">
        <w:rPr>
          <w:rFonts w:ascii="Times New Roman" w:hAnsi="Times New Roman"/>
          <w:sz w:val="24"/>
          <w:szCs w:val="24"/>
          <w:lang w:val="sq-AL"/>
        </w:rPr>
        <w:t xml:space="preserve"> (për Grantin e Përgjithshëm dhe atë të Shëndetësisë).</w:t>
      </w:r>
    </w:p>
    <w:p w14:paraId="6F6E83FD" w14:textId="77777777" w:rsidR="006C15BB" w:rsidRPr="002E671F" w:rsidRDefault="006C15BB" w:rsidP="00CA53B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DCA6922" w14:textId="77777777" w:rsidR="006C15BB" w:rsidRPr="002E671F" w:rsidRDefault="006C15BB" w:rsidP="00CA53B5">
      <w:pPr>
        <w:pStyle w:val="NoSpacing"/>
        <w:jc w:val="both"/>
        <w:rPr>
          <w:rFonts w:ascii="Times New Roman" w:hAnsi="Times New Roman"/>
          <w:sz w:val="24"/>
          <w:szCs w:val="24"/>
          <w:lang w:val="sq-AL"/>
        </w:rPr>
      </w:pPr>
      <w:r w:rsidRPr="002E671F">
        <w:rPr>
          <w:rFonts w:ascii="Times New Roman" w:hAnsi="Times New Roman"/>
          <w:sz w:val="24"/>
          <w:szCs w:val="24"/>
          <w:lang w:val="sq-AL"/>
        </w:rPr>
        <w:t xml:space="preserve">Një ndarje nga financimi Qeveritar dhe nga Hyrat Vetanake të buxhetuara është paraqitur në grafikun vijues:  </w:t>
      </w:r>
    </w:p>
    <w:p w14:paraId="593030AA" w14:textId="32CE333E" w:rsidR="006C15BB" w:rsidRPr="002E671F" w:rsidRDefault="006C15BB" w:rsidP="00CA53B5">
      <w:pPr>
        <w:pStyle w:val="NoSpacing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8C7D894" w14:textId="2B90A419" w:rsidR="001638C0" w:rsidRPr="002E671F" w:rsidRDefault="00570DB1" w:rsidP="00E86B5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2E671F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77AB1087" wp14:editId="1949A4CF">
            <wp:simplePos x="0" y="0"/>
            <wp:positionH relativeFrom="column">
              <wp:posOffset>0</wp:posOffset>
            </wp:positionH>
            <wp:positionV relativeFrom="paragraph">
              <wp:posOffset>15875</wp:posOffset>
            </wp:positionV>
            <wp:extent cx="5486400" cy="3200400"/>
            <wp:effectExtent l="0" t="0" r="0" b="0"/>
            <wp:wrapThrough wrapText="bothSides">
              <wp:wrapPolygon edited="0">
                <wp:start x="0" y="0"/>
                <wp:lineTo x="0" y="21471"/>
                <wp:lineTo x="21525" y="21471"/>
                <wp:lineTo x="21525" y="0"/>
                <wp:lineTo x="0" y="0"/>
              </wp:wrapPolygon>
            </wp:wrapThrough>
            <wp:docPr id="1384611426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3470CB" w:rsidRPr="002E671F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15CC720C" w14:textId="77777777" w:rsidR="00E86B55" w:rsidRPr="002E671F" w:rsidRDefault="00E86B55" w:rsidP="00E86B55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F3FE663" w14:textId="77777777" w:rsidR="00E86B55" w:rsidRPr="002E671F" w:rsidRDefault="00E86B55" w:rsidP="00E86B55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1764E5D" w14:textId="77777777" w:rsidR="00E86B55" w:rsidRPr="002E671F" w:rsidRDefault="00E86B55" w:rsidP="00E86B55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2A91CEE" w14:textId="77777777" w:rsidR="00E86B55" w:rsidRPr="002E671F" w:rsidRDefault="00E86B55" w:rsidP="00F62668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4CC79374" w14:textId="77777777" w:rsidR="00E86B55" w:rsidRPr="002E671F" w:rsidRDefault="00E86B55" w:rsidP="00F62668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1F709D70" w14:textId="77777777" w:rsidR="00E86B55" w:rsidRPr="002E671F" w:rsidRDefault="00E86B55" w:rsidP="00F62668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3E54926D" w14:textId="11F6AD56" w:rsidR="00F62668" w:rsidRPr="002E671F" w:rsidRDefault="00F62668" w:rsidP="00F62668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2E671F">
        <w:rPr>
          <w:rFonts w:ascii="Times New Roman" w:hAnsi="Times New Roman"/>
          <w:b/>
          <w:sz w:val="24"/>
          <w:szCs w:val="24"/>
          <w:lang w:val="sq-AL"/>
        </w:rPr>
        <w:lastRenderedPageBreak/>
        <w:t>Plani i t</w:t>
      </w:r>
      <w:r w:rsidR="00CA2423">
        <w:rPr>
          <w:rFonts w:ascii="Times New Roman" w:hAnsi="Times New Roman"/>
          <w:b/>
          <w:sz w:val="24"/>
          <w:szCs w:val="24"/>
          <w:lang w:val="sq-AL"/>
        </w:rPr>
        <w:t>ë Hyrave Vetanake për vitin 202</w:t>
      </w:r>
      <w:r w:rsidR="009C187B">
        <w:rPr>
          <w:rFonts w:ascii="Times New Roman" w:hAnsi="Times New Roman"/>
          <w:b/>
          <w:sz w:val="24"/>
          <w:szCs w:val="24"/>
          <w:lang w:val="sq-AL"/>
        </w:rPr>
        <w:t>6</w:t>
      </w:r>
      <w:r w:rsidRPr="002E671F">
        <w:rPr>
          <w:rFonts w:ascii="Times New Roman" w:hAnsi="Times New Roman"/>
          <w:b/>
          <w:sz w:val="24"/>
          <w:szCs w:val="24"/>
          <w:lang w:val="sq-AL"/>
        </w:rPr>
        <w:t xml:space="preserve"> sipas llojit të të hyrave</w:t>
      </w:r>
    </w:p>
    <w:p w14:paraId="4D82370A" w14:textId="77777777" w:rsidR="00F62668" w:rsidRPr="002E671F" w:rsidRDefault="00F62668" w:rsidP="008F69D6">
      <w:pPr>
        <w:jc w:val="both"/>
        <w:rPr>
          <w:rFonts w:ascii="Times New Roman" w:hAnsi="Times New Roman" w:cs="Times New Roman"/>
          <w:sz w:val="24"/>
          <w:szCs w:val="24"/>
        </w:rPr>
      </w:pPr>
      <w:r w:rsidRPr="002E671F">
        <w:rPr>
          <w:rFonts w:ascii="Times New Roman" w:hAnsi="Times New Roman" w:cs="Times New Roman"/>
          <w:sz w:val="24"/>
          <w:szCs w:val="24"/>
        </w:rPr>
        <w:t>Të hyrat buxhetore Komunale realizohen në bazë të Ligjit për Financat e Pushtetit Lokal, Rregullores për Taksa Komunale, Rregullorës së Tatimin në Pronën e Paluajtshme si dhe dispozitave tjera ligjore të cilat përcaktojnë llojet e ndryshme të të hyrave komunale me të cilat komuna është e autorizuar dhe ka të drejtë t’i inkasoj.</w:t>
      </w:r>
    </w:p>
    <w:p w14:paraId="17865380" w14:textId="77777777" w:rsidR="00F62668" w:rsidRPr="002E671F" w:rsidRDefault="00F62668" w:rsidP="008F69D6">
      <w:pPr>
        <w:jc w:val="both"/>
        <w:rPr>
          <w:rFonts w:ascii="Times New Roman" w:hAnsi="Times New Roman" w:cs="Times New Roman"/>
          <w:sz w:val="24"/>
          <w:szCs w:val="24"/>
        </w:rPr>
      </w:pPr>
      <w:r w:rsidRPr="002E671F">
        <w:rPr>
          <w:rFonts w:ascii="Times New Roman" w:hAnsi="Times New Roman" w:cs="Times New Roman"/>
          <w:sz w:val="24"/>
          <w:szCs w:val="24"/>
        </w:rPr>
        <w:t xml:space="preserve">Bazën e të hyrave komunale e përbëjnë Tatimi në Pronë dhe në </w:t>
      </w:r>
      <w:r w:rsidR="008F69D6">
        <w:rPr>
          <w:rFonts w:ascii="Times New Roman" w:hAnsi="Times New Roman" w:cs="Times New Roman"/>
          <w:sz w:val="24"/>
          <w:szCs w:val="24"/>
        </w:rPr>
        <w:t>T</w:t>
      </w:r>
      <w:r w:rsidRPr="002E671F">
        <w:rPr>
          <w:rFonts w:ascii="Times New Roman" w:hAnsi="Times New Roman" w:cs="Times New Roman"/>
          <w:sz w:val="24"/>
          <w:szCs w:val="24"/>
        </w:rPr>
        <w:t>okë, si gjenerator kryesor i të hyrave vetanake komunale (THVK), e që këtë lloj të hyre komuna pas grumbullimit duhet ekskluzivisht të shpenzoj vetëm për qëllime të realizimit të projekteve kapitale si, në infrastrukturë rrugore, në ujësjellës, kanalizime dhe investime e tjera, thënë ndryshe këto mjete pas inkasimit menjëherë i’u rikthehen qytetarëve/eve apo tatimpaguesëve/eve përmes formës së investimeve të destinuara për ngritjen e infrastrukturës komunale dhe mirëqenies sociale.</w:t>
      </w:r>
    </w:p>
    <w:p w14:paraId="173E1950" w14:textId="77777777" w:rsidR="00F62668" w:rsidRPr="002E671F" w:rsidRDefault="00F62668" w:rsidP="002E671F">
      <w:pPr>
        <w:rPr>
          <w:rFonts w:ascii="Times New Roman" w:hAnsi="Times New Roman" w:cs="Times New Roman"/>
          <w:sz w:val="24"/>
          <w:szCs w:val="24"/>
        </w:rPr>
      </w:pPr>
    </w:p>
    <w:p w14:paraId="445DD44D" w14:textId="77777777" w:rsidR="00F62668" w:rsidRPr="002E671F" w:rsidRDefault="00F62668" w:rsidP="002E67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E671F">
        <w:rPr>
          <w:rFonts w:ascii="Times New Roman" w:hAnsi="Times New Roman" w:cs="Times New Roman"/>
          <w:b/>
          <w:bCs/>
          <w:sz w:val="24"/>
          <w:szCs w:val="24"/>
        </w:rPr>
        <w:t>Të hyrat e komunës përbëhen kryesisht nga këto lloje të të hyrave:</w:t>
      </w:r>
    </w:p>
    <w:p w14:paraId="5EA65753" w14:textId="77777777" w:rsidR="00F62668" w:rsidRPr="008F69D6" w:rsidRDefault="00F62668" w:rsidP="008F69D6">
      <w:pPr>
        <w:pStyle w:val="ListParagraph"/>
        <w:numPr>
          <w:ilvl w:val="0"/>
          <w:numId w:val="11"/>
        </w:numPr>
        <w:rPr>
          <w:rFonts w:ascii="Times New Roman" w:hAnsi="Times New Roman"/>
          <w:b/>
          <w:bCs/>
          <w:sz w:val="24"/>
          <w:szCs w:val="24"/>
        </w:rPr>
      </w:pPr>
      <w:r w:rsidRPr="008F69D6">
        <w:rPr>
          <w:rFonts w:ascii="Times New Roman" w:hAnsi="Times New Roman"/>
          <w:sz w:val="24"/>
          <w:szCs w:val="24"/>
        </w:rPr>
        <w:t>Tatimi në pronë;</w:t>
      </w:r>
    </w:p>
    <w:p w14:paraId="2E7104B0" w14:textId="77777777" w:rsidR="00F62668" w:rsidRPr="008F69D6" w:rsidRDefault="00F62668" w:rsidP="008F69D6">
      <w:pPr>
        <w:pStyle w:val="ListParagraph"/>
        <w:numPr>
          <w:ilvl w:val="0"/>
          <w:numId w:val="11"/>
        </w:numPr>
        <w:rPr>
          <w:rFonts w:ascii="Times New Roman" w:hAnsi="Times New Roman"/>
          <w:b/>
          <w:bCs/>
          <w:sz w:val="24"/>
          <w:szCs w:val="24"/>
        </w:rPr>
      </w:pPr>
      <w:r w:rsidRPr="008F69D6">
        <w:rPr>
          <w:rFonts w:ascii="Times New Roman" w:hAnsi="Times New Roman"/>
          <w:sz w:val="24"/>
          <w:szCs w:val="24"/>
        </w:rPr>
        <w:t>Tatimi në tokë;</w:t>
      </w:r>
    </w:p>
    <w:p w14:paraId="40CD9F3E" w14:textId="77777777" w:rsidR="00F62668" w:rsidRPr="002E671F" w:rsidRDefault="00F62668" w:rsidP="008F69D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2E671F">
        <w:rPr>
          <w:rFonts w:ascii="Times New Roman" w:eastAsiaTheme="minorHAnsi" w:hAnsi="Times New Roman"/>
          <w:sz w:val="24"/>
          <w:szCs w:val="24"/>
        </w:rPr>
        <w:t>Taksat për ushtrim të veprimtarisë biznesore;</w:t>
      </w:r>
    </w:p>
    <w:p w14:paraId="2B62D60E" w14:textId="77777777" w:rsidR="00F62668" w:rsidRPr="002E671F" w:rsidRDefault="00F62668" w:rsidP="008F69D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2E671F">
        <w:rPr>
          <w:rFonts w:ascii="Times New Roman" w:eastAsiaTheme="minorHAnsi" w:hAnsi="Times New Roman"/>
          <w:sz w:val="24"/>
          <w:szCs w:val="24"/>
        </w:rPr>
        <w:t>Taksat për leje të ndërtimit;</w:t>
      </w:r>
    </w:p>
    <w:p w14:paraId="09BAAA56" w14:textId="77777777" w:rsidR="00F62668" w:rsidRPr="002E671F" w:rsidRDefault="00F62668" w:rsidP="008F69D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2E671F">
        <w:rPr>
          <w:rFonts w:ascii="Times New Roman" w:eastAsiaTheme="minorHAnsi" w:hAnsi="Times New Roman"/>
          <w:sz w:val="24"/>
          <w:szCs w:val="24"/>
        </w:rPr>
        <w:t xml:space="preserve">Taksa për shfrytëzimin e pronës </w:t>
      </w:r>
      <w:r w:rsidR="008F69D6">
        <w:rPr>
          <w:rFonts w:ascii="Times New Roman" w:eastAsiaTheme="minorHAnsi" w:hAnsi="Times New Roman"/>
          <w:sz w:val="24"/>
          <w:szCs w:val="24"/>
        </w:rPr>
        <w:t>k</w:t>
      </w:r>
      <w:r w:rsidRPr="002E671F">
        <w:rPr>
          <w:rFonts w:ascii="Times New Roman" w:eastAsiaTheme="minorHAnsi" w:hAnsi="Times New Roman"/>
          <w:sz w:val="24"/>
          <w:szCs w:val="24"/>
        </w:rPr>
        <w:t>omunale;</w:t>
      </w:r>
    </w:p>
    <w:p w14:paraId="59255126" w14:textId="77777777" w:rsidR="00F62668" w:rsidRPr="002E671F" w:rsidRDefault="00F62668" w:rsidP="008F69D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2E671F">
        <w:rPr>
          <w:rFonts w:ascii="Times New Roman" w:eastAsiaTheme="minorHAnsi" w:hAnsi="Times New Roman"/>
          <w:sz w:val="24"/>
          <w:szCs w:val="24"/>
        </w:rPr>
        <w:t>Taksa për regjistrimin e automjeteve motorike;</w:t>
      </w:r>
    </w:p>
    <w:p w14:paraId="07A70995" w14:textId="77777777" w:rsidR="00F62668" w:rsidRPr="002E671F" w:rsidRDefault="00F62668" w:rsidP="008F69D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2E671F">
        <w:rPr>
          <w:rFonts w:ascii="Times New Roman" w:eastAsiaTheme="minorHAnsi" w:hAnsi="Times New Roman"/>
          <w:sz w:val="24"/>
          <w:szCs w:val="24"/>
        </w:rPr>
        <w:t xml:space="preserve">Taksat administrative </w:t>
      </w:r>
      <w:r w:rsidR="008F69D6">
        <w:rPr>
          <w:rFonts w:ascii="Times New Roman" w:eastAsiaTheme="minorHAnsi" w:hAnsi="Times New Roman"/>
          <w:sz w:val="24"/>
          <w:szCs w:val="24"/>
        </w:rPr>
        <w:t>k</w:t>
      </w:r>
      <w:r w:rsidRPr="002E671F">
        <w:rPr>
          <w:rFonts w:ascii="Times New Roman" w:eastAsiaTheme="minorHAnsi" w:hAnsi="Times New Roman"/>
          <w:sz w:val="24"/>
          <w:szCs w:val="24"/>
        </w:rPr>
        <w:t>omunale (taksa për dokumentacionin lidhur me statusin shoqëror si</w:t>
      </w:r>
      <w:r w:rsidR="00E86B55" w:rsidRPr="002E671F">
        <w:rPr>
          <w:rFonts w:ascii="Times New Roman" w:eastAsiaTheme="minorHAnsi" w:hAnsi="Times New Roman"/>
          <w:sz w:val="24"/>
          <w:szCs w:val="24"/>
        </w:rPr>
        <w:t xml:space="preserve"> ç</w:t>
      </w:r>
      <w:r w:rsidRPr="002E671F">
        <w:rPr>
          <w:rFonts w:ascii="Times New Roman" w:eastAsiaTheme="minorHAnsi" w:hAnsi="Times New Roman"/>
          <w:sz w:val="24"/>
          <w:szCs w:val="24"/>
        </w:rPr>
        <w:t>ertifikatat e lindj</w:t>
      </w:r>
      <w:r w:rsidR="00E86B55" w:rsidRPr="002E671F">
        <w:rPr>
          <w:rFonts w:ascii="Times New Roman" w:eastAsiaTheme="minorHAnsi" w:hAnsi="Times New Roman"/>
          <w:sz w:val="24"/>
          <w:szCs w:val="24"/>
        </w:rPr>
        <w:t>e</w:t>
      </w:r>
      <w:r w:rsidRPr="002E671F">
        <w:rPr>
          <w:rFonts w:ascii="Times New Roman" w:eastAsiaTheme="minorHAnsi" w:hAnsi="Times New Roman"/>
          <w:sz w:val="24"/>
          <w:szCs w:val="24"/>
        </w:rPr>
        <w:t>s, martesës, vdekjes, shtetësisë etj);</w:t>
      </w:r>
    </w:p>
    <w:p w14:paraId="2E274663" w14:textId="77777777" w:rsidR="00F62668" w:rsidRPr="002E671F" w:rsidRDefault="00F62668" w:rsidP="008F69D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2E671F">
        <w:rPr>
          <w:rFonts w:ascii="Times New Roman" w:eastAsiaTheme="minorHAnsi" w:hAnsi="Times New Roman"/>
          <w:sz w:val="24"/>
          <w:szCs w:val="24"/>
        </w:rPr>
        <w:t>Bashkë-pagesat në arsim;</w:t>
      </w:r>
    </w:p>
    <w:p w14:paraId="33C412B7" w14:textId="77777777" w:rsidR="00F62668" w:rsidRPr="002E671F" w:rsidRDefault="00F62668" w:rsidP="008F69D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2E671F">
        <w:rPr>
          <w:rFonts w:ascii="Times New Roman" w:eastAsiaTheme="minorHAnsi" w:hAnsi="Times New Roman"/>
          <w:sz w:val="24"/>
          <w:szCs w:val="24"/>
        </w:rPr>
        <w:t>Bashkë-pagesat në shëndetësi dhe</w:t>
      </w:r>
    </w:p>
    <w:p w14:paraId="040ECCA7" w14:textId="77777777" w:rsidR="00F62668" w:rsidRPr="002E671F" w:rsidRDefault="00F62668" w:rsidP="008F69D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2E671F">
        <w:rPr>
          <w:rFonts w:ascii="Times New Roman" w:eastAsiaTheme="minorHAnsi" w:hAnsi="Times New Roman"/>
          <w:sz w:val="24"/>
          <w:szCs w:val="24"/>
        </w:rPr>
        <w:t>Të hyra tjera.</w:t>
      </w:r>
    </w:p>
    <w:p w14:paraId="46CDD1CC" w14:textId="77777777" w:rsidR="00F62668" w:rsidRPr="002E671F" w:rsidRDefault="00F62668" w:rsidP="00E86B55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6629D" w14:textId="77777777" w:rsidR="00E86B55" w:rsidRPr="002E671F" w:rsidRDefault="00E86B55" w:rsidP="00E86B5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E671F">
        <w:rPr>
          <w:rFonts w:ascii="Times New Roman" w:hAnsi="Times New Roman" w:cs="Times New Roman"/>
          <w:sz w:val="24"/>
          <w:szCs w:val="24"/>
          <w:lang w:val="sq-AL"/>
        </w:rPr>
        <w:t>Plani i të hyrave për tatimin në pronë dhe tokë llogaritet në faturën vjetore Komunale, dhe bazohet në vlerën e pronës/tokës shumëzuar me normën tatimore, si dhe supozimin se Komuna do të vazhdojë përpjekjet për arkëtimin e borxheve të vjetra.</w:t>
      </w:r>
    </w:p>
    <w:p w14:paraId="67320344" w14:textId="77777777" w:rsidR="00E86B55" w:rsidRPr="002E671F" w:rsidRDefault="00E86B55" w:rsidP="00E86B5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E671F">
        <w:rPr>
          <w:rFonts w:ascii="Times New Roman" w:hAnsi="Times New Roman" w:cs="Times New Roman"/>
          <w:sz w:val="24"/>
          <w:szCs w:val="24"/>
          <w:lang w:val="sq-AL"/>
        </w:rPr>
        <w:t xml:space="preserve">Tarifat dhe taksat e tjera përcaktohen në bazë të një rregulloreje komunale, dhe në parim përcaktohen për aq sa kostoja e tyre të rikuperohet.  </w:t>
      </w:r>
    </w:p>
    <w:p w14:paraId="04B42691" w14:textId="77777777" w:rsidR="00F62668" w:rsidRPr="002E671F" w:rsidRDefault="00F62668" w:rsidP="002E671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383A82" w14:textId="77777777" w:rsidR="00F62668" w:rsidRDefault="00F62668" w:rsidP="00E86B55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1E2938B0" w14:textId="77777777" w:rsidR="00894796" w:rsidRDefault="00894796" w:rsidP="00E86B55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2E7078E7" w14:textId="77777777" w:rsidR="00894796" w:rsidRDefault="00894796" w:rsidP="00E86B55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2BDAFBE7" w14:textId="0EADEE86" w:rsidR="00894796" w:rsidRDefault="00894796" w:rsidP="00E86B55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lastRenderedPageBreak/>
        <w:t>Paraqitja Grafike e Projeksionit të të Hyrave Komunale për vitin 202</w:t>
      </w:r>
      <w:r w:rsidR="009C187B">
        <w:rPr>
          <w:rFonts w:ascii="Times New Roman" w:hAnsi="Times New Roman"/>
          <w:b/>
          <w:sz w:val="24"/>
          <w:szCs w:val="24"/>
          <w:lang w:val="sq-AL"/>
        </w:rPr>
        <w:t>6</w:t>
      </w:r>
    </w:p>
    <w:p w14:paraId="0AFE996C" w14:textId="77777777" w:rsidR="00894796" w:rsidRPr="002E671F" w:rsidRDefault="00894796" w:rsidP="00E86B55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6450892B" w14:textId="77777777" w:rsidR="00F62668" w:rsidRPr="002E671F" w:rsidRDefault="00DA16FF" w:rsidP="001638C0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2E671F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3AB916A" wp14:editId="22897669">
            <wp:extent cx="5486400" cy="3200400"/>
            <wp:effectExtent l="0" t="0" r="0" b="0"/>
            <wp:docPr id="11463096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0AB14A9" w14:textId="77777777" w:rsidR="006C15BB" w:rsidRPr="002E671F" w:rsidRDefault="006C15BB" w:rsidP="003470CB">
      <w:pPr>
        <w:rPr>
          <w:rFonts w:ascii="Times New Roman" w:hAnsi="Times New Roman" w:cs="Times New Roman"/>
          <w:sz w:val="24"/>
          <w:szCs w:val="24"/>
        </w:rPr>
      </w:pPr>
    </w:p>
    <w:p w14:paraId="3E44494C" w14:textId="77777777" w:rsidR="009A56C6" w:rsidRPr="002E671F" w:rsidRDefault="009A56C6" w:rsidP="003470CB">
      <w:pPr>
        <w:rPr>
          <w:rFonts w:ascii="Times New Roman" w:hAnsi="Times New Roman" w:cs="Times New Roman"/>
          <w:sz w:val="24"/>
          <w:szCs w:val="24"/>
        </w:rPr>
      </w:pPr>
    </w:p>
    <w:p w14:paraId="5CBCC166" w14:textId="77777777" w:rsidR="009A56C6" w:rsidRPr="002E671F" w:rsidRDefault="009A56C6" w:rsidP="003470CB">
      <w:pPr>
        <w:rPr>
          <w:rFonts w:ascii="Times New Roman" w:hAnsi="Times New Roman" w:cs="Times New Roman"/>
          <w:sz w:val="24"/>
          <w:szCs w:val="24"/>
        </w:rPr>
      </w:pPr>
    </w:p>
    <w:p w14:paraId="505454B9" w14:textId="77777777" w:rsidR="009A56C6" w:rsidRPr="002E671F" w:rsidRDefault="009A56C6" w:rsidP="003470CB">
      <w:pPr>
        <w:rPr>
          <w:rFonts w:ascii="Times New Roman" w:hAnsi="Times New Roman" w:cs="Times New Roman"/>
          <w:sz w:val="24"/>
          <w:szCs w:val="24"/>
        </w:rPr>
      </w:pPr>
    </w:p>
    <w:p w14:paraId="4E4321E9" w14:textId="77777777" w:rsidR="009A56C6" w:rsidRPr="002E671F" w:rsidRDefault="009A56C6" w:rsidP="003470CB">
      <w:pPr>
        <w:rPr>
          <w:rFonts w:ascii="Times New Roman" w:hAnsi="Times New Roman" w:cs="Times New Roman"/>
          <w:sz w:val="24"/>
          <w:szCs w:val="24"/>
        </w:rPr>
      </w:pPr>
    </w:p>
    <w:p w14:paraId="0078C648" w14:textId="77777777" w:rsidR="009A56C6" w:rsidRPr="002E671F" w:rsidRDefault="009A56C6" w:rsidP="003470CB">
      <w:pPr>
        <w:rPr>
          <w:rFonts w:ascii="Times New Roman" w:hAnsi="Times New Roman" w:cs="Times New Roman"/>
          <w:sz w:val="24"/>
          <w:szCs w:val="24"/>
        </w:rPr>
      </w:pPr>
    </w:p>
    <w:p w14:paraId="345B7B71" w14:textId="77777777" w:rsidR="009A56C6" w:rsidRPr="002E671F" w:rsidRDefault="009A56C6" w:rsidP="003470CB">
      <w:pPr>
        <w:rPr>
          <w:rFonts w:ascii="Times New Roman" w:hAnsi="Times New Roman" w:cs="Times New Roman"/>
          <w:sz w:val="24"/>
          <w:szCs w:val="24"/>
        </w:rPr>
      </w:pPr>
    </w:p>
    <w:p w14:paraId="349B7C3D" w14:textId="77777777" w:rsidR="009A56C6" w:rsidRPr="002E671F" w:rsidRDefault="009A56C6" w:rsidP="003470CB">
      <w:pPr>
        <w:rPr>
          <w:rFonts w:ascii="Times New Roman" w:hAnsi="Times New Roman" w:cs="Times New Roman"/>
          <w:sz w:val="24"/>
          <w:szCs w:val="24"/>
        </w:rPr>
      </w:pPr>
    </w:p>
    <w:p w14:paraId="4BF9FB80" w14:textId="77777777" w:rsidR="009A56C6" w:rsidRPr="002E671F" w:rsidRDefault="009A56C6" w:rsidP="003470CB">
      <w:pPr>
        <w:rPr>
          <w:rFonts w:ascii="Times New Roman" w:hAnsi="Times New Roman" w:cs="Times New Roman"/>
          <w:sz w:val="24"/>
          <w:szCs w:val="24"/>
        </w:rPr>
      </w:pPr>
    </w:p>
    <w:p w14:paraId="50323CB2" w14:textId="77777777" w:rsidR="009A56C6" w:rsidRPr="002E671F" w:rsidRDefault="009A56C6" w:rsidP="003470CB">
      <w:pPr>
        <w:rPr>
          <w:rFonts w:ascii="Times New Roman" w:hAnsi="Times New Roman" w:cs="Times New Roman"/>
          <w:sz w:val="24"/>
          <w:szCs w:val="24"/>
        </w:rPr>
      </w:pPr>
    </w:p>
    <w:p w14:paraId="324F5D12" w14:textId="77777777" w:rsidR="009A56C6" w:rsidRPr="002E671F" w:rsidRDefault="009A56C6" w:rsidP="003470CB">
      <w:pPr>
        <w:rPr>
          <w:rFonts w:ascii="Times New Roman" w:hAnsi="Times New Roman" w:cs="Times New Roman"/>
          <w:sz w:val="24"/>
          <w:szCs w:val="24"/>
        </w:rPr>
      </w:pPr>
    </w:p>
    <w:p w14:paraId="29B23E4D" w14:textId="77777777" w:rsidR="009A56C6" w:rsidRPr="002E671F" w:rsidRDefault="009A56C6" w:rsidP="003470CB">
      <w:pPr>
        <w:rPr>
          <w:rFonts w:ascii="Times New Roman" w:hAnsi="Times New Roman" w:cs="Times New Roman"/>
          <w:sz w:val="24"/>
          <w:szCs w:val="24"/>
        </w:rPr>
      </w:pPr>
    </w:p>
    <w:p w14:paraId="360CE3BE" w14:textId="77777777" w:rsidR="009A56C6" w:rsidRDefault="009A56C6" w:rsidP="003470CB">
      <w:pPr>
        <w:rPr>
          <w:rFonts w:ascii="Times New Roman" w:hAnsi="Times New Roman" w:cs="Times New Roman"/>
          <w:sz w:val="24"/>
          <w:szCs w:val="24"/>
        </w:rPr>
      </w:pPr>
    </w:p>
    <w:p w14:paraId="2789CCB6" w14:textId="77777777" w:rsidR="00CF327A" w:rsidRPr="002E671F" w:rsidRDefault="00CF327A" w:rsidP="003470CB">
      <w:pPr>
        <w:rPr>
          <w:rFonts w:ascii="Times New Roman" w:hAnsi="Times New Roman" w:cs="Times New Roman"/>
          <w:sz w:val="24"/>
          <w:szCs w:val="24"/>
        </w:rPr>
      </w:pPr>
    </w:p>
    <w:p w14:paraId="6C7F300A" w14:textId="77777777" w:rsidR="009A56C6" w:rsidRPr="002E671F" w:rsidRDefault="009A56C6" w:rsidP="009A56C6">
      <w:pPr>
        <w:pStyle w:val="Heading3"/>
        <w:jc w:val="center"/>
        <w:rPr>
          <w:rFonts w:ascii="Times New Roman" w:hAnsi="Times New Roman" w:cs="Times New Roman"/>
          <w:b/>
          <w:bCs/>
          <w:color w:val="auto"/>
          <w:lang w:val="sq-AL"/>
        </w:rPr>
      </w:pPr>
      <w:r w:rsidRPr="002E671F">
        <w:rPr>
          <w:rFonts w:ascii="Times New Roman" w:hAnsi="Times New Roman" w:cs="Times New Roman"/>
          <w:b/>
          <w:bCs/>
          <w:color w:val="auto"/>
          <w:lang w:val="sq-AL"/>
        </w:rPr>
        <w:lastRenderedPageBreak/>
        <w:t>Shpenzimet</w:t>
      </w:r>
    </w:p>
    <w:p w14:paraId="6662EC3D" w14:textId="77777777" w:rsidR="009A56C6" w:rsidRPr="002E671F" w:rsidRDefault="009A56C6" w:rsidP="009A56C6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C0DBCB1" w14:textId="538B0596" w:rsidR="009A56C6" w:rsidRPr="002E671F" w:rsidRDefault="009A56C6" w:rsidP="009A56C6">
      <w:pPr>
        <w:spacing w:line="36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2E671F">
        <w:rPr>
          <w:rFonts w:ascii="Times New Roman" w:hAnsi="Times New Roman"/>
          <w:sz w:val="24"/>
          <w:szCs w:val="24"/>
          <w:lang w:val="sq-AL"/>
        </w:rPr>
        <w:t xml:space="preserve">Kostoja e personelit apo kategoria e pagave dhe shtesave paraqesin shpenzimin më të madh të buxhetit komunal (rreth </w:t>
      </w:r>
      <w:r w:rsidR="00AE20DF">
        <w:rPr>
          <w:rFonts w:ascii="Times New Roman" w:hAnsi="Times New Roman"/>
          <w:sz w:val="24"/>
          <w:szCs w:val="24"/>
          <w:lang w:val="sq-AL"/>
        </w:rPr>
        <w:t xml:space="preserve">59.16 </w:t>
      </w:r>
      <w:r w:rsidR="000033AB" w:rsidRPr="000033AB">
        <w:rPr>
          <w:rFonts w:ascii="Times New Roman" w:hAnsi="Times New Roman"/>
          <w:sz w:val="24"/>
          <w:szCs w:val="24"/>
          <w:lang w:val="sq-AL"/>
        </w:rPr>
        <w:t xml:space="preserve">% </w:t>
      </w:r>
      <w:r w:rsidRPr="002E671F">
        <w:rPr>
          <w:rFonts w:ascii="Times New Roman" w:hAnsi="Times New Roman"/>
          <w:sz w:val="24"/>
          <w:szCs w:val="24"/>
          <w:lang w:val="sq-AL"/>
        </w:rPr>
        <w:t xml:space="preserve">buxhetit të përgjithshëm komunal) dhe qasja për caktimin e kësaj shume është sipas formulës. </w:t>
      </w:r>
    </w:p>
    <w:p w14:paraId="360CDF04" w14:textId="5A22C207" w:rsidR="009A56C6" w:rsidRPr="002E671F" w:rsidRDefault="009A56C6" w:rsidP="009A56C6">
      <w:pPr>
        <w:spacing w:line="36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2E671F">
        <w:rPr>
          <w:rFonts w:ascii="Times New Roman" w:hAnsi="Times New Roman"/>
          <w:sz w:val="24"/>
          <w:szCs w:val="24"/>
          <w:lang w:val="sq-AL"/>
        </w:rPr>
        <w:t xml:space="preserve">Kostot operative ose të mirëmbajtjes dhe ato operacionale të Komunës siç janë: mallrat dhe shërbimet, shpenzimet komunale dhe subvencionet përfaqësojnë me rreth </w:t>
      </w:r>
      <w:r w:rsidR="00AE385A">
        <w:rPr>
          <w:rFonts w:ascii="Times New Roman" w:hAnsi="Times New Roman"/>
          <w:sz w:val="24"/>
          <w:szCs w:val="24"/>
          <w:lang w:val="sq-AL"/>
        </w:rPr>
        <w:t>2</w:t>
      </w:r>
      <w:r w:rsidR="00AE20DF">
        <w:rPr>
          <w:rFonts w:ascii="Times New Roman" w:hAnsi="Times New Roman"/>
          <w:sz w:val="24"/>
          <w:szCs w:val="24"/>
          <w:lang w:val="sq-AL"/>
        </w:rPr>
        <w:t>0.47</w:t>
      </w:r>
      <w:r w:rsidRPr="000033AB">
        <w:rPr>
          <w:rFonts w:ascii="Times New Roman" w:hAnsi="Times New Roman"/>
          <w:sz w:val="24"/>
          <w:szCs w:val="24"/>
          <w:lang w:val="sq-AL"/>
        </w:rPr>
        <w:t>%</w:t>
      </w:r>
      <w:r w:rsidRPr="002E671F">
        <w:rPr>
          <w:rFonts w:ascii="Times New Roman" w:hAnsi="Times New Roman"/>
          <w:sz w:val="24"/>
          <w:szCs w:val="24"/>
          <w:lang w:val="sq-AL"/>
        </w:rPr>
        <w:t xml:space="preserve"> të buxhetit. Rreth </w:t>
      </w:r>
      <w:r w:rsidR="00AE20DF">
        <w:rPr>
          <w:rFonts w:ascii="Times New Roman" w:hAnsi="Times New Roman"/>
          <w:sz w:val="24"/>
          <w:szCs w:val="24"/>
          <w:lang w:val="sq-AL"/>
        </w:rPr>
        <w:t>20.37</w:t>
      </w:r>
      <w:r w:rsidRPr="000033AB">
        <w:rPr>
          <w:rFonts w:ascii="Times New Roman" w:hAnsi="Times New Roman"/>
          <w:sz w:val="24"/>
          <w:szCs w:val="24"/>
          <w:lang w:val="sq-AL"/>
        </w:rPr>
        <w:t>%</w:t>
      </w:r>
      <w:r w:rsidRPr="002E671F">
        <w:rPr>
          <w:rFonts w:ascii="Times New Roman" w:hAnsi="Times New Roman"/>
          <w:sz w:val="24"/>
          <w:szCs w:val="24"/>
          <w:lang w:val="sq-AL"/>
        </w:rPr>
        <w:t xml:space="preserve"> të buxhetit të përgjithshëm paraqesin shpenzimet kapitale të shoqëruara me investimet në Arsim, Shëndetësi, Shërbime Publike</w:t>
      </w:r>
      <w:r w:rsidR="000033AB">
        <w:rPr>
          <w:rFonts w:ascii="Times New Roman" w:hAnsi="Times New Roman"/>
          <w:sz w:val="24"/>
          <w:szCs w:val="24"/>
          <w:lang w:val="sq-AL"/>
        </w:rPr>
        <w:t>, Administratë të Përgjithshme</w:t>
      </w:r>
      <w:r w:rsidRPr="002E671F">
        <w:rPr>
          <w:rFonts w:ascii="Times New Roman" w:hAnsi="Times New Roman"/>
          <w:sz w:val="24"/>
          <w:szCs w:val="24"/>
          <w:lang w:val="sq-AL"/>
        </w:rPr>
        <w:t xml:space="preserve"> dhe Planifikim Urban.</w:t>
      </w:r>
    </w:p>
    <w:p w14:paraId="26D47B17" w14:textId="77777777" w:rsidR="009E6A41" w:rsidRPr="002E671F" w:rsidRDefault="009E6A41" w:rsidP="009A56C6">
      <w:pPr>
        <w:spacing w:line="36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082E4A4" w14:textId="6421A7F3" w:rsidR="009E6A41" w:rsidRPr="002E671F" w:rsidRDefault="009E6A41" w:rsidP="009E6A41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2E671F">
        <w:rPr>
          <w:rFonts w:ascii="Times New Roman" w:hAnsi="Times New Roman" w:cs="Times New Roman"/>
          <w:b/>
          <w:sz w:val="24"/>
          <w:szCs w:val="24"/>
          <w:lang w:val="sq-AL"/>
        </w:rPr>
        <w:t>Buxheti i shpenzimeve sipas kategorive</w:t>
      </w:r>
      <w:r w:rsidR="00AE385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ekonomike në total (</w:t>
      </w:r>
      <w:r w:rsidR="0072673F">
        <w:rPr>
          <w:rFonts w:ascii="Times New Roman" w:hAnsi="Times New Roman" w:cs="Times New Roman"/>
          <w:b/>
          <w:sz w:val="24"/>
          <w:szCs w:val="24"/>
          <w:lang w:val="sq-AL"/>
        </w:rPr>
        <w:t>4,234,682.00</w:t>
      </w:r>
      <w:r w:rsidRPr="002E671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EUR)</w:t>
      </w:r>
    </w:p>
    <w:p w14:paraId="788A45C3" w14:textId="77777777" w:rsidR="009E6A41" w:rsidRPr="002E671F" w:rsidRDefault="009E6A41" w:rsidP="009E6A41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6BA3300A" w14:textId="77777777" w:rsidR="009E6A41" w:rsidRPr="00476A77" w:rsidRDefault="009E6A41" w:rsidP="00476A77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2E671F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F0CBCDA" wp14:editId="6FE676F3">
            <wp:extent cx="5391150" cy="2838450"/>
            <wp:effectExtent l="0" t="0" r="0" b="0"/>
            <wp:docPr id="2003937645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E76E68B" w14:textId="557FA278" w:rsidR="009A2C66" w:rsidRPr="002E671F" w:rsidRDefault="009A2C66" w:rsidP="009A2C66">
      <w:pPr>
        <w:rPr>
          <w:rFonts w:ascii="Times New Roman" w:hAnsi="Times New Roman"/>
          <w:lang w:val="sq-AL"/>
        </w:rPr>
      </w:pPr>
      <w:r w:rsidRPr="002E671F">
        <w:rPr>
          <w:rFonts w:ascii="Times New Roman" w:hAnsi="Times New Roman"/>
          <w:lang w:val="sq-AL"/>
        </w:rPr>
        <w:t>Shpenzimet sipas kategorive ekonomike për vitin 202</w:t>
      </w:r>
      <w:r w:rsidR="00AE20DF">
        <w:rPr>
          <w:rFonts w:ascii="Times New Roman" w:hAnsi="Times New Roman"/>
          <w:lang w:val="sq-AL"/>
        </w:rPr>
        <w:t>6</w:t>
      </w:r>
      <w:r w:rsidRPr="002E671F">
        <w:rPr>
          <w:rFonts w:ascii="Times New Roman" w:hAnsi="Times New Roman"/>
          <w:lang w:val="sq-AL"/>
        </w:rPr>
        <w:t xml:space="preserve">: </w:t>
      </w:r>
    </w:p>
    <w:p w14:paraId="62774686" w14:textId="1B42C473" w:rsidR="009A2C66" w:rsidRPr="002E671F" w:rsidRDefault="009A2C66" w:rsidP="009A2C66">
      <w:pPr>
        <w:pStyle w:val="ListParagraph"/>
        <w:numPr>
          <w:ilvl w:val="0"/>
          <w:numId w:val="4"/>
        </w:numPr>
        <w:rPr>
          <w:rFonts w:ascii="Times New Roman" w:hAnsi="Times New Roman"/>
          <w:lang w:val="sq-AL"/>
        </w:rPr>
      </w:pPr>
      <w:r w:rsidRPr="002E671F">
        <w:rPr>
          <w:rFonts w:ascii="Times New Roman" w:hAnsi="Times New Roman"/>
          <w:lang w:val="sq-AL"/>
        </w:rPr>
        <w:t xml:space="preserve">Pagat </w:t>
      </w:r>
      <w:r w:rsidR="00AE385A">
        <w:rPr>
          <w:rFonts w:ascii="Times New Roman" w:hAnsi="Times New Roman"/>
          <w:lang w:val="sq-AL"/>
        </w:rPr>
        <w:t>dhe shtesat 2,</w:t>
      </w:r>
      <w:r w:rsidR="00AE20DF">
        <w:rPr>
          <w:rFonts w:ascii="Times New Roman" w:hAnsi="Times New Roman"/>
          <w:lang w:val="sq-AL"/>
        </w:rPr>
        <w:t>505,202</w:t>
      </w:r>
      <w:r w:rsidRPr="002E671F">
        <w:rPr>
          <w:rFonts w:ascii="Times New Roman" w:hAnsi="Times New Roman"/>
          <w:lang w:val="sq-AL"/>
        </w:rPr>
        <w:t xml:space="preserve">.00 € apo </w:t>
      </w:r>
      <w:r w:rsidR="00AE20DF">
        <w:rPr>
          <w:rFonts w:ascii="Times New Roman" w:hAnsi="Times New Roman"/>
          <w:lang w:val="sq-AL"/>
        </w:rPr>
        <w:t>59.16</w:t>
      </w:r>
      <w:r w:rsidRPr="002E671F">
        <w:rPr>
          <w:rFonts w:ascii="Times New Roman" w:hAnsi="Times New Roman"/>
          <w:lang w:val="sq-AL"/>
        </w:rPr>
        <w:t xml:space="preserve"> %</w:t>
      </w:r>
    </w:p>
    <w:p w14:paraId="14D96F67" w14:textId="6798FDA1" w:rsidR="009A2C66" w:rsidRPr="002E671F" w:rsidRDefault="009A2C66" w:rsidP="009A2C66">
      <w:pPr>
        <w:pStyle w:val="ListParagraph"/>
        <w:numPr>
          <w:ilvl w:val="0"/>
          <w:numId w:val="4"/>
        </w:numPr>
        <w:rPr>
          <w:rFonts w:ascii="Times New Roman" w:hAnsi="Times New Roman"/>
          <w:lang w:val="sq-AL"/>
        </w:rPr>
      </w:pPr>
      <w:r w:rsidRPr="002E671F">
        <w:rPr>
          <w:rFonts w:ascii="Times New Roman" w:hAnsi="Times New Roman"/>
          <w:lang w:val="sq-AL"/>
        </w:rPr>
        <w:t xml:space="preserve">Mallrat dhe shërbimet </w:t>
      </w:r>
      <w:r w:rsidR="00AE385A">
        <w:rPr>
          <w:rFonts w:ascii="Times New Roman" w:hAnsi="Times New Roman"/>
          <w:lang w:val="sq-AL"/>
        </w:rPr>
        <w:t>5</w:t>
      </w:r>
      <w:r w:rsidR="00AE20DF">
        <w:rPr>
          <w:rFonts w:ascii="Times New Roman" w:hAnsi="Times New Roman"/>
          <w:lang w:val="sq-AL"/>
        </w:rPr>
        <w:t>71</w:t>
      </w:r>
      <w:r w:rsidR="00AE385A">
        <w:rPr>
          <w:rFonts w:ascii="Times New Roman" w:hAnsi="Times New Roman"/>
          <w:lang w:val="sq-AL"/>
        </w:rPr>
        <w:t>,</w:t>
      </w:r>
      <w:r w:rsidR="00AE20DF">
        <w:rPr>
          <w:rFonts w:ascii="Times New Roman" w:hAnsi="Times New Roman"/>
          <w:lang w:val="sq-AL"/>
        </w:rPr>
        <w:t>0</w:t>
      </w:r>
      <w:r w:rsidR="00AE385A">
        <w:rPr>
          <w:rFonts w:ascii="Times New Roman" w:hAnsi="Times New Roman"/>
          <w:lang w:val="sq-AL"/>
        </w:rPr>
        <w:t>00</w:t>
      </w:r>
      <w:r w:rsidRPr="002E671F">
        <w:rPr>
          <w:rFonts w:ascii="Times New Roman" w:hAnsi="Times New Roman"/>
          <w:lang w:val="sq-AL"/>
        </w:rPr>
        <w:t xml:space="preserve">.00 € apo </w:t>
      </w:r>
      <w:r w:rsidR="00AE20DF">
        <w:rPr>
          <w:rFonts w:ascii="Times New Roman" w:hAnsi="Times New Roman"/>
          <w:lang w:val="sq-AL"/>
        </w:rPr>
        <w:t>13.48</w:t>
      </w:r>
      <w:r w:rsidRPr="002E671F">
        <w:rPr>
          <w:rFonts w:ascii="Times New Roman" w:hAnsi="Times New Roman"/>
          <w:lang w:val="sq-AL"/>
        </w:rPr>
        <w:t xml:space="preserve"> %</w:t>
      </w:r>
    </w:p>
    <w:p w14:paraId="74938B65" w14:textId="0C733DE8" w:rsidR="009A2C66" w:rsidRPr="002E671F" w:rsidRDefault="009A2C66" w:rsidP="009A2C66">
      <w:pPr>
        <w:pStyle w:val="ListParagraph"/>
        <w:numPr>
          <w:ilvl w:val="0"/>
          <w:numId w:val="4"/>
        </w:numPr>
        <w:rPr>
          <w:rFonts w:ascii="Times New Roman" w:hAnsi="Times New Roman"/>
          <w:lang w:val="sq-AL"/>
        </w:rPr>
      </w:pPr>
      <w:r w:rsidRPr="002E671F">
        <w:rPr>
          <w:rFonts w:ascii="Times New Roman" w:hAnsi="Times New Roman"/>
          <w:lang w:val="sq-AL"/>
        </w:rPr>
        <w:t xml:space="preserve">Shpenzimet komunale </w:t>
      </w:r>
      <w:r w:rsidR="00AE20DF">
        <w:rPr>
          <w:rFonts w:ascii="Times New Roman" w:hAnsi="Times New Roman"/>
          <w:lang w:val="sq-AL"/>
        </w:rPr>
        <w:t>111</w:t>
      </w:r>
      <w:r w:rsidR="00AE385A">
        <w:rPr>
          <w:rFonts w:ascii="Times New Roman" w:hAnsi="Times New Roman"/>
          <w:lang w:val="sq-AL"/>
        </w:rPr>
        <w:t>,000.00 € apo 2.</w:t>
      </w:r>
      <w:r w:rsidR="00AE20DF">
        <w:rPr>
          <w:rFonts w:ascii="Times New Roman" w:hAnsi="Times New Roman"/>
          <w:lang w:val="sq-AL"/>
        </w:rPr>
        <w:t>62</w:t>
      </w:r>
      <w:r w:rsidRPr="002E671F">
        <w:rPr>
          <w:rFonts w:ascii="Times New Roman" w:hAnsi="Times New Roman"/>
          <w:lang w:val="sq-AL"/>
        </w:rPr>
        <w:t xml:space="preserve"> %</w:t>
      </w:r>
    </w:p>
    <w:p w14:paraId="5B579EBF" w14:textId="44C0E52D" w:rsidR="009A2C66" w:rsidRPr="002E671F" w:rsidRDefault="00AE385A" w:rsidP="009A2C66">
      <w:pPr>
        <w:pStyle w:val="ListParagraph"/>
        <w:numPr>
          <w:ilvl w:val="0"/>
          <w:numId w:val="4"/>
        </w:numPr>
        <w:rPr>
          <w:rFonts w:ascii="Times New Roman" w:hAnsi="Times New Roman"/>
          <w:lang w:val="sq-AL"/>
        </w:rPr>
      </w:pPr>
      <w:r>
        <w:rPr>
          <w:rFonts w:ascii="Times New Roman" w:hAnsi="Times New Roman"/>
          <w:lang w:val="sq-AL"/>
        </w:rPr>
        <w:t>Subvencionet dhe transferet 1</w:t>
      </w:r>
      <w:r w:rsidR="00AE20DF">
        <w:rPr>
          <w:rFonts w:ascii="Times New Roman" w:hAnsi="Times New Roman"/>
          <w:lang w:val="sq-AL"/>
        </w:rPr>
        <w:t>85</w:t>
      </w:r>
      <w:r>
        <w:rPr>
          <w:rFonts w:ascii="Times New Roman" w:hAnsi="Times New Roman"/>
          <w:lang w:val="sq-AL"/>
        </w:rPr>
        <w:t>,000.00 € apo 4</w:t>
      </w:r>
      <w:r w:rsidR="00AE20DF">
        <w:rPr>
          <w:rFonts w:ascii="Times New Roman" w:hAnsi="Times New Roman"/>
          <w:lang w:val="sq-AL"/>
        </w:rPr>
        <w:t>.37</w:t>
      </w:r>
      <w:r w:rsidR="009A2C66" w:rsidRPr="002E671F">
        <w:rPr>
          <w:rFonts w:ascii="Times New Roman" w:hAnsi="Times New Roman"/>
          <w:lang w:val="sq-AL"/>
        </w:rPr>
        <w:t xml:space="preserve"> %</w:t>
      </w:r>
    </w:p>
    <w:p w14:paraId="4B71E55F" w14:textId="6886E995" w:rsidR="009A2C66" w:rsidRPr="002E671F" w:rsidRDefault="00AE385A" w:rsidP="009A2C66">
      <w:pPr>
        <w:pStyle w:val="ListParagraph"/>
        <w:numPr>
          <w:ilvl w:val="0"/>
          <w:numId w:val="4"/>
        </w:numPr>
        <w:rPr>
          <w:rFonts w:ascii="Times New Roman" w:hAnsi="Times New Roman"/>
          <w:lang w:val="sq-AL"/>
        </w:rPr>
      </w:pPr>
      <w:r>
        <w:rPr>
          <w:rFonts w:ascii="Times New Roman" w:hAnsi="Times New Roman"/>
          <w:lang w:val="sq-AL"/>
        </w:rPr>
        <w:t xml:space="preserve">Shpenzimet kapitale </w:t>
      </w:r>
      <w:r w:rsidR="00FD0A5A">
        <w:rPr>
          <w:rFonts w:ascii="Times New Roman" w:hAnsi="Times New Roman"/>
          <w:lang w:val="sq-AL"/>
        </w:rPr>
        <w:t>862,480</w:t>
      </w:r>
      <w:r w:rsidR="009A2C66" w:rsidRPr="002E671F">
        <w:rPr>
          <w:rFonts w:ascii="Times New Roman" w:hAnsi="Times New Roman"/>
          <w:lang w:val="sq-AL"/>
        </w:rPr>
        <w:t xml:space="preserve">.00 € apo </w:t>
      </w:r>
      <w:r w:rsidR="00AE20DF">
        <w:rPr>
          <w:rFonts w:ascii="Times New Roman" w:hAnsi="Times New Roman"/>
          <w:lang w:val="sq-AL"/>
        </w:rPr>
        <w:t>20.37</w:t>
      </w:r>
      <w:r w:rsidR="009A2C66" w:rsidRPr="002E671F">
        <w:rPr>
          <w:rFonts w:ascii="Times New Roman" w:hAnsi="Times New Roman"/>
          <w:lang w:val="sq-AL"/>
        </w:rPr>
        <w:t xml:space="preserve"> %</w:t>
      </w:r>
    </w:p>
    <w:p w14:paraId="6B793B23" w14:textId="338BADAE" w:rsidR="009A2C66" w:rsidRPr="002E671F" w:rsidRDefault="00AE385A" w:rsidP="009A2C66">
      <w:pPr>
        <w:pStyle w:val="ListParagraph"/>
        <w:numPr>
          <w:ilvl w:val="0"/>
          <w:numId w:val="4"/>
        </w:numPr>
        <w:rPr>
          <w:rFonts w:ascii="Times New Roman" w:hAnsi="Times New Roman"/>
          <w:lang w:val="sq-AL"/>
        </w:rPr>
      </w:pPr>
      <w:r>
        <w:rPr>
          <w:rFonts w:ascii="Times New Roman" w:hAnsi="Times New Roman"/>
          <w:lang w:val="sq-AL"/>
        </w:rPr>
        <w:t xml:space="preserve">Totali </w:t>
      </w:r>
      <w:r w:rsidR="00AE20DF">
        <w:rPr>
          <w:rFonts w:ascii="Times New Roman" w:hAnsi="Times New Roman"/>
          <w:lang w:val="sq-AL"/>
        </w:rPr>
        <w:t>4,234,682</w:t>
      </w:r>
      <w:r w:rsidR="009A2C66" w:rsidRPr="002E671F">
        <w:rPr>
          <w:rFonts w:ascii="Times New Roman" w:hAnsi="Times New Roman"/>
          <w:lang w:val="sq-AL"/>
        </w:rPr>
        <w:t>.00 € apo 100%</w:t>
      </w:r>
    </w:p>
    <w:p w14:paraId="24DE8E73" w14:textId="77777777" w:rsidR="0003560F" w:rsidRPr="002E671F" w:rsidRDefault="0003560F" w:rsidP="0003560F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  <w:r w:rsidRPr="002E671F">
        <w:rPr>
          <w:rFonts w:ascii="Times New Roman" w:hAnsi="Times New Roman" w:cs="Times New Roman"/>
          <w:color w:val="auto"/>
          <w:sz w:val="24"/>
          <w:szCs w:val="24"/>
          <w:lang w:val="sq-AL"/>
        </w:rPr>
        <w:lastRenderedPageBreak/>
        <w:t>Procesi dhe parimet e buxhetit</w:t>
      </w:r>
    </w:p>
    <w:p w14:paraId="090B9870" w14:textId="77777777" w:rsidR="0003560F" w:rsidRPr="002E671F" w:rsidRDefault="0003560F" w:rsidP="0003560F">
      <w:pPr>
        <w:rPr>
          <w:lang w:val="sq-AL"/>
        </w:rPr>
      </w:pPr>
    </w:p>
    <w:p w14:paraId="1CE3BF2E" w14:textId="77777777" w:rsidR="0003560F" w:rsidRPr="002E671F" w:rsidRDefault="0003560F" w:rsidP="00DB1387">
      <w:pPr>
        <w:spacing w:line="36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2E671F">
        <w:rPr>
          <w:rFonts w:ascii="Times New Roman" w:hAnsi="Times New Roman"/>
          <w:sz w:val="24"/>
          <w:szCs w:val="24"/>
          <w:lang w:val="sq-AL"/>
        </w:rPr>
        <w:t>Çdo vit, Komuna përgatit një buxhet vjetor që llogarit të ardhurat që vijnë nga Grantet e Qeverisë Qëndrore, tatimet lokale dhe tarifat, si dhe burimet e tjera dhe përcakton një plan për mënyrën se si Komuna synon t’i shfrytëzojë ato burime gjatë vitit pasues kalendarik.</w:t>
      </w:r>
    </w:p>
    <w:p w14:paraId="682A0DEB" w14:textId="77777777" w:rsidR="0003560F" w:rsidRPr="002E671F" w:rsidRDefault="0003560F" w:rsidP="00DB1387">
      <w:pPr>
        <w:spacing w:line="36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2E671F">
        <w:rPr>
          <w:rFonts w:ascii="Times New Roman" w:hAnsi="Times New Roman"/>
          <w:sz w:val="24"/>
          <w:szCs w:val="24"/>
          <w:lang w:val="sq-AL"/>
        </w:rPr>
        <w:t xml:space="preserve">Në përputhje me Ligjin për Menaxhimin e Financave Publike dhe Përgjegjësitë, </w:t>
      </w:r>
      <w:r w:rsidR="00B23BB8" w:rsidRPr="002E671F">
        <w:rPr>
          <w:rFonts w:ascii="Times New Roman" w:hAnsi="Times New Roman"/>
          <w:sz w:val="24"/>
          <w:szCs w:val="24"/>
          <w:lang w:val="sq-AL"/>
        </w:rPr>
        <w:t>K</w:t>
      </w:r>
      <w:r w:rsidRPr="002E671F">
        <w:rPr>
          <w:rFonts w:ascii="Times New Roman" w:hAnsi="Times New Roman"/>
          <w:sz w:val="24"/>
          <w:szCs w:val="24"/>
          <w:lang w:val="sq-AL"/>
        </w:rPr>
        <w:t>omuna përgatit një buxhet të ekuilibruar, që do të thotë se shpenzimet e përvetësuara nuk e tejkalojnë shumën e burimeve që ajo e vlerëson se do të jenë në dispozicion për atë vit.</w:t>
      </w:r>
    </w:p>
    <w:p w14:paraId="3064D1C7" w14:textId="77777777" w:rsidR="0003560F" w:rsidRPr="002E671F" w:rsidRDefault="0003560F" w:rsidP="00DB1387">
      <w:pPr>
        <w:spacing w:line="36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2E671F">
        <w:rPr>
          <w:rFonts w:ascii="Times New Roman" w:hAnsi="Times New Roman"/>
          <w:sz w:val="24"/>
          <w:szCs w:val="24"/>
          <w:lang w:val="sq-AL"/>
        </w:rPr>
        <w:t>Procesi i buxhetimit fillon çdo pran</w:t>
      </w:r>
      <w:r w:rsidR="00DB1387">
        <w:rPr>
          <w:rFonts w:ascii="Times New Roman" w:hAnsi="Times New Roman"/>
          <w:sz w:val="24"/>
          <w:szCs w:val="24"/>
          <w:lang w:val="sq-AL"/>
        </w:rPr>
        <w:t>verë (maj) kur komuna e pranon Qarkoren B</w:t>
      </w:r>
      <w:r w:rsidRPr="002E671F">
        <w:rPr>
          <w:rFonts w:ascii="Times New Roman" w:hAnsi="Times New Roman"/>
          <w:sz w:val="24"/>
          <w:szCs w:val="24"/>
          <w:lang w:val="sq-AL"/>
        </w:rPr>
        <w:t xml:space="preserve">uxhetore 01 të Ministrisë së Financave, e cila përcakton nivelin dhe burimet e ndara për komunën dhe pragun indikativ për mbledhjen e të hyrave vetanake komunale. Sipas saj </w:t>
      </w:r>
      <w:r w:rsidR="00B23BB8" w:rsidRPr="002E671F">
        <w:rPr>
          <w:rFonts w:ascii="Times New Roman" w:hAnsi="Times New Roman"/>
          <w:sz w:val="24"/>
          <w:szCs w:val="24"/>
          <w:lang w:val="sq-AL"/>
        </w:rPr>
        <w:t>K</w:t>
      </w:r>
      <w:r w:rsidRPr="002E671F">
        <w:rPr>
          <w:rFonts w:ascii="Times New Roman" w:hAnsi="Times New Roman"/>
          <w:sz w:val="24"/>
          <w:szCs w:val="24"/>
          <w:lang w:val="sq-AL"/>
        </w:rPr>
        <w:t xml:space="preserve">omuna e miraton Kornizën Buxhetore Afatmesme e cila paraqet planin buxhetor për vitin e ardhshëm dhe parashikimin për dy vite dhe shërben si pikënisje për përgatitjen e buxhetit të vitit të ardhshëm. Dokumenti përfshin një analizë historike të të hyrave dhe shpenzimeve të Komunës, parashikimin e kornizës financiare për të hyrat e komunës dhe analiza më të hollësishme të projekteve kapitale të </w:t>
      </w:r>
      <w:r w:rsidR="00B23BB8" w:rsidRPr="002E671F">
        <w:rPr>
          <w:rFonts w:ascii="Times New Roman" w:hAnsi="Times New Roman"/>
          <w:sz w:val="24"/>
          <w:szCs w:val="24"/>
          <w:lang w:val="sq-AL"/>
        </w:rPr>
        <w:t>K</w:t>
      </w:r>
      <w:r w:rsidRPr="002E671F">
        <w:rPr>
          <w:rFonts w:ascii="Times New Roman" w:hAnsi="Times New Roman"/>
          <w:sz w:val="24"/>
          <w:szCs w:val="24"/>
          <w:lang w:val="sq-AL"/>
        </w:rPr>
        <w:t>omunës, dhe aprovohet nga Kuvendi Komunal më së largu deri më 30 qershor.</w:t>
      </w:r>
    </w:p>
    <w:p w14:paraId="26D09E3B" w14:textId="77777777" w:rsidR="0003560F" w:rsidRPr="002E671F" w:rsidRDefault="0003560F" w:rsidP="00DB1387">
      <w:pPr>
        <w:spacing w:line="36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2E671F">
        <w:rPr>
          <w:rFonts w:ascii="Times New Roman" w:hAnsi="Times New Roman"/>
          <w:sz w:val="24"/>
          <w:szCs w:val="24"/>
          <w:lang w:val="sq-AL"/>
        </w:rPr>
        <w:t>Gjatë muajëve korrik-gusht, Departamentet Komunale dhe Departamenti i Buxhetit dhe Financave i Komunës vazhdojnë procesin e hartimit të buxheteve të hollësishme të departamenteve. Së pari, departamentet e tjera komunale e informojnë Departamentin e Buxhetit dhe Financave për nevojat për personel dhe nevojat e tjera për vitin e ardhshëm. Departamentet e mbështesin buxhetin e tyre kryesisht në të dhëna historike dhe inkurajohen që të mendojnë në mënyrë strategjike me qëllim të ofrimit të shërbimeve me cilësi të lartë duke ulur kostot e parëndësishme. Departamentet i hartojnë kërkesat e tyre buxhetore bazuar në një model specifik dhe i paraqesin të njëjtat në Departamentin e Buxhetit dhe Financave, si dhe Kryetarit të Komunës. Buxheti i propozuar, është në dispozicion për rishikim publik gjatë seancave dëgjimore të buxhetit për qytetarët</w:t>
      </w:r>
      <w:r w:rsidR="008007C9">
        <w:rPr>
          <w:rFonts w:ascii="Times New Roman" w:hAnsi="Times New Roman"/>
          <w:sz w:val="24"/>
          <w:szCs w:val="24"/>
          <w:lang w:val="sq-AL"/>
        </w:rPr>
        <w:t>/et</w:t>
      </w:r>
      <w:r w:rsidRPr="002E671F">
        <w:rPr>
          <w:rFonts w:ascii="Times New Roman" w:hAnsi="Times New Roman"/>
          <w:sz w:val="24"/>
          <w:szCs w:val="24"/>
          <w:lang w:val="sq-AL"/>
        </w:rPr>
        <w:t>. Departamentet komunale i përfundojn</w:t>
      </w:r>
      <w:r w:rsidR="00DB1387">
        <w:rPr>
          <w:rFonts w:ascii="Times New Roman" w:hAnsi="Times New Roman"/>
          <w:sz w:val="24"/>
          <w:szCs w:val="24"/>
          <w:lang w:val="sq-AL"/>
        </w:rPr>
        <w:t>ë buxhetet e tyre pasi të vijë Q</w:t>
      </w:r>
      <w:r w:rsidRPr="002E671F">
        <w:rPr>
          <w:rFonts w:ascii="Times New Roman" w:hAnsi="Times New Roman"/>
          <w:sz w:val="24"/>
          <w:szCs w:val="24"/>
          <w:lang w:val="sq-AL"/>
        </w:rPr>
        <w:t>arkorja 02 e buxhetit të Ministrisë së Financave, Punës dhe Transfereve në fillim të gushtit, me limite të forta se sa duhet të shpenzojë komuna për të pesë kategoritë në vijim: paga dhe shtesa, mallra dhe shërbime, shpenzime komunale, subvencione</w:t>
      </w:r>
      <w:r w:rsidR="00B23BB8" w:rsidRPr="002E671F">
        <w:rPr>
          <w:rFonts w:ascii="Times New Roman" w:hAnsi="Times New Roman"/>
          <w:sz w:val="24"/>
          <w:szCs w:val="24"/>
          <w:lang w:val="sq-AL"/>
        </w:rPr>
        <w:t xml:space="preserve"> dhe transfere si</w:t>
      </w:r>
      <w:r w:rsidRPr="002E671F">
        <w:rPr>
          <w:rFonts w:ascii="Times New Roman" w:hAnsi="Times New Roman"/>
          <w:sz w:val="24"/>
          <w:szCs w:val="24"/>
          <w:lang w:val="sq-AL"/>
        </w:rPr>
        <w:t xml:space="preserve"> dhe investime kapitale.</w:t>
      </w:r>
    </w:p>
    <w:p w14:paraId="2C52F63B" w14:textId="77777777" w:rsidR="0003560F" w:rsidRPr="002E671F" w:rsidRDefault="0003560F" w:rsidP="00DB1387">
      <w:pPr>
        <w:spacing w:line="36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2E671F">
        <w:rPr>
          <w:rFonts w:ascii="Times New Roman" w:hAnsi="Times New Roman"/>
          <w:sz w:val="24"/>
          <w:szCs w:val="24"/>
          <w:lang w:val="sq-AL"/>
        </w:rPr>
        <w:lastRenderedPageBreak/>
        <w:t xml:space="preserve">Departamenti i Buxhetit dhe Financave i Komunës i rishikon hollësisht nevojat operative dhe programatike të secilit departament dhe vlerëson shumën e të hyrave që komuna do ta mbledhë gjatë vitit të ardhshëm, përveç </w:t>
      </w:r>
      <w:r w:rsidR="00B23BB8" w:rsidRPr="002E671F">
        <w:rPr>
          <w:rFonts w:ascii="Times New Roman" w:hAnsi="Times New Roman"/>
          <w:sz w:val="24"/>
          <w:szCs w:val="24"/>
          <w:lang w:val="sq-AL"/>
        </w:rPr>
        <w:t>G</w:t>
      </w:r>
      <w:r w:rsidRPr="002E671F">
        <w:rPr>
          <w:rFonts w:ascii="Times New Roman" w:hAnsi="Times New Roman"/>
          <w:sz w:val="24"/>
          <w:szCs w:val="24"/>
          <w:lang w:val="sq-AL"/>
        </w:rPr>
        <w:t xml:space="preserve">ranteve të </w:t>
      </w:r>
      <w:r w:rsidR="00B23BB8" w:rsidRPr="002E671F">
        <w:rPr>
          <w:rFonts w:ascii="Times New Roman" w:hAnsi="Times New Roman"/>
          <w:sz w:val="24"/>
          <w:szCs w:val="24"/>
          <w:lang w:val="sq-AL"/>
        </w:rPr>
        <w:t>Q</w:t>
      </w:r>
      <w:r w:rsidRPr="002E671F">
        <w:rPr>
          <w:rFonts w:ascii="Times New Roman" w:hAnsi="Times New Roman"/>
          <w:sz w:val="24"/>
          <w:szCs w:val="24"/>
          <w:lang w:val="sq-AL"/>
        </w:rPr>
        <w:t xml:space="preserve">everisë </w:t>
      </w:r>
      <w:r w:rsidR="00B23BB8" w:rsidRPr="002E671F">
        <w:rPr>
          <w:rFonts w:ascii="Times New Roman" w:hAnsi="Times New Roman"/>
          <w:sz w:val="24"/>
          <w:szCs w:val="24"/>
          <w:lang w:val="sq-AL"/>
        </w:rPr>
        <w:t>Që</w:t>
      </w:r>
      <w:r w:rsidRPr="002E671F">
        <w:rPr>
          <w:rFonts w:ascii="Times New Roman" w:hAnsi="Times New Roman"/>
          <w:sz w:val="24"/>
          <w:szCs w:val="24"/>
          <w:lang w:val="sq-AL"/>
        </w:rPr>
        <w:t xml:space="preserve">ndrore që do t’i marrë. Në fund të gushtit / fillimit të shtatorit, Zyra e Kryetarit dhe Departamenti i Buxhetit dhe Financave punojnë me departamentet e tjera për ta hartuar një propozim përfundimtar të buxhetit. Propozimi për buxhetin e </w:t>
      </w:r>
      <w:r w:rsidR="00B23BB8" w:rsidRPr="002E671F">
        <w:rPr>
          <w:rFonts w:ascii="Times New Roman" w:hAnsi="Times New Roman"/>
          <w:sz w:val="24"/>
          <w:szCs w:val="24"/>
          <w:lang w:val="sq-AL"/>
        </w:rPr>
        <w:t>K</w:t>
      </w:r>
      <w:r w:rsidRPr="002E671F">
        <w:rPr>
          <w:rFonts w:ascii="Times New Roman" w:hAnsi="Times New Roman"/>
          <w:sz w:val="24"/>
          <w:szCs w:val="24"/>
          <w:lang w:val="sq-AL"/>
        </w:rPr>
        <w:t xml:space="preserve">omunës prezantohet dhe miratohet në Asamblenë Komunale para datës 30 Shtator. Buxheti komunal më pas dorëzohet në Ministrinë e Financave dhe konsolidohet në Buxhetin e Kosovës dhe miratohet nga Parlamenti i Kosovës çdo Dhjetor, dhe bëhet Ligj. Ligji për Buxhetin e Kosovës zbatohet më 1 janar dhe po ashtu paraqet buxhetin operativ komunal për atë vit.  </w:t>
      </w:r>
    </w:p>
    <w:p w14:paraId="05BD0323" w14:textId="77777777" w:rsidR="00B23BB8" w:rsidRPr="002E671F" w:rsidRDefault="00B23BB8" w:rsidP="00DB1387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F2E170D" w14:textId="77777777" w:rsidR="0003560F" w:rsidRPr="002E671F" w:rsidRDefault="0003560F" w:rsidP="00DB1387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2E671F">
        <w:rPr>
          <w:rFonts w:ascii="Times New Roman" w:hAnsi="Times New Roman"/>
          <w:b/>
          <w:sz w:val="24"/>
          <w:szCs w:val="24"/>
          <w:lang w:val="sq-AL"/>
        </w:rPr>
        <w:t>Kalendari buxhetor</w:t>
      </w:r>
    </w:p>
    <w:p w14:paraId="6637368C" w14:textId="77777777" w:rsidR="0003560F" w:rsidRPr="002E671F" w:rsidRDefault="0003560F" w:rsidP="00DB1387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2E671F">
        <w:rPr>
          <w:rFonts w:ascii="Times New Roman" w:hAnsi="Times New Roman"/>
          <w:b/>
          <w:sz w:val="24"/>
          <w:szCs w:val="24"/>
          <w:lang w:val="sq-AL"/>
        </w:rPr>
        <w:t>Prill-Maj</w:t>
      </w:r>
    </w:p>
    <w:p w14:paraId="6F34771E" w14:textId="77777777" w:rsidR="0003560F" w:rsidRPr="002E671F" w:rsidRDefault="0003560F" w:rsidP="00DB1387">
      <w:pPr>
        <w:numPr>
          <w:ilvl w:val="0"/>
          <w:numId w:val="5"/>
        </w:numPr>
        <w:spacing w:after="200" w:line="36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2E671F">
        <w:rPr>
          <w:rFonts w:ascii="Times New Roman" w:hAnsi="Times New Roman"/>
          <w:sz w:val="24"/>
          <w:szCs w:val="24"/>
          <w:lang w:val="sq-AL"/>
        </w:rPr>
        <w:t xml:space="preserve">Komuna e </w:t>
      </w:r>
      <w:r w:rsidR="00B23BB8" w:rsidRPr="002E671F">
        <w:rPr>
          <w:rFonts w:ascii="Times New Roman" w:hAnsi="Times New Roman"/>
          <w:sz w:val="24"/>
          <w:szCs w:val="24"/>
          <w:lang w:val="sq-AL"/>
        </w:rPr>
        <w:t>p</w:t>
      </w:r>
      <w:r w:rsidRPr="002E671F">
        <w:rPr>
          <w:rFonts w:ascii="Times New Roman" w:hAnsi="Times New Roman"/>
          <w:sz w:val="24"/>
          <w:szCs w:val="24"/>
          <w:lang w:val="sq-AL"/>
        </w:rPr>
        <w:t>r</w:t>
      </w:r>
      <w:r w:rsidR="00B23BB8" w:rsidRPr="002E671F">
        <w:rPr>
          <w:rFonts w:ascii="Times New Roman" w:hAnsi="Times New Roman"/>
          <w:sz w:val="24"/>
          <w:szCs w:val="24"/>
          <w:lang w:val="sq-AL"/>
        </w:rPr>
        <w:t>anon</w:t>
      </w:r>
      <w:r w:rsidRPr="002E671F">
        <w:rPr>
          <w:rFonts w:ascii="Times New Roman" w:hAnsi="Times New Roman"/>
          <w:sz w:val="24"/>
          <w:szCs w:val="24"/>
          <w:lang w:val="sq-AL"/>
        </w:rPr>
        <w:t xml:space="preserve"> Qarkoren e Buxhetit 01 nga Ministria e Financave, Punës dhe Transfereve e cila parashikon financimin e burimeve të komunës, udhëzimet fillestare dhe kalendarin tregues të afatit kohor.</w:t>
      </w:r>
    </w:p>
    <w:p w14:paraId="4ACAA712" w14:textId="77777777" w:rsidR="0003560F" w:rsidRPr="002E671F" w:rsidRDefault="0003560F" w:rsidP="00DB1387">
      <w:pPr>
        <w:numPr>
          <w:ilvl w:val="0"/>
          <w:numId w:val="5"/>
        </w:numPr>
        <w:spacing w:after="200" w:line="36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2E671F">
        <w:rPr>
          <w:rFonts w:ascii="Times New Roman" w:hAnsi="Times New Roman"/>
          <w:sz w:val="24"/>
          <w:szCs w:val="24"/>
          <w:lang w:val="sq-AL"/>
        </w:rPr>
        <w:t xml:space="preserve">Departamentet e </w:t>
      </w:r>
      <w:r w:rsidR="00B23BB8" w:rsidRPr="002E671F">
        <w:rPr>
          <w:rFonts w:ascii="Times New Roman" w:hAnsi="Times New Roman"/>
          <w:sz w:val="24"/>
          <w:szCs w:val="24"/>
          <w:lang w:val="sq-AL"/>
        </w:rPr>
        <w:t>K</w:t>
      </w:r>
      <w:r w:rsidR="00FE7F25">
        <w:rPr>
          <w:rFonts w:ascii="Times New Roman" w:hAnsi="Times New Roman"/>
          <w:sz w:val="24"/>
          <w:szCs w:val="24"/>
          <w:lang w:val="sq-AL"/>
        </w:rPr>
        <w:t>omunës, bazuar në Q</w:t>
      </w:r>
      <w:r w:rsidRPr="002E671F">
        <w:rPr>
          <w:rFonts w:ascii="Times New Roman" w:hAnsi="Times New Roman"/>
          <w:sz w:val="24"/>
          <w:szCs w:val="24"/>
          <w:lang w:val="sq-AL"/>
        </w:rPr>
        <w:t>arkor</w:t>
      </w:r>
      <w:r w:rsidR="00FE7F25">
        <w:rPr>
          <w:rFonts w:ascii="Times New Roman" w:hAnsi="Times New Roman"/>
          <w:sz w:val="24"/>
          <w:szCs w:val="24"/>
          <w:lang w:val="sq-AL"/>
        </w:rPr>
        <w:t>en 01, i përgatisin planet</w:t>
      </w:r>
      <w:r w:rsidRPr="002E671F">
        <w:rPr>
          <w:rFonts w:ascii="Times New Roman" w:hAnsi="Times New Roman"/>
          <w:sz w:val="24"/>
          <w:szCs w:val="24"/>
          <w:lang w:val="sq-AL"/>
        </w:rPr>
        <w:t xml:space="preserve"> e tyre të Kornizës Afatmesme të Buxhetit (KAB) për tre vitet e ardhshme</w:t>
      </w:r>
      <w:r w:rsidR="00B23BB8" w:rsidRPr="002E671F">
        <w:rPr>
          <w:rFonts w:ascii="Times New Roman" w:hAnsi="Times New Roman"/>
          <w:sz w:val="24"/>
          <w:szCs w:val="24"/>
          <w:lang w:val="sq-AL"/>
        </w:rPr>
        <w:t>.</w:t>
      </w:r>
    </w:p>
    <w:p w14:paraId="5B782A0A" w14:textId="77777777" w:rsidR="0003560F" w:rsidRPr="002E671F" w:rsidRDefault="0003560F" w:rsidP="00DB1387">
      <w:pPr>
        <w:numPr>
          <w:ilvl w:val="0"/>
          <w:numId w:val="5"/>
        </w:numPr>
        <w:spacing w:after="200" w:line="36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2E671F">
        <w:rPr>
          <w:rFonts w:ascii="Times New Roman" w:hAnsi="Times New Roman"/>
          <w:sz w:val="24"/>
          <w:szCs w:val="24"/>
          <w:lang w:val="sq-AL"/>
        </w:rPr>
        <w:t>Zyra e Kryetarit të Komunës dhe Departamenti i Buxhetit dhe Financave në diskutim me departamentet e tjera vendosin për propozimin e KAB</w:t>
      </w:r>
      <w:r w:rsidR="00B23BB8" w:rsidRPr="002E671F">
        <w:rPr>
          <w:rFonts w:ascii="Times New Roman" w:hAnsi="Times New Roman"/>
          <w:sz w:val="24"/>
          <w:szCs w:val="24"/>
          <w:lang w:val="sq-AL"/>
        </w:rPr>
        <w:t>-it</w:t>
      </w:r>
      <w:r w:rsidRPr="002E671F">
        <w:rPr>
          <w:rFonts w:ascii="Times New Roman" w:hAnsi="Times New Roman"/>
          <w:sz w:val="24"/>
          <w:szCs w:val="24"/>
          <w:lang w:val="sq-AL"/>
        </w:rPr>
        <w:t xml:space="preserve"> në Kuvendin Komunal</w:t>
      </w:r>
      <w:r w:rsidR="00B23BB8" w:rsidRPr="002E671F">
        <w:rPr>
          <w:rFonts w:ascii="Times New Roman" w:hAnsi="Times New Roman"/>
          <w:sz w:val="24"/>
          <w:szCs w:val="24"/>
          <w:lang w:val="sq-AL"/>
        </w:rPr>
        <w:t>.</w:t>
      </w:r>
    </w:p>
    <w:p w14:paraId="2BF1ACEF" w14:textId="77777777" w:rsidR="0003560F" w:rsidRPr="002E671F" w:rsidRDefault="0003560F" w:rsidP="00DB1387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2E671F">
        <w:rPr>
          <w:rFonts w:ascii="Times New Roman" w:hAnsi="Times New Roman"/>
          <w:b/>
          <w:sz w:val="24"/>
          <w:szCs w:val="24"/>
          <w:lang w:val="sq-AL"/>
        </w:rPr>
        <w:t>Qershor</w:t>
      </w:r>
    </w:p>
    <w:p w14:paraId="7184047E" w14:textId="77777777" w:rsidR="0003560F" w:rsidRPr="002E671F" w:rsidRDefault="0003560F" w:rsidP="00DB1387">
      <w:pPr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2E671F">
        <w:rPr>
          <w:rFonts w:ascii="Times New Roman" w:hAnsi="Times New Roman"/>
          <w:sz w:val="24"/>
          <w:szCs w:val="24"/>
          <w:lang w:val="sq-AL"/>
        </w:rPr>
        <w:t>Asambleja Komunale rishikon dhe miraton Kornizën Afatmesme Buxhetore të Komunës</w:t>
      </w:r>
      <w:r w:rsidR="006605BC" w:rsidRPr="002E671F">
        <w:rPr>
          <w:rFonts w:ascii="Times New Roman" w:hAnsi="Times New Roman"/>
          <w:sz w:val="24"/>
          <w:szCs w:val="24"/>
          <w:lang w:val="sq-AL"/>
        </w:rPr>
        <w:t>.</w:t>
      </w:r>
    </w:p>
    <w:p w14:paraId="70AD5466" w14:textId="77777777" w:rsidR="0003560F" w:rsidRPr="002E671F" w:rsidRDefault="0003560F" w:rsidP="00DB1387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2E671F">
        <w:rPr>
          <w:rFonts w:ascii="Times New Roman" w:hAnsi="Times New Roman"/>
          <w:b/>
          <w:sz w:val="24"/>
          <w:szCs w:val="24"/>
          <w:lang w:val="sq-AL"/>
        </w:rPr>
        <w:t>Gusht</w:t>
      </w:r>
    </w:p>
    <w:p w14:paraId="448BCC5C" w14:textId="77777777" w:rsidR="0003560F" w:rsidRPr="002E671F" w:rsidRDefault="0003560F" w:rsidP="00DB1387">
      <w:pPr>
        <w:numPr>
          <w:ilvl w:val="0"/>
          <w:numId w:val="7"/>
        </w:numPr>
        <w:spacing w:after="200" w:line="36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2E671F">
        <w:rPr>
          <w:rFonts w:ascii="Times New Roman" w:hAnsi="Times New Roman"/>
          <w:sz w:val="24"/>
          <w:szCs w:val="24"/>
          <w:lang w:val="sq-AL"/>
        </w:rPr>
        <w:t xml:space="preserve">Fillon përgatitja e Buxhetit Vjetor Komunal të detajuar në bazë të </w:t>
      </w:r>
      <w:r w:rsidR="006605BC" w:rsidRPr="002E671F">
        <w:rPr>
          <w:rFonts w:ascii="Times New Roman" w:hAnsi="Times New Roman"/>
          <w:sz w:val="24"/>
          <w:szCs w:val="24"/>
          <w:lang w:val="sq-AL"/>
        </w:rPr>
        <w:t>Q</w:t>
      </w:r>
      <w:r w:rsidRPr="002E671F">
        <w:rPr>
          <w:rFonts w:ascii="Times New Roman" w:hAnsi="Times New Roman"/>
          <w:sz w:val="24"/>
          <w:szCs w:val="24"/>
          <w:lang w:val="sq-AL"/>
        </w:rPr>
        <w:t>arkore</w:t>
      </w:r>
      <w:r w:rsidR="006605BC" w:rsidRPr="002E671F">
        <w:rPr>
          <w:rFonts w:ascii="Times New Roman" w:hAnsi="Times New Roman"/>
          <w:sz w:val="24"/>
          <w:szCs w:val="24"/>
          <w:lang w:val="sq-AL"/>
        </w:rPr>
        <w:t>s</w:t>
      </w:r>
      <w:r w:rsidRPr="002E671F">
        <w:rPr>
          <w:rFonts w:ascii="Times New Roman" w:hAnsi="Times New Roman"/>
          <w:sz w:val="24"/>
          <w:szCs w:val="24"/>
          <w:lang w:val="sq-AL"/>
        </w:rPr>
        <w:t xml:space="preserve"> 02.</w:t>
      </w:r>
    </w:p>
    <w:p w14:paraId="422BB047" w14:textId="77777777" w:rsidR="0003560F" w:rsidRPr="002E671F" w:rsidRDefault="0003560F" w:rsidP="00DB1387">
      <w:pPr>
        <w:numPr>
          <w:ilvl w:val="0"/>
          <w:numId w:val="7"/>
        </w:numPr>
        <w:spacing w:after="200" w:line="36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2E671F">
        <w:rPr>
          <w:rFonts w:ascii="Times New Roman" w:hAnsi="Times New Roman"/>
          <w:sz w:val="24"/>
          <w:szCs w:val="24"/>
          <w:lang w:val="sq-AL"/>
        </w:rPr>
        <w:t>Departamenti i Buxhetit dhe Financave të Komunës bashkë me Departamentet e tjera vazhdojnë procesin e hartimit të buxheteve të detajuara duke u bazuar në një model të sugjeruar për përgatitje të kërkesa</w:t>
      </w:r>
      <w:r w:rsidR="006605BC" w:rsidRPr="002E671F">
        <w:rPr>
          <w:rFonts w:ascii="Times New Roman" w:hAnsi="Times New Roman"/>
          <w:sz w:val="24"/>
          <w:szCs w:val="24"/>
          <w:lang w:val="sq-AL"/>
        </w:rPr>
        <w:t>ve</w:t>
      </w:r>
      <w:r w:rsidRPr="002E671F">
        <w:rPr>
          <w:rFonts w:ascii="Times New Roman" w:hAnsi="Times New Roman"/>
          <w:sz w:val="24"/>
          <w:szCs w:val="24"/>
          <w:lang w:val="sq-AL"/>
        </w:rPr>
        <w:t xml:space="preserve"> buxhetore</w:t>
      </w:r>
      <w:r w:rsidR="006605BC" w:rsidRPr="002E671F">
        <w:rPr>
          <w:rFonts w:ascii="Times New Roman" w:hAnsi="Times New Roman"/>
          <w:sz w:val="24"/>
          <w:szCs w:val="24"/>
          <w:lang w:val="sq-AL"/>
        </w:rPr>
        <w:t>.</w:t>
      </w:r>
    </w:p>
    <w:p w14:paraId="211658E1" w14:textId="77777777" w:rsidR="0003560F" w:rsidRPr="002E671F" w:rsidRDefault="0003560F" w:rsidP="00DB1387">
      <w:pPr>
        <w:numPr>
          <w:ilvl w:val="0"/>
          <w:numId w:val="7"/>
        </w:numPr>
        <w:spacing w:after="200" w:line="36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2E671F">
        <w:rPr>
          <w:rFonts w:ascii="Times New Roman" w:hAnsi="Times New Roman"/>
          <w:sz w:val="24"/>
          <w:szCs w:val="24"/>
          <w:lang w:val="sq-AL"/>
        </w:rPr>
        <w:lastRenderedPageBreak/>
        <w:t>Projekt-buxheti vihet në dispozicion të publikut për rishikim gjatë seancave dëgjimore/dëgjimeve publike të buxhetit</w:t>
      </w:r>
      <w:r w:rsidR="00E46178" w:rsidRPr="002E671F">
        <w:rPr>
          <w:rFonts w:ascii="Times New Roman" w:hAnsi="Times New Roman"/>
          <w:sz w:val="24"/>
          <w:szCs w:val="24"/>
          <w:lang w:val="sq-AL"/>
        </w:rPr>
        <w:t>.</w:t>
      </w:r>
    </w:p>
    <w:p w14:paraId="715C7558" w14:textId="77777777" w:rsidR="0003560F" w:rsidRPr="002E671F" w:rsidRDefault="0003560F" w:rsidP="00DB1387">
      <w:pPr>
        <w:numPr>
          <w:ilvl w:val="0"/>
          <w:numId w:val="7"/>
        </w:numPr>
        <w:spacing w:after="200" w:line="36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2E671F">
        <w:rPr>
          <w:rFonts w:ascii="Times New Roman" w:hAnsi="Times New Roman"/>
          <w:sz w:val="24"/>
          <w:szCs w:val="24"/>
          <w:lang w:val="sq-AL"/>
        </w:rPr>
        <w:t>Zyra e Kryetarit të Komunës dhe Departamenti i Buxhetit dhe Financave punojnë me departamentet e tjera për të zhvilluar një propozim buxhet përfundimtar.</w:t>
      </w:r>
    </w:p>
    <w:p w14:paraId="030EA75C" w14:textId="77777777" w:rsidR="0003560F" w:rsidRPr="002E671F" w:rsidRDefault="0003560F" w:rsidP="00DB1387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2E671F">
        <w:rPr>
          <w:rFonts w:ascii="Times New Roman" w:hAnsi="Times New Roman"/>
          <w:b/>
          <w:sz w:val="24"/>
          <w:szCs w:val="24"/>
          <w:lang w:val="sq-AL"/>
        </w:rPr>
        <w:t>Shtator</w:t>
      </w:r>
    </w:p>
    <w:p w14:paraId="64372799" w14:textId="77777777" w:rsidR="0003560F" w:rsidRPr="002E671F" w:rsidRDefault="0003560F" w:rsidP="00DB1387">
      <w:pPr>
        <w:numPr>
          <w:ilvl w:val="0"/>
          <w:numId w:val="8"/>
        </w:numPr>
        <w:spacing w:after="200" w:line="36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2E671F">
        <w:rPr>
          <w:rFonts w:ascii="Times New Roman" w:hAnsi="Times New Roman"/>
          <w:sz w:val="24"/>
          <w:szCs w:val="24"/>
          <w:lang w:val="sq-AL"/>
        </w:rPr>
        <w:t>Asambleja Komunale diskuton dhe miraton buxhetin e propozuar</w:t>
      </w:r>
      <w:r w:rsidR="00E46178" w:rsidRPr="002E671F">
        <w:rPr>
          <w:rFonts w:ascii="Times New Roman" w:hAnsi="Times New Roman"/>
          <w:sz w:val="24"/>
          <w:szCs w:val="24"/>
          <w:lang w:val="sq-AL"/>
        </w:rPr>
        <w:t>.</w:t>
      </w:r>
    </w:p>
    <w:p w14:paraId="32F6F4BF" w14:textId="77777777" w:rsidR="0003560F" w:rsidRPr="002E671F" w:rsidRDefault="0003560F" w:rsidP="00DB1387">
      <w:pPr>
        <w:numPr>
          <w:ilvl w:val="0"/>
          <w:numId w:val="8"/>
        </w:numPr>
        <w:spacing w:after="200" w:line="36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2E671F">
        <w:rPr>
          <w:rFonts w:ascii="Times New Roman" w:hAnsi="Times New Roman"/>
          <w:sz w:val="24"/>
          <w:szCs w:val="24"/>
          <w:lang w:val="sq-AL"/>
        </w:rPr>
        <w:t xml:space="preserve">Buxheti i aprovuar i </w:t>
      </w:r>
      <w:r w:rsidR="00E46178" w:rsidRPr="002E671F">
        <w:rPr>
          <w:rFonts w:ascii="Times New Roman" w:hAnsi="Times New Roman"/>
          <w:sz w:val="24"/>
          <w:szCs w:val="24"/>
          <w:lang w:val="sq-AL"/>
        </w:rPr>
        <w:t>dërgohet</w:t>
      </w:r>
      <w:r w:rsidRPr="002E671F">
        <w:rPr>
          <w:rFonts w:ascii="Times New Roman" w:hAnsi="Times New Roman"/>
          <w:sz w:val="24"/>
          <w:szCs w:val="24"/>
          <w:lang w:val="sq-AL"/>
        </w:rPr>
        <w:t xml:space="preserve"> Ministrisë së Financave, Punës dhe Transfereve</w:t>
      </w:r>
      <w:r w:rsidR="00E46178" w:rsidRPr="002E671F">
        <w:rPr>
          <w:rFonts w:ascii="Times New Roman" w:hAnsi="Times New Roman"/>
          <w:sz w:val="24"/>
          <w:szCs w:val="24"/>
          <w:lang w:val="sq-AL"/>
        </w:rPr>
        <w:t>.</w:t>
      </w:r>
    </w:p>
    <w:p w14:paraId="47181DE6" w14:textId="77777777" w:rsidR="0003560F" w:rsidRPr="002E671F" w:rsidRDefault="0003560F" w:rsidP="00DB1387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2E671F">
        <w:rPr>
          <w:rFonts w:ascii="Times New Roman" w:hAnsi="Times New Roman"/>
          <w:b/>
          <w:sz w:val="24"/>
          <w:szCs w:val="24"/>
          <w:lang w:val="sq-AL"/>
        </w:rPr>
        <w:t>Dhjetor</w:t>
      </w:r>
    </w:p>
    <w:p w14:paraId="033FEA95" w14:textId="77777777" w:rsidR="0003560F" w:rsidRPr="002E671F" w:rsidRDefault="0003560F" w:rsidP="00DB1387">
      <w:pPr>
        <w:numPr>
          <w:ilvl w:val="0"/>
          <w:numId w:val="9"/>
        </w:numPr>
        <w:spacing w:after="200" w:line="36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2E671F">
        <w:rPr>
          <w:rFonts w:ascii="Times New Roman" w:hAnsi="Times New Roman"/>
          <w:sz w:val="24"/>
          <w:szCs w:val="24"/>
          <w:lang w:val="sq-AL"/>
        </w:rPr>
        <w:t>Buxheti komunal konsolidohet në Buxhetin e Kosovës dhe miratohet nga Parlamenti</w:t>
      </w:r>
      <w:r w:rsidR="00E46178" w:rsidRPr="002E671F">
        <w:rPr>
          <w:rFonts w:ascii="Times New Roman" w:hAnsi="Times New Roman"/>
          <w:sz w:val="24"/>
          <w:szCs w:val="24"/>
          <w:lang w:val="sq-AL"/>
        </w:rPr>
        <w:t>.</w:t>
      </w:r>
    </w:p>
    <w:p w14:paraId="46170A6E" w14:textId="77777777" w:rsidR="0003560F" w:rsidRPr="002E671F" w:rsidRDefault="0003560F" w:rsidP="00DB1387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2E671F">
        <w:rPr>
          <w:rFonts w:ascii="Times New Roman" w:hAnsi="Times New Roman"/>
          <w:b/>
          <w:sz w:val="24"/>
          <w:szCs w:val="24"/>
          <w:lang w:val="sq-AL"/>
        </w:rPr>
        <w:t>Janar</w:t>
      </w:r>
    </w:p>
    <w:p w14:paraId="7CF7EF8F" w14:textId="77777777" w:rsidR="00E46178" w:rsidRPr="00B07E80" w:rsidRDefault="0003560F" w:rsidP="00DB1387">
      <w:pPr>
        <w:numPr>
          <w:ilvl w:val="0"/>
          <w:numId w:val="10"/>
        </w:numPr>
        <w:spacing w:after="200" w:line="36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2E671F">
        <w:rPr>
          <w:rFonts w:ascii="Times New Roman" w:hAnsi="Times New Roman"/>
          <w:sz w:val="24"/>
          <w:szCs w:val="24"/>
          <w:lang w:val="sq-AL"/>
        </w:rPr>
        <w:t>Zbatohet Ligji për Buxhetin e Kosovës dhe ku përfshihet buxheti operativ komunal për vitin</w:t>
      </w:r>
      <w:r w:rsidR="00E46178" w:rsidRPr="002E671F">
        <w:rPr>
          <w:rFonts w:ascii="Times New Roman" w:hAnsi="Times New Roman"/>
          <w:sz w:val="24"/>
          <w:szCs w:val="24"/>
          <w:lang w:val="sq-AL"/>
        </w:rPr>
        <w:t>.</w:t>
      </w:r>
    </w:p>
    <w:p w14:paraId="4EAE2A5F" w14:textId="77777777" w:rsidR="0003560F" w:rsidRPr="002E671F" w:rsidRDefault="0003560F" w:rsidP="00DB1387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2E671F">
        <w:rPr>
          <w:rFonts w:ascii="Times New Roman" w:hAnsi="Times New Roman"/>
          <w:b/>
          <w:sz w:val="24"/>
          <w:szCs w:val="24"/>
          <w:lang w:val="sq-AL"/>
        </w:rPr>
        <w:t>Gjatë tërë vitit</w:t>
      </w:r>
    </w:p>
    <w:p w14:paraId="0A9C6E3C" w14:textId="77777777" w:rsidR="0003560F" w:rsidRPr="002E671F" w:rsidRDefault="0003560F" w:rsidP="00DB138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2E671F">
        <w:rPr>
          <w:rFonts w:ascii="Times New Roman" w:hAnsi="Times New Roman"/>
          <w:sz w:val="24"/>
          <w:szCs w:val="24"/>
          <w:lang w:val="sq-AL"/>
        </w:rPr>
        <w:t xml:space="preserve">Departamenti i Buxhetit dhe Financave administron burimet e alokuara me Ligjin e Buxhetit dhe rregullisht rishikon të hyrat, shpenzimet, dhe çdo prirje apo ngjarje që mund të ndikojë në financat e </w:t>
      </w:r>
      <w:r w:rsidR="00E46178" w:rsidRPr="002E671F">
        <w:rPr>
          <w:rFonts w:ascii="Times New Roman" w:hAnsi="Times New Roman"/>
          <w:sz w:val="24"/>
          <w:szCs w:val="24"/>
          <w:lang w:val="sq-AL"/>
        </w:rPr>
        <w:t>K</w:t>
      </w:r>
      <w:r w:rsidRPr="002E671F">
        <w:rPr>
          <w:rFonts w:ascii="Times New Roman" w:hAnsi="Times New Roman"/>
          <w:sz w:val="24"/>
          <w:szCs w:val="24"/>
          <w:lang w:val="sq-AL"/>
        </w:rPr>
        <w:t>omunës.</w:t>
      </w:r>
    </w:p>
    <w:p w14:paraId="2E3DA09B" w14:textId="77777777" w:rsidR="0003560F" w:rsidRPr="002E671F" w:rsidRDefault="0003560F" w:rsidP="00DB138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2E671F">
        <w:rPr>
          <w:rFonts w:ascii="Times New Roman" w:hAnsi="Times New Roman"/>
          <w:sz w:val="24"/>
          <w:szCs w:val="24"/>
          <w:lang w:val="sq-AL"/>
        </w:rPr>
        <w:t xml:space="preserve">Në baza të vazhdueshme, departamentet komunale japin informacione mbi performancën e programeve për të siguruar që burimet e </w:t>
      </w:r>
      <w:r w:rsidR="00E46178" w:rsidRPr="002E671F">
        <w:rPr>
          <w:rFonts w:ascii="Times New Roman" w:hAnsi="Times New Roman"/>
          <w:sz w:val="24"/>
          <w:szCs w:val="24"/>
          <w:lang w:val="sq-AL"/>
        </w:rPr>
        <w:t>K</w:t>
      </w:r>
      <w:r w:rsidRPr="002E671F">
        <w:rPr>
          <w:rFonts w:ascii="Times New Roman" w:hAnsi="Times New Roman"/>
          <w:sz w:val="24"/>
          <w:szCs w:val="24"/>
          <w:lang w:val="sq-AL"/>
        </w:rPr>
        <w:t>omunës përdoren në një mënyrë që të maksimizojë vlerën e tatimpaguesit dhe të sigurojë shërbime me cilësi më të lartë</w:t>
      </w:r>
      <w:r w:rsidR="00E46178" w:rsidRPr="002E671F">
        <w:rPr>
          <w:rFonts w:ascii="Times New Roman" w:hAnsi="Times New Roman"/>
          <w:sz w:val="24"/>
          <w:szCs w:val="24"/>
          <w:lang w:val="sq-AL"/>
        </w:rPr>
        <w:t>.</w:t>
      </w:r>
    </w:p>
    <w:p w14:paraId="0D47259D" w14:textId="77777777" w:rsidR="0003560F" w:rsidRDefault="0003560F" w:rsidP="0003560F">
      <w:pPr>
        <w:rPr>
          <w:lang w:val="sq-AL"/>
        </w:rPr>
      </w:pPr>
    </w:p>
    <w:p w14:paraId="7D7AC090" w14:textId="77777777" w:rsidR="00B07E80" w:rsidRDefault="00B07E80" w:rsidP="0003560F">
      <w:pPr>
        <w:rPr>
          <w:lang w:val="sq-AL"/>
        </w:rPr>
      </w:pPr>
    </w:p>
    <w:p w14:paraId="693A4DEB" w14:textId="77777777" w:rsidR="00B07E80" w:rsidRDefault="00B07E80" w:rsidP="0003560F">
      <w:pPr>
        <w:rPr>
          <w:lang w:val="sq-AL"/>
        </w:rPr>
      </w:pPr>
    </w:p>
    <w:p w14:paraId="7CCC2914" w14:textId="77777777" w:rsidR="00B07E80" w:rsidRDefault="00B07E80" w:rsidP="0003560F">
      <w:pPr>
        <w:rPr>
          <w:lang w:val="sq-AL"/>
        </w:rPr>
      </w:pPr>
    </w:p>
    <w:p w14:paraId="3F50D602" w14:textId="77777777" w:rsidR="00B07E80" w:rsidRDefault="00B07E80" w:rsidP="0003560F">
      <w:pPr>
        <w:rPr>
          <w:lang w:val="sq-AL"/>
        </w:rPr>
      </w:pPr>
    </w:p>
    <w:p w14:paraId="1B2EDA61" w14:textId="77777777" w:rsidR="00B07E80" w:rsidRPr="002E671F" w:rsidRDefault="00B07E80" w:rsidP="0003560F">
      <w:pPr>
        <w:rPr>
          <w:lang w:val="sq-AL"/>
        </w:rPr>
      </w:pPr>
    </w:p>
    <w:p w14:paraId="6F7C71EF" w14:textId="77777777" w:rsidR="00C25AAC" w:rsidRPr="002E671F" w:rsidRDefault="00C25AAC" w:rsidP="00C25AAC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  <w:bookmarkStart w:id="1" w:name="_Toc19786202"/>
      <w:r w:rsidRPr="002E671F">
        <w:rPr>
          <w:rFonts w:ascii="Times New Roman" w:hAnsi="Times New Roman" w:cs="Times New Roman"/>
          <w:color w:val="auto"/>
          <w:sz w:val="24"/>
          <w:szCs w:val="24"/>
          <w:lang w:val="sq-AL"/>
        </w:rPr>
        <w:lastRenderedPageBreak/>
        <w:t>Dokumentet e buxhetit</w:t>
      </w:r>
      <w:bookmarkEnd w:id="1"/>
    </w:p>
    <w:p w14:paraId="142BCE98" w14:textId="77777777" w:rsidR="00C25AAC" w:rsidRPr="002E671F" w:rsidRDefault="00C25AAC" w:rsidP="00C25AA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FA15EEE" w14:textId="77777777" w:rsidR="00C25AAC" w:rsidRPr="002E671F" w:rsidRDefault="00C25AAC" w:rsidP="00C25AAC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2E671F">
        <w:rPr>
          <w:rFonts w:ascii="Times New Roman" w:hAnsi="Times New Roman"/>
          <w:sz w:val="24"/>
          <w:szCs w:val="24"/>
          <w:lang w:val="sq-AL"/>
        </w:rPr>
        <w:t xml:space="preserve">Buxheti i Komunës hartohet duke u bazuar në politikat dhe dokumentet fiskale të mëposhtme, të hartuara në nivelin Qeveritar nacional dhe komunal. Meqenëse të gjitha buxhetet komunale konsolidohen në buxhetin e Kosovës, si bazë për zhvillimin e buxhetit të Komunës, duke pasqyruar të hyrat, shpenzimet dhe planin e përgjithshëm financiar për vitin e ardhshëm, janë dokumentet më poshtë: </w:t>
      </w:r>
    </w:p>
    <w:p w14:paraId="1CC3B5C4" w14:textId="0C725758" w:rsidR="00C25AAC" w:rsidRPr="002E671F" w:rsidRDefault="00C25AAC" w:rsidP="00C25AAC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2E671F">
        <w:rPr>
          <w:rFonts w:ascii="Times New Roman" w:hAnsi="Times New Roman"/>
          <w:sz w:val="24"/>
          <w:szCs w:val="24"/>
          <w:lang w:val="sq-AL"/>
        </w:rPr>
        <w:t>KORNIZA AFA</w:t>
      </w:r>
      <w:r w:rsidR="00456FD3">
        <w:rPr>
          <w:rFonts w:ascii="Times New Roman" w:hAnsi="Times New Roman"/>
          <w:sz w:val="24"/>
          <w:szCs w:val="24"/>
          <w:lang w:val="sq-AL"/>
        </w:rPr>
        <w:t>TMESME E SHPENZIMEVE (KASH) 202</w:t>
      </w:r>
      <w:r w:rsidR="00B06081">
        <w:rPr>
          <w:rFonts w:ascii="Times New Roman" w:hAnsi="Times New Roman"/>
          <w:sz w:val="24"/>
          <w:szCs w:val="24"/>
          <w:lang w:val="sq-AL"/>
        </w:rPr>
        <w:t>6</w:t>
      </w:r>
      <w:r w:rsidR="00456FD3">
        <w:rPr>
          <w:rFonts w:ascii="Times New Roman" w:hAnsi="Times New Roman"/>
          <w:sz w:val="24"/>
          <w:szCs w:val="24"/>
          <w:lang w:val="sq-AL"/>
        </w:rPr>
        <w:t>-202</w:t>
      </w:r>
      <w:r w:rsidR="00B06081">
        <w:rPr>
          <w:rFonts w:ascii="Times New Roman" w:hAnsi="Times New Roman"/>
          <w:sz w:val="24"/>
          <w:szCs w:val="24"/>
          <w:lang w:val="sq-AL"/>
        </w:rPr>
        <w:t>8</w:t>
      </w:r>
    </w:p>
    <w:p w14:paraId="1B20E9DC" w14:textId="77777777" w:rsidR="00C25AAC" w:rsidRPr="002E671F" w:rsidRDefault="00C25AAC" w:rsidP="00C25AAC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</w:pPr>
      <w:r w:rsidRPr="002E671F"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 xml:space="preserve">KASH-i është një dokument që hartohet çdo vit, duke përfshirë planifikimin e shpenzimeve për periudhën trevjeçare. Ai përcakton prioritetet afatmesme të shpenzimeve dhe kufizimet buxhetore karshi të cilave hartohen dhe rafinohen planet sektoriale. KASH-i siguron bazën për planifikimin vjetor të buxhetit, në nivel nacional dhe komunal, kur ai të miratohet nga Qeveria e Kosovës.    </w:t>
      </w:r>
    </w:p>
    <w:p w14:paraId="58B8659A" w14:textId="77777777" w:rsidR="00C25AAC" w:rsidRPr="002E671F" w:rsidRDefault="00C25AAC" w:rsidP="00C25AAC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2E671F">
        <w:rPr>
          <w:rFonts w:ascii="Times New Roman" w:hAnsi="Times New Roman"/>
          <w:sz w:val="24"/>
          <w:szCs w:val="24"/>
          <w:lang w:val="sq-AL"/>
        </w:rPr>
        <w:t xml:space="preserve">QARKORET BUXHETORE </w:t>
      </w:r>
    </w:p>
    <w:p w14:paraId="351EA621" w14:textId="648C0955" w:rsidR="00C25AAC" w:rsidRPr="002E671F" w:rsidRDefault="00C25AAC" w:rsidP="00C25AAC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2E671F">
        <w:rPr>
          <w:rFonts w:ascii="Times New Roman" w:hAnsi="Times New Roman"/>
          <w:sz w:val="24"/>
          <w:szCs w:val="24"/>
          <w:lang w:val="sq-AL"/>
        </w:rPr>
        <w:t xml:space="preserve">Çdo vit, sipas kalendarit buxhetor, Ministria e Financave, Punës dhe Transfereve lëshon deri në 3 </w:t>
      </w:r>
      <w:r w:rsidR="00B06081">
        <w:rPr>
          <w:rFonts w:ascii="Times New Roman" w:hAnsi="Times New Roman"/>
          <w:sz w:val="24"/>
          <w:szCs w:val="24"/>
          <w:lang w:val="sq-AL"/>
        </w:rPr>
        <w:t>Q</w:t>
      </w:r>
      <w:r w:rsidRPr="002E671F">
        <w:rPr>
          <w:rFonts w:ascii="Times New Roman" w:hAnsi="Times New Roman"/>
          <w:sz w:val="24"/>
          <w:szCs w:val="24"/>
          <w:lang w:val="sq-AL"/>
        </w:rPr>
        <w:t xml:space="preserve">arkore për përgatitjen dhe prezantimin e propozimeve për vitin e ardhshëm buxhetor. Qarkoret buxhetore dorëzohen në institucionet e nivelit qendror, si dhe komunat, në mënyrë që të udhëzojnë përgatitjen e buxhetit. Procesi i vërtetë i buxhetit si në organizata buxhetore qendrore, ashtu edhe në komunë, fillon kur MF dërgon qarkoren e parë.  </w:t>
      </w:r>
    </w:p>
    <w:p w14:paraId="73D80A04" w14:textId="2B16113E" w:rsidR="00C25AAC" w:rsidRPr="00263E82" w:rsidRDefault="00C25AAC" w:rsidP="00C25AAC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263E82">
        <w:rPr>
          <w:rFonts w:ascii="Times New Roman" w:hAnsi="Times New Roman"/>
          <w:sz w:val="24"/>
          <w:szCs w:val="24"/>
          <w:lang w:val="sq-AL"/>
        </w:rPr>
        <w:t>PLANI ZHVILLIMOR DHE URBANISTIK I KOMUNËS 20</w:t>
      </w:r>
      <w:r w:rsidR="00FC1288">
        <w:rPr>
          <w:rFonts w:ascii="Times New Roman" w:hAnsi="Times New Roman"/>
          <w:sz w:val="24"/>
          <w:szCs w:val="24"/>
          <w:lang w:val="sq-AL"/>
        </w:rPr>
        <w:t>25</w:t>
      </w:r>
      <w:r w:rsidRPr="00263E82">
        <w:rPr>
          <w:rFonts w:ascii="Times New Roman" w:hAnsi="Times New Roman"/>
          <w:sz w:val="24"/>
          <w:szCs w:val="24"/>
          <w:lang w:val="sq-AL"/>
        </w:rPr>
        <w:t>-20</w:t>
      </w:r>
      <w:r w:rsidR="00FC1288">
        <w:rPr>
          <w:rFonts w:ascii="Times New Roman" w:hAnsi="Times New Roman"/>
          <w:sz w:val="24"/>
          <w:szCs w:val="24"/>
          <w:lang w:val="sq-AL"/>
        </w:rPr>
        <w:t>33</w:t>
      </w:r>
    </w:p>
    <w:p w14:paraId="420526FA" w14:textId="77777777" w:rsidR="00C25AAC" w:rsidRPr="00263E82" w:rsidRDefault="00C25AAC" w:rsidP="00C25AAC">
      <w:pPr>
        <w:pStyle w:val="NoSpacing"/>
        <w:jc w:val="both"/>
        <w:rPr>
          <w:rFonts w:ascii="Times New Roman" w:hAnsi="Times New Roman"/>
          <w:sz w:val="24"/>
          <w:szCs w:val="24"/>
          <w:lang w:val="sq-AL"/>
        </w:rPr>
      </w:pPr>
      <w:r w:rsidRPr="00263E82">
        <w:rPr>
          <w:rFonts w:ascii="Times New Roman" w:hAnsi="Times New Roman"/>
          <w:sz w:val="24"/>
          <w:szCs w:val="24"/>
          <w:lang w:val="sq-AL"/>
        </w:rPr>
        <w:t>Ky është një proces dhe plan teknik që lidhet me zhvillimin dhe dizajnin e shfrytëzimit të tokës dhe mjedisit ndërtimor në komunën e Hanit të Elezit. Edhe pse ky dokume</w:t>
      </w:r>
      <w:r w:rsidR="004E4DEE" w:rsidRPr="00263E82">
        <w:rPr>
          <w:rFonts w:ascii="Times New Roman" w:hAnsi="Times New Roman"/>
          <w:sz w:val="24"/>
          <w:szCs w:val="24"/>
          <w:lang w:val="sq-AL"/>
        </w:rPr>
        <w:t>nt është në proces të hartimit</w:t>
      </w:r>
      <w:r w:rsidRPr="00263E82">
        <w:rPr>
          <w:rFonts w:ascii="Times New Roman" w:hAnsi="Times New Roman"/>
          <w:sz w:val="24"/>
          <w:szCs w:val="24"/>
          <w:lang w:val="sq-AL"/>
        </w:rPr>
        <w:t>, prapë mbetet bazë kryesore për Departamentin e Urbanizmit që të përdoret për procesin e tyre të planifikimit vjetor dhe planifikimit buxhetor.  </w:t>
      </w:r>
    </w:p>
    <w:p w14:paraId="5AB51178" w14:textId="77777777" w:rsidR="00C25AAC" w:rsidRPr="00263E82" w:rsidRDefault="00C25AAC" w:rsidP="00C25AAC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F6C21D3" w14:textId="054A30B4" w:rsidR="00C25AAC" w:rsidRPr="002E671F" w:rsidRDefault="00C25AAC" w:rsidP="00C25AAC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2E671F">
        <w:rPr>
          <w:rFonts w:ascii="Times New Roman" w:hAnsi="Times New Roman"/>
          <w:sz w:val="24"/>
          <w:szCs w:val="24"/>
          <w:lang w:val="sq-AL"/>
        </w:rPr>
        <w:t>KORNIZA AFATMESME E BUXHE</w:t>
      </w:r>
      <w:r w:rsidR="00456FD3">
        <w:rPr>
          <w:rFonts w:ascii="Times New Roman" w:hAnsi="Times New Roman"/>
          <w:sz w:val="24"/>
          <w:szCs w:val="24"/>
          <w:lang w:val="sq-AL"/>
        </w:rPr>
        <w:t>TIT KOMUNAL (KAB Komunale) 202</w:t>
      </w:r>
      <w:r w:rsidR="00B06081">
        <w:rPr>
          <w:rFonts w:ascii="Times New Roman" w:hAnsi="Times New Roman"/>
          <w:sz w:val="24"/>
          <w:szCs w:val="24"/>
          <w:lang w:val="sq-AL"/>
        </w:rPr>
        <w:t>6</w:t>
      </w:r>
      <w:r w:rsidR="00456FD3">
        <w:rPr>
          <w:rFonts w:ascii="Times New Roman" w:hAnsi="Times New Roman"/>
          <w:sz w:val="24"/>
          <w:szCs w:val="24"/>
          <w:lang w:val="sq-AL"/>
        </w:rPr>
        <w:t>-202</w:t>
      </w:r>
      <w:r w:rsidR="00B06081">
        <w:rPr>
          <w:rFonts w:ascii="Times New Roman" w:hAnsi="Times New Roman"/>
          <w:sz w:val="24"/>
          <w:szCs w:val="24"/>
          <w:lang w:val="sq-AL"/>
        </w:rPr>
        <w:t>8</w:t>
      </w:r>
    </w:p>
    <w:p w14:paraId="225A97D0" w14:textId="77777777" w:rsidR="00C25AAC" w:rsidRPr="002E671F" w:rsidRDefault="00456FD3" w:rsidP="00C25AAC">
      <w:pPr>
        <w:pStyle w:val="NoSpacing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sq-AL"/>
        </w:rPr>
        <w:t>Pas pranimit të Qarkores B</w:t>
      </w:r>
      <w:r w:rsidR="00C25AAC" w:rsidRPr="002E671F">
        <w:rPr>
          <w:rFonts w:ascii="Times New Roman" w:hAnsi="Times New Roman"/>
          <w:sz w:val="24"/>
          <w:szCs w:val="24"/>
          <w:shd w:val="clear" w:color="auto" w:fill="FFFFFF"/>
          <w:lang w:val="sq-AL"/>
        </w:rPr>
        <w:t>uxhetore nga MF, dokumenti KAB përgatitet çdo vit, në mënyrë që buxheti të vendoset në një perspektivë afatmesme. Asambleja Komunale miraton këtë dokument çdo vit para 30 qershorit. KAB-i Komunal mbulon përgatitjen, ekzekutimin dhe monitorimin e planit buxhetor shumëvjeçar të Komunës dhe përmban parashikimet e shpenzimeve dhe të hyrave.</w:t>
      </w:r>
    </w:p>
    <w:p w14:paraId="087EB94B" w14:textId="77777777" w:rsidR="00C25AAC" w:rsidRPr="002E671F" w:rsidRDefault="00C25AAC" w:rsidP="00C25AAC">
      <w:pPr>
        <w:pStyle w:val="NoSpacing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097249A" w14:textId="77777777" w:rsidR="00C25AAC" w:rsidRPr="002E671F" w:rsidRDefault="00C25AAC" w:rsidP="00C25AAC">
      <w:pPr>
        <w:spacing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2E671F">
        <w:rPr>
          <w:rFonts w:ascii="Times New Roman" w:hAnsi="Times New Roman"/>
          <w:sz w:val="24"/>
          <w:szCs w:val="24"/>
          <w:lang w:val="sq-AL"/>
        </w:rPr>
        <w:t>RREGULLORJA E TAKSAVE  KOMUNALE</w:t>
      </w:r>
    </w:p>
    <w:p w14:paraId="4163DDD2" w14:textId="77777777" w:rsidR="00C25AAC" w:rsidRPr="002E671F" w:rsidRDefault="00C25AAC" w:rsidP="00C25AAC">
      <w:pPr>
        <w:spacing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2E671F">
        <w:rPr>
          <w:rFonts w:ascii="Times New Roman" w:hAnsi="Times New Roman"/>
          <w:sz w:val="24"/>
          <w:szCs w:val="24"/>
          <w:lang w:val="sq-AL"/>
        </w:rPr>
        <w:t xml:space="preserve">Komuna miraton rregullore mbi ngarkesat, taksat dhe tarifat e përdoruesve, në bazë vjetore. Kjo rregullore përcakton ngarkesën e komunës  dhe paraqet një tregues të rëndësishëm për të përcaktuar të hyrat vetanake komunale. </w:t>
      </w:r>
    </w:p>
    <w:p w14:paraId="2F418BC5" w14:textId="77777777" w:rsidR="00C25AAC" w:rsidRPr="002E671F" w:rsidRDefault="00C25AAC" w:rsidP="00C25AAC">
      <w:pPr>
        <w:spacing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2E671F">
        <w:rPr>
          <w:rFonts w:ascii="Times New Roman" w:hAnsi="Times New Roman"/>
          <w:sz w:val="24"/>
          <w:szCs w:val="24"/>
          <w:lang w:val="sq-AL"/>
        </w:rPr>
        <w:t>LISTA E PRO</w:t>
      </w:r>
      <w:r w:rsidR="004E4DEE">
        <w:rPr>
          <w:rFonts w:ascii="Times New Roman" w:hAnsi="Times New Roman"/>
          <w:sz w:val="24"/>
          <w:szCs w:val="24"/>
          <w:lang w:val="sq-AL"/>
        </w:rPr>
        <w:t>POZUAR E PROJEKTEVE KAPITALE SIÇ</w:t>
      </w:r>
      <w:r w:rsidR="001A3816">
        <w:rPr>
          <w:rFonts w:ascii="Times New Roman" w:hAnsi="Times New Roman"/>
          <w:sz w:val="24"/>
          <w:szCs w:val="24"/>
          <w:lang w:val="sq-AL"/>
        </w:rPr>
        <w:t xml:space="preserve"> PRANOHEN NGA QYTE</w:t>
      </w:r>
      <w:r w:rsidRPr="002E671F">
        <w:rPr>
          <w:rFonts w:ascii="Times New Roman" w:hAnsi="Times New Roman"/>
          <w:sz w:val="24"/>
          <w:szCs w:val="24"/>
          <w:lang w:val="sq-AL"/>
        </w:rPr>
        <w:t>TARËT</w:t>
      </w:r>
    </w:p>
    <w:p w14:paraId="26B5EDD9" w14:textId="77777777" w:rsidR="00FD3939" w:rsidRDefault="00C25AAC" w:rsidP="00A55FDE">
      <w:pPr>
        <w:spacing w:line="36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2E671F">
        <w:rPr>
          <w:rFonts w:ascii="Times New Roman" w:hAnsi="Times New Roman"/>
          <w:sz w:val="24"/>
          <w:szCs w:val="24"/>
          <w:lang w:val="sq-AL"/>
        </w:rPr>
        <w:t xml:space="preserve">Çdo verë, komuna mban dëgjime buxhetore me publikun dhe si rezultat i kësaj zhvillohet një listë e projekteve, sipas kërkesave të ndryshme. Shumica e kërkesave kanë të bëjnë me projekte kapitale </w:t>
      </w:r>
    </w:p>
    <w:p w14:paraId="3DA81BB1" w14:textId="2937E9C1" w:rsidR="00FD3939" w:rsidRDefault="00FD3939">
      <w:pPr>
        <w:rPr>
          <w:rFonts w:ascii="Times New Roman" w:hAnsi="Times New Roman"/>
          <w:sz w:val="24"/>
          <w:szCs w:val="24"/>
          <w:lang w:val="sq-AL"/>
        </w:rPr>
      </w:pPr>
    </w:p>
    <w:p w14:paraId="009BD8A4" w14:textId="2C7272BA" w:rsidR="00C25AAC" w:rsidRPr="002E671F" w:rsidRDefault="00C25AAC" w:rsidP="00A55FDE">
      <w:pPr>
        <w:spacing w:line="36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2E671F">
        <w:rPr>
          <w:rFonts w:ascii="Times New Roman" w:hAnsi="Times New Roman"/>
          <w:sz w:val="24"/>
          <w:szCs w:val="24"/>
          <w:lang w:val="sq-AL"/>
        </w:rPr>
        <w:t xml:space="preserve">të vogla dhe të mëdha. Komuna i përfshin shumicën e kërkesave të pranuara në planin vjetor të buxhetit komunal. </w:t>
      </w:r>
    </w:p>
    <w:p w14:paraId="75D2B769" w14:textId="77777777" w:rsidR="00C25AAC" w:rsidRPr="002E671F" w:rsidRDefault="00C25AAC" w:rsidP="00A55FDE">
      <w:pPr>
        <w:spacing w:line="36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2E671F">
        <w:rPr>
          <w:rFonts w:ascii="Times New Roman" w:hAnsi="Times New Roman"/>
          <w:sz w:val="24"/>
          <w:szCs w:val="24"/>
          <w:lang w:val="sq-AL"/>
        </w:rPr>
        <w:t>BUXHETI I PROPOZUAR KOMUNAL</w:t>
      </w:r>
    </w:p>
    <w:p w14:paraId="2FD31AF4" w14:textId="77777777" w:rsidR="00C25AAC" w:rsidRPr="002E671F" w:rsidRDefault="00C25AAC" w:rsidP="00A55FDE">
      <w:pPr>
        <w:spacing w:line="36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2E671F">
        <w:rPr>
          <w:rFonts w:ascii="Times New Roman" w:hAnsi="Times New Roman"/>
          <w:sz w:val="24"/>
          <w:szCs w:val="24"/>
          <w:lang w:val="sq-AL"/>
        </w:rPr>
        <w:t xml:space="preserve">Buxheti komunal është projekti i planifikuar i operimit financiar të komunës për vitin fiskal. Në përgjithësi, një buxhet llogarit të hyrat e pritura dhe shpërndan burimet për shpenzime të veçanta sipas prioriteteve dhe veprimeve të paracaktuara për zbatim. </w:t>
      </w:r>
    </w:p>
    <w:p w14:paraId="50BDBF8E" w14:textId="77777777" w:rsidR="00C25AAC" w:rsidRPr="002E671F" w:rsidRDefault="00C25AAC" w:rsidP="00A55FDE">
      <w:pPr>
        <w:pStyle w:val="Heading2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bookmarkStart w:id="2" w:name="_Toc19786203"/>
    </w:p>
    <w:p w14:paraId="1A6A9E47" w14:textId="77777777" w:rsidR="00C25AAC" w:rsidRPr="002E671F" w:rsidRDefault="00C25AAC" w:rsidP="00A55FDE">
      <w:pPr>
        <w:pStyle w:val="Heading2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E671F">
        <w:rPr>
          <w:rFonts w:ascii="Times New Roman" w:hAnsi="Times New Roman" w:cs="Times New Roman"/>
          <w:sz w:val="24"/>
          <w:szCs w:val="24"/>
          <w:lang w:val="sq-AL"/>
        </w:rPr>
        <w:t>Baza e buxhetimit</w:t>
      </w:r>
      <w:bookmarkEnd w:id="2"/>
    </w:p>
    <w:p w14:paraId="0746CEA8" w14:textId="77777777" w:rsidR="00C25AAC" w:rsidRPr="002E671F" w:rsidRDefault="00C25AAC" w:rsidP="00A55FDE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sq-AL"/>
        </w:rPr>
      </w:pPr>
      <w:r w:rsidRPr="002E671F">
        <w:rPr>
          <w:rFonts w:ascii="Times New Roman" w:hAnsi="Times New Roman"/>
          <w:sz w:val="24"/>
          <w:szCs w:val="24"/>
          <w:lang w:val="sq-AL"/>
        </w:rPr>
        <w:t>Komuna përgatit dhe prezanton buxhetin e saj vjetor sipas kontabilitetit të bazuar në para të gatshme. Një buxhet i parave të gatshme detajon të ardhurat dhe shpenzimet e parave gjatë një periudhe të caktuar buxheti, në këtë rast gjatë një viti</w:t>
      </w:r>
      <w:r w:rsidRPr="002E671F">
        <w:rPr>
          <w:rFonts w:ascii="Times New Roman" w:hAnsi="Times New Roman"/>
          <w:sz w:val="24"/>
          <w:szCs w:val="24"/>
          <w:shd w:val="clear" w:color="auto" w:fill="FFFFFF"/>
          <w:lang w:val="sq-AL"/>
        </w:rPr>
        <w:t xml:space="preserve">. </w:t>
      </w:r>
    </w:p>
    <w:p w14:paraId="4272B3BC" w14:textId="77777777" w:rsidR="005F6E75" w:rsidRPr="002E671F" w:rsidRDefault="005F6E75" w:rsidP="00A55FDE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sq-AL"/>
        </w:rPr>
      </w:pPr>
    </w:p>
    <w:p w14:paraId="45660FAF" w14:textId="77777777" w:rsidR="00B440EA" w:rsidRPr="002E671F" w:rsidRDefault="00B440EA" w:rsidP="00A55FD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14:paraId="777484FD" w14:textId="77777777" w:rsidR="00B440EA" w:rsidRPr="002E671F" w:rsidRDefault="00B440EA" w:rsidP="00A55FD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14:paraId="4C1EC4A3" w14:textId="77777777" w:rsidR="00B440EA" w:rsidRPr="002E671F" w:rsidRDefault="00B440EA" w:rsidP="005F6E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14:paraId="536A7C40" w14:textId="77777777" w:rsidR="00B440EA" w:rsidRPr="002E671F" w:rsidRDefault="00B440EA" w:rsidP="005F6E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14:paraId="372D97B0" w14:textId="77777777" w:rsidR="00B440EA" w:rsidRPr="002E671F" w:rsidRDefault="00B440EA" w:rsidP="005F6E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14:paraId="6B211F1D" w14:textId="77777777" w:rsidR="003C7571" w:rsidRPr="002E671F" w:rsidRDefault="003C7571" w:rsidP="005F6E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14:paraId="70B3961D" w14:textId="77777777" w:rsidR="003C7571" w:rsidRPr="002E671F" w:rsidRDefault="003C7571" w:rsidP="005F6E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14:paraId="3492DD08" w14:textId="77777777" w:rsidR="003C7571" w:rsidRPr="002E671F" w:rsidRDefault="003C7571" w:rsidP="005F6E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14:paraId="0136578C" w14:textId="77777777" w:rsidR="003C7571" w:rsidRPr="002E671F" w:rsidRDefault="003C7571" w:rsidP="005F6E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14:paraId="1CC94EF5" w14:textId="77777777" w:rsidR="003C7571" w:rsidRPr="002E671F" w:rsidRDefault="003C7571" w:rsidP="005F6E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14:paraId="71E6D037" w14:textId="77777777" w:rsidR="003C7571" w:rsidRPr="002E671F" w:rsidRDefault="003C7571" w:rsidP="005F6E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14:paraId="3ECEB0B3" w14:textId="77777777" w:rsidR="003C7571" w:rsidRPr="002E671F" w:rsidRDefault="003C7571" w:rsidP="005F6E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14:paraId="1A5D95AD" w14:textId="77777777" w:rsidR="003C7571" w:rsidRPr="002E671F" w:rsidRDefault="003C7571" w:rsidP="005F6E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14:paraId="1343CEBD" w14:textId="77777777" w:rsidR="003C7571" w:rsidRPr="002E671F" w:rsidRDefault="003C7571" w:rsidP="005F6E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14:paraId="2B5EE7AD" w14:textId="77777777" w:rsidR="003C7571" w:rsidRPr="002E671F" w:rsidRDefault="003C7571" w:rsidP="005F6E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14:paraId="72EAA878" w14:textId="77777777" w:rsidR="003C7571" w:rsidRPr="002E671F" w:rsidRDefault="003C7571" w:rsidP="005F6E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14:paraId="2F4DEE85" w14:textId="77777777" w:rsidR="003C7571" w:rsidRPr="002E671F" w:rsidRDefault="003C7571" w:rsidP="005F6E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14:paraId="5BC41F95" w14:textId="77777777" w:rsidR="00152751" w:rsidRPr="002E671F" w:rsidRDefault="00152751" w:rsidP="00F2767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sectPr w:rsidR="00152751" w:rsidRPr="002E671F" w:rsidSect="00FD3939">
          <w:footerReference w:type="default" r:id="rId13"/>
          <w:footerReference w:type="first" r:id="rId14"/>
          <w:pgSz w:w="12240" w:h="15840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4E656D43" w14:textId="6FDA16DD" w:rsidR="00975553" w:rsidRDefault="00F766FA" w:rsidP="00975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</w:rPr>
      </w:pPr>
      <w:r>
        <w:rPr>
          <w:rFonts w:ascii="Times New Roman" w:eastAsia="Times New Roman" w:hAnsi="Times New Roman" w:cs="Times New Roman"/>
          <w:b/>
          <w:bCs/>
          <w:kern w:val="0"/>
        </w:rPr>
        <w:lastRenderedPageBreak/>
        <w:t>Plani</w:t>
      </w:r>
      <w:r w:rsidR="00975553" w:rsidRPr="00CC06DA">
        <w:rPr>
          <w:rFonts w:ascii="Times New Roman" w:eastAsia="Times New Roman" w:hAnsi="Times New Roman" w:cs="Times New Roman"/>
          <w:b/>
          <w:bCs/>
          <w:kern w:val="0"/>
        </w:rPr>
        <w:t xml:space="preserve"> i ndarjeve buxhetore për vit</w:t>
      </w:r>
      <w:r w:rsidR="00E90F68">
        <w:rPr>
          <w:rFonts w:ascii="Times New Roman" w:eastAsia="Times New Roman" w:hAnsi="Times New Roman" w:cs="Times New Roman"/>
          <w:b/>
          <w:bCs/>
          <w:kern w:val="0"/>
        </w:rPr>
        <w:t>in</w:t>
      </w:r>
      <w:r w:rsidR="00975553">
        <w:rPr>
          <w:rFonts w:ascii="Times New Roman" w:eastAsia="Times New Roman" w:hAnsi="Times New Roman" w:cs="Times New Roman"/>
          <w:b/>
          <w:bCs/>
          <w:kern w:val="0"/>
        </w:rPr>
        <w:t xml:space="preserve"> 2026</w:t>
      </w:r>
    </w:p>
    <w:p w14:paraId="2C73C65D" w14:textId="708D9A2D" w:rsidR="00E90F68" w:rsidRDefault="00E90F68" w:rsidP="00975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</w:rPr>
      </w:pPr>
    </w:p>
    <w:tbl>
      <w:tblPr>
        <w:tblW w:w="11876" w:type="dxa"/>
        <w:jc w:val="center"/>
        <w:tblLook w:val="04A0" w:firstRow="1" w:lastRow="0" w:firstColumn="1" w:lastColumn="0" w:noHBand="0" w:noVBand="1"/>
      </w:tblPr>
      <w:tblGrid>
        <w:gridCol w:w="3040"/>
        <w:gridCol w:w="645"/>
        <w:gridCol w:w="1385"/>
        <w:gridCol w:w="1240"/>
        <w:gridCol w:w="1293"/>
        <w:gridCol w:w="1460"/>
        <w:gridCol w:w="1293"/>
        <w:gridCol w:w="1520"/>
      </w:tblGrid>
      <w:tr w:rsidR="00E90F68" w:rsidRPr="00E90F68" w14:paraId="33FB01D5" w14:textId="77777777" w:rsidTr="00E90F68">
        <w:trPr>
          <w:trHeight w:val="600"/>
          <w:jc w:val="center"/>
        </w:trPr>
        <w:tc>
          <w:tcPr>
            <w:tcW w:w="3040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472C4" w:fill="4472C4"/>
            <w:noWrap/>
            <w:vAlign w:val="center"/>
            <w:hideMark/>
          </w:tcPr>
          <w:p w14:paraId="324559BE" w14:textId="77777777" w:rsidR="00E90F68" w:rsidRPr="00E90F68" w:rsidRDefault="00E90F68" w:rsidP="00E90F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</w:rPr>
            </w:pPr>
            <w:r w:rsidRPr="00E90F68">
              <w:rPr>
                <w:rFonts w:ascii="Calibri" w:eastAsia="Times New Roman" w:hAnsi="Calibri" w:cs="Calibri"/>
                <w:b/>
                <w:bCs/>
                <w:color w:val="FFFFFF"/>
                <w:kern w:val="0"/>
              </w:rPr>
              <w:t>Përshkrimi</w:t>
            </w:r>
          </w:p>
        </w:tc>
        <w:tc>
          <w:tcPr>
            <w:tcW w:w="645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472C4" w:fill="4472C4"/>
            <w:vAlign w:val="center"/>
            <w:hideMark/>
          </w:tcPr>
          <w:p w14:paraId="29908A58" w14:textId="77777777" w:rsidR="00E90F68" w:rsidRPr="00E90F68" w:rsidRDefault="00E90F68" w:rsidP="00E90F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</w:rPr>
            </w:pPr>
            <w:r w:rsidRPr="00E90F68">
              <w:rPr>
                <w:rFonts w:ascii="Calibri" w:eastAsia="Times New Roman" w:hAnsi="Calibri" w:cs="Calibri"/>
                <w:b/>
                <w:bCs/>
                <w:color w:val="FFFFFF"/>
                <w:kern w:val="0"/>
              </w:rPr>
              <w:t>Stafi</w:t>
            </w:r>
          </w:p>
        </w:tc>
        <w:tc>
          <w:tcPr>
            <w:tcW w:w="1385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472C4" w:fill="4472C4"/>
            <w:vAlign w:val="bottom"/>
            <w:hideMark/>
          </w:tcPr>
          <w:p w14:paraId="29180DEA" w14:textId="77777777" w:rsidR="00E90F68" w:rsidRPr="00E90F68" w:rsidRDefault="00E90F68" w:rsidP="00E90F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</w:rPr>
            </w:pPr>
            <w:r w:rsidRPr="00E90F68">
              <w:rPr>
                <w:rFonts w:ascii="Calibri" w:eastAsia="Times New Roman" w:hAnsi="Calibri" w:cs="Calibri"/>
                <w:b/>
                <w:bCs/>
                <w:color w:val="FFFFFF"/>
                <w:kern w:val="0"/>
              </w:rPr>
              <w:t>Pagat dhe shtesat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472C4" w:fill="4472C4"/>
            <w:vAlign w:val="bottom"/>
            <w:hideMark/>
          </w:tcPr>
          <w:p w14:paraId="1ADA897A" w14:textId="77777777" w:rsidR="00E90F68" w:rsidRPr="00E90F68" w:rsidRDefault="00E90F68" w:rsidP="00E90F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</w:rPr>
            </w:pPr>
            <w:r w:rsidRPr="00E90F68">
              <w:rPr>
                <w:rFonts w:ascii="Calibri" w:eastAsia="Times New Roman" w:hAnsi="Calibri" w:cs="Calibri"/>
                <w:b/>
                <w:bCs/>
                <w:color w:val="FFFFFF"/>
                <w:kern w:val="0"/>
              </w:rPr>
              <w:t xml:space="preserve"> Mallrat dhe shërbimet </w:t>
            </w:r>
          </w:p>
        </w:tc>
        <w:tc>
          <w:tcPr>
            <w:tcW w:w="1293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472C4" w:fill="4472C4"/>
            <w:vAlign w:val="bottom"/>
            <w:hideMark/>
          </w:tcPr>
          <w:p w14:paraId="4CD8BB07" w14:textId="77777777" w:rsidR="00E90F68" w:rsidRPr="00E90F68" w:rsidRDefault="00E90F68" w:rsidP="00E90F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</w:rPr>
            </w:pPr>
            <w:r w:rsidRPr="00E90F68">
              <w:rPr>
                <w:rFonts w:ascii="Calibri" w:eastAsia="Times New Roman" w:hAnsi="Calibri" w:cs="Calibri"/>
                <w:b/>
                <w:bCs/>
                <w:color w:val="FFFFFF"/>
                <w:kern w:val="0"/>
              </w:rPr>
              <w:t>Shpenzimet komunale</w:t>
            </w:r>
          </w:p>
        </w:tc>
        <w:tc>
          <w:tcPr>
            <w:tcW w:w="1460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472C4" w:fill="4472C4"/>
            <w:vAlign w:val="bottom"/>
            <w:hideMark/>
          </w:tcPr>
          <w:p w14:paraId="318BCDBE" w14:textId="77777777" w:rsidR="00E90F68" w:rsidRPr="00E90F68" w:rsidRDefault="00E90F68" w:rsidP="00E90F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</w:rPr>
            </w:pPr>
            <w:r w:rsidRPr="00E90F68">
              <w:rPr>
                <w:rFonts w:ascii="Calibri" w:eastAsia="Times New Roman" w:hAnsi="Calibri" w:cs="Calibri"/>
                <w:b/>
                <w:bCs/>
                <w:color w:val="FFFFFF"/>
                <w:kern w:val="0"/>
              </w:rPr>
              <w:t>Subvencionet dhe transferet</w:t>
            </w:r>
          </w:p>
        </w:tc>
        <w:tc>
          <w:tcPr>
            <w:tcW w:w="1293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472C4" w:fill="4472C4"/>
            <w:vAlign w:val="bottom"/>
            <w:hideMark/>
          </w:tcPr>
          <w:p w14:paraId="5B60AF77" w14:textId="77777777" w:rsidR="00E90F68" w:rsidRPr="00E90F68" w:rsidRDefault="00E90F68" w:rsidP="00E90F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</w:rPr>
            </w:pPr>
            <w:r w:rsidRPr="00E90F68">
              <w:rPr>
                <w:rFonts w:ascii="Calibri" w:eastAsia="Times New Roman" w:hAnsi="Calibri" w:cs="Calibri"/>
                <w:b/>
                <w:bCs/>
                <w:color w:val="FFFFFF"/>
                <w:kern w:val="0"/>
              </w:rPr>
              <w:t>Shpenzimet kapitale</w:t>
            </w:r>
          </w:p>
        </w:tc>
        <w:tc>
          <w:tcPr>
            <w:tcW w:w="1520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472C4" w:fill="4472C4"/>
            <w:noWrap/>
            <w:vAlign w:val="center"/>
            <w:hideMark/>
          </w:tcPr>
          <w:p w14:paraId="27383FF9" w14:textId="77777777" w:rsidR="00E90F68" w:rsidRPr="00E90F68" w:rsidRDefault="00E90F68" w:rsidP="00E90F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</w:rPr>
            </w:pPr>
            <w:r w:rsidRPr="00E90F68">
              <w:rPr>
                <w:rFonts w:ascii="Calibri" w:eastAsia="Times New Roman" w:hAnsi="Calibri" w:cs="Calibri"/>
                <w:b/>
                <w:bCs/>
                <w:color w:val="FFFFFF"/>
                <w:kern w:val="0"/>
              </w:rPr>
              <w:t xml:space="preserve"> Total 2026</w:t>
            </w:r>
          </w:p>
        </w:tc>
      </w:tr>
      <w:tr w:rsidR="00E90F68" w:rsidRPr="00E90F68" w14:paraId="5F2C6AD8" w14:textId="77777777" w:rsidTr="00E90F68">
        <w:trPr>
          <w:trHeight w:val="288"/>
          <w:jc w:val="center"/>
        </w:trPr>
        <w:tc>
          <w:tcPr>
            <w:tcW w:w="30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3F822212" w14:textId="77777777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Zyra e Kryetarit</w:t>
            </w:r>
          </w:p>
        </w:tc>
        <w:tc>
          <w:tcPr>
            <w:tcW w:w="6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7E61D045" w14:textId="77777777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12</w:t>
            </w:r>
          </w:p>
        </w:tc>
        <w:tc>
          <w:tcPr>
            <w:tcW w:w="13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097FEF11" w14:textId="04B11FF7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116,934.00</w:t>
            </w:r>
          </w:p>
        </w:tc>
        <w:tc>
          <w:tcPr>
            <w:tcW w:w="1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0C03065E" w14:textId="6F70E9E0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35,000.00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6B17F78C" w14:textId="13BEC5DD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-</w:t>
            </w:r>
          </w:p>
        </w:tc>
        <w:tc>
          <w:tcPr>
            <w:tcW w:w="14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1180A6EE" w14:textId="1EFF971F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40,000.00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0F90AFB0" w14:textId="374F7895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-</w:t>
            </w:r>
          </w:p>
        </w:tc>
        <w:tc>
          <w:tcPr>
            <w:tcW w:w="1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3CB0A165" w14:textId="4D4353B1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191,934.00</w:t>
            </w:r>
          </w:p>
        </w:tc>
      </w:tr>
      <w:tr w:rsidR="00E90F68" w:rsidRPr="00E90F68" w14:paraId="482EB645" w14:textId="77777777" w:rsidTr="00E90F68">
        <w:trPr>
          <w:trHeight w:val="288"/>
          <w:jc w:val="center"/>
        </w:trPr>
        <w:tc>
          <w:tcPr>
            <w:tcW w:w="30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460BC16D" w14:textId="77777777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Zyra e Kuvendit Komunal</w:t>
            </w:r>
          </w:p>
        </w:tc>
        <w:tc>
          <w:tcPr>
            <w:tcW w:w="6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4C084E16" w14:textId="77777777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15</w:t>
            </w:r>
          </w:p>
        </w:tc>
        <w:tc>
          <w:tcPr>
            <w:tcW w:w="13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75A87383" w14:textId="1DA06C49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146,459.00</w:t>
            </w:r>
          </w:p>
        </w:tc>
        <w:tc>
          <w:tcPr>
            <w:tcW w:w="1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5A645A68" w14:textId="3C9200F7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17,000.00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56ED1E53" w14:textId="3834E3CD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-</w:t>
            </w:r>
          </w:p>
        </w:tc>
        <w:tc>
          <w:tcPr>
            <w:tcW w:w="14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61B1281F" w14:textId="7D5F8097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-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645D2286" w14:textId="32E64840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-</w:t>
            </w:r>
          </w:p>
        </w:tc>
        <w:tc>
          <w:tcPr>
            <w:tcW w:w="1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640252C8" w14:textId="74846C1C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163,459.00</w:t>
            </w:r>
          </w:p>
        </w:tc>
      </w:tr>
      <w:tr w:rsidR="00E90F68" w:rsidRPr="00E90F68" w14:paraId="2F7A4A60" w14:textId="77777777" w:rsidTr="00E90F68">
        <w:trPr>
          <w:trHeight w:val="288"/>
          <w:jc w:val="center"/>
        </w:trPr>
        <w:tc>
          <w:tcPr>
            <w:tcW w:w="30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43135952" w14:textId="77777777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Administrata dhe Personeli</w:t>
            </w:r>
          </w:p>
        </w:tc>
        <w:tc>
          <w:tcPr>
            <w:tcW w:w="6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585679FA" w14:textId="77777777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17</w:t>
            </w:r>
          </w:p>
        </w:tc>
        <w:tc>
          <w:tcPr>
            <w:tcW w:w="13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089247D6" w14:textId="4E25711B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118,385.00</w:t>
            </w:r>
          </w:p>
        </w:tc>
        <w:tc>
          <w:tcPr>
            <w:tcW w:w="1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6EDA9250" w14:textId="42922B09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83,000.00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522C0265" w14:textId="4DD2B367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52,000.00</w:t>
            </w:r>
          </w:p>
        </w:tc>
        <w:tc>
          <w:tcPr>
            <w:tcW w:w="14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7D64B5ED" w14:textId="60499D4C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-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1BA4521E" w14:textId="24671C28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-</w:t>
            </w:r>
          </w:p>
        </w:tc>
        <w:tc>
          <w:tcPr>
            <w:tcW w:w="1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09EEF6AF" w14:textId="4FD95BEB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253,385.00</w:t>
            </w:r>
          </w:p>
        </w:tc>
      </w:tr>
      <w:tr w:rsidR="00E90F68" w:rsidRPr="00E90F68" w14:paraId="6AB01EE9" w14:textId="77777777" w:rsidTr="00E90F68">
        <w:trPr>
          <w:trHeight w:val="288"/>
          <w:jc w:val="center"/>
        </w:trPr>
        <w:tc>
          <w:tcPr>
            <w:tcW w:w="30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01842490" w14:textId="77777777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Buxheti dhe Financat</w:t>
            </w:r>
          </w:p>
        </w:tc>
        <w:tc>
          <w:tcPr>
            <w:tcW w:w="6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457B5A11" w14:textId="77777777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8</w:t>
            </w:r>
          </w:p>
        </w:tc>
        <w:tc>
          <w:tcPr>
            <w:tcW w:w="13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283B0908" w14:textId="2DF3DD43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60,228.00</w:t>
            </w:r>
          </w:p>
        </w:tc>
        <w:tc>
          <w:tcPr>
            <w:tcW w:w="1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7BD64873" w14:textId="59DB2F83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3,300.00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66A66E18" w14:textId="38869D2B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-</w:t>
            </w:r>
          </w:p>
        </w:tc>
        <w:tc>
          <w:tcPr>
            <w:tcW w:w="14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19DA748D" w14:textId="32A99DE3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-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6CB5F2ED" w14:textId="1367AA2A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-</w:t>
            </w:r>
          </w:p>
        </w:tc>
        <w:tc>
          <w:tcPr>
            <w:tcW w:w="1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1B3566A9" w14:textId="61419495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63,528.00</w:t>
            </w:r>
          </w:p>
        </w:tc>
      </w:tr>
      <w:tr w:rsidR="00E90F68" w:rsidRPr="00E90F68" w14:paraId="13C94229" w14:textId="77777777" w:rsidTr="00E90F68">
        <w:trPr>
          <w:trHeight w:val="288"/>
          <w:jc w:val="center"/>
        </w:trPr>
        <w:tc>
          <w:tcPr>
            <w:tcW w:w="30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019EAF5C" w14:textId="77777777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Shërbimet Publike dhe Emergjenca</w:t>
            </w:r>
          </w:p>
        </w:tc>
        <w:tc>
          <w:tcPr>
            <w:tcW w:w="6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3FBA0050" w14:textId="77777777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10</w:t>
            </w:r>
          </w:p>
        </w:tc>
        <w:tc>
          <w:tcPr>
            <w:tcW w:w="13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5DAAD720" w14:textId="65EF2028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89,028.00</w:t>
            </w:r>
          </w:p>
        </w:tc>
        <w:tc>
          <w:tcPr>
            <w:tcW w:w="1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7E0BD8AA" w14:textId="31DF151D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110,000.00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2783DD22" w14:textId="0255283A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3,000.00</w:t>
            </w:r>
          </w:p>
        </w:tc>
        <w:tc>
          <w:tcPr>
            <w:tcW w:w="14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08C72012" w14:textId="275AA89C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15,000.00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5A26074A" w14:textId="7FAC0058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120,000.00</w:t>
            </w:r>
          </w:p>
        </w:tc>
        <w:tc>
          <w:tcPr>
            <w:tcW w:w="1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7FF276EC" w14:textId="0D6D2038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337,028.00</w:t>
            </w:r>
          </w:p>
        </w:tc>
      </w:tr>
      <w:tr w:rsidR="00E90F68" w:rsidRPr="00E90F68" w14:paraId="1B470FCB" w14:textId="77777777" w:rsidTr="00E90F68">
        <w:trPr>
          <w:trHeight w:val="288"/>
          <w:jc w:val="center"/>
        </w:trPr>
        <w:tc>
          <w:tcPr>
            <w:tcW w:w="30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2AFBCD47" w14:textId="77777777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Zyra Komunale për Komunitete</w:t>
            </w:r>
          </w:p>
        </w:tc>
        <w:tc>
          <w:tcPr>
            <w:tcW w:w="6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18FEE0FB" w14:textId="77777777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1</w:t>
            </w:r>
          </w:p>
        </w:tc>
        <w:tc>
          <w:tcPr>
            <w:tcW w:w="13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0509BBE7" w14:textId="10065406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8,206.00</w:t>
            </w:r>
          </w:p>
        </w:tc>
        <w:tc>
          <w:tcPr>
            <w:tcW w:w="1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617A41AA" w14:textId="604CED43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500.00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2A36122B" w14:textId="1619972A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-</w:t>
            </w:r>
          </w:p>
        </w:tc>
        <w:tc>
          <w:tcPr>
            <w:tcW w:w="14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7763B550" w14:textId="2DABA390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-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472FB905" w14:textId="422824AB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-</w:t>
            </w:r>
          </w:p>
        </w:tc>
        <w:tc>
          <w:tcPr>
            <w:tcW w:w="1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0CD9D182" w14:textId="1F1A1DF4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8,706.00</w:t>
            </w:r>
          </w:p>
        </w:tc>
      </w:tr>
      <w:tr w:rsidR="00E90F68" w:rsidRPr="00E90F68" w14:paraId="46EDBEA0" w14:textId="77777777" w:rsidTr="00E90F68">
        <w:trPr>
          <w:trHeight w:val="288"/>
          <w:jc w:val="center"/>
        </w:trPr>
        <w:tc>
          <w:tcPr>
            <w:tcW w:w="30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10358EA1" w14:textId="77777777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Bujqësia, Pylltaria dhe Zhvillimi Rural</w:t>
            </w:r>
          </w:p>
        </w:tc>
        <w:tc>
          <w:tcPr>
            <w:tcW w:w="6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71AD6C95" w14:textId="77777777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2</w:t>
            </w:r>
          </w:p>
        </w:tc>
        <w:tc>
          <w:tcPr>
            <w:tcW w:w="13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252B95E1" w14:textId="2579A139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14,032.00</w:t>
            </w:r>
          </w:p>
        </w:tc>
        <w:tc>
          <w:tcPr>
            <w:tcW w:w="1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1421950F" w14:textId="73136C72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3,000.00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67601C64" w14:textId="31206CAA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-</w:t>
            </w:r>
          </w:p>
        </w:tc>
        <w:tc>
          <w:tcPr>
            <w:tcW w:w="14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6D2E0E27" w14:textId="3C456CC4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30,000.00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1AE1E89A" w14:textId="65275805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-</w:t>
            </w:r>
          </w:p>
        </w:tc>
        <w:tc>
          <w:tcPr>
            <w:tcW w:w="1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67A52E4A" w14:textId="1640ADD5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47,032.00</w:t>
            </w:r>
          </w:p>
        </w:tc>
      </w:tr>
      <w:tr w:rsidR="00E90F68" w:rsidRPr="00E90F68" w14:paraId="0309B0DF" w14:textId="77777777" w:rsidTr="00E90F68">
        <w:trPr>
          <w:trHeight w:val="288"/>
          <w:jc w:val="center"/>
        </w:trPr>
        <w:tc>
          <w:tcPr>
            <w:tcW w:w="30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29B6CFA0" w14:textId="77777777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Zhvillimi Ekonomik dhe Turizmi</w:t>
            </w:r>
          </w:p>
        </w:tc>
        <w:tc>
          <w:tcPr>
            <w:tcW w:w="6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6547FC3F" w14:textId="77777777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4</w:t>
            </w:r>
          </w:p>
        </w:tc>
        <w:tc>
          <w:tcPr>
            <w:tcW w:w="13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15A4F5E6" w14:textId="6657B2B8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38,926.00</w:t>
            </w:r>
          </w:p>
        </w:tc>
        <w:tc>
          <w:tcPr>
            <w:tcW w:w="1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747A3971" w14:textId="62988CEC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8,000.00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0FFA896F" w14:textId="239C016D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-</w:t>
            </w:r>
          </w:p>
        </w:tc>
        <w:tc>
          <w:tcPr>
            <w:tcW w:w="14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197711A9" w14:textId="2836B587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25,000.00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07ED4BED" w14:textId="600AF8EB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177,000.00</w:t>
            </w:r>
          </w:p>
        </w:tc>
        <w:tc>
          <w:tcPr>
            <w:tcW w:w="1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35867A2C" w14:textId="2C1E3C3E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248,926.00</w:t>
            </w:r>
          </w:p>
        </w:tc>
      </w:tr>
      <w:tr w:rsidR="00E90F68" w:rsidRPr="00E90F68" w14:paraId="632295D7" w14:textId="77777777" w:rsidTr="00E90F68">
        <w:trPr>
          <w:trHeight w:val="288"/>
          <w:jc w:val="center"/>
        </w:trPr>
        <w:tc>
          <w:tcPr>
            <w:tcW w:w="30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25D3080C" w14:textId="77777777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Planifikimi Urban dhe Mjedisi</w:t>
            </w:r>
          </w:p>
        </w:tc>
        <w:tc>
          <w:tcPr>
            <w:tcW w:w="6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2BE86E35" w14:textId="77777777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9</w:t>
            </w:r>
          </w:p>
        </w:tc>
        <w:tc>
          <w:tcPr>
            <w:tcW w:w="13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0ED8BA6D" w14:textId="722B781F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81,773.00</w:t>
            </w:r>
          </w:p>
        </w:tc>
        <w:tc>
          <w:tcPr>
            <w:tcW w:w="1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2B74B2E7" w14:textId="535CE8F0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18,000.00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37001073" w14:textId="609675DB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-</w:t>
            </w:r>
          </w:p>
        </w:tc>
        <w:tc>
          <w:tcPr>
            <w:tcW w:w="14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1883DF07" w14:textId="7B104EC3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-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160FBB74" w14:textId="18109866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440,480.00</w:t>
            </w:r>
          </w:p>
        </w:tc>
        <w:tc>
          <w:tcPr>
            <w:tcW w:w="1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7497158C" w14:textId="2C938D4F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540,253.00</w:t>
            </w:r>
          </w:p>
        </w:tc>
      </w:tr>
      <w:tr w:rsidR="00E90F68" w:rsidRPr="00E90F68" w14:paraId="531ABD07" w14:textId="77777777" w:rsidTr="00E90F68">
        <w:trPr>
          <w:trHeight w:val="288"/>
          <w:jc w:val="center"/>
        </w:trPr>
        <w:tc>
          <w:tcPr>
            <w:tcW w:w="30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40DB4E38" w14:textId="77777777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Shëndetësia dhe Mirëqenia Sociale</w:t>
            </w:r>
          </w:p>
        </w:tc>
        <w:tc>
          <w:tcPr>
            <w:tcW w:w="6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38549083" w14:textId="77777777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48</w:t>
            </w:r>
          </w:p>
        </w:tc>
        <w:tc>
          <w:tcPr>
            <w:tcW w:w="13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1F38C716" w14:textId="3B18B3C0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420,760.00</w:t>
            </w:r>
          </w:p>
        </w:tc>
        <w:tc>
          <w:tcPr>
            <w:tcW w:w="1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603A5422" w14:textId="564DE1B1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113,193.00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38BA7E95" w14:textId="71A0A2B9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18,500.00</w:t>
            </w:r>
          </w:p>
        </w:tc>
        <w:tc>
          <w:tcPr>
            <w:tcW w:w="14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6596F8FC" w14:textId="2DFAB8CA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-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6BDADA19" w14:textId="5CAA3044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40,000.00</w:t>
            </w:r>
          </w:p>
        </w:tc>
        <w:tc>
          <w:tcPr>
            <w:tcW w:w="1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45EDE944" w14:textId="1581D2DE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592,453.00</w:t>
            </w:r>
          </w:p>
        </w:tc>
      </w:tr>
      <w:tr w:rsidR="00E90F68" w:rsidRPr="00E90F68" w14:paraId="6A0A7F59" w14:textId="77777777" w:rsidTr="00E90F68">
        <w:trPr>
          <w:trHeight w:val="288"/>
          <w:jc w:val="center"/>
        </w:trPr>
        <w:tc>
          <w:tcPr>
            <w:tcW w:w="30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43D2A1E4" w14:textId="77777777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Administrata e shëndetësisë</w:t>
            </w:r>
          </w:p>
        </w:tc>
        <w:tc>
          <w:tcPr>
            <w:tcW w:w="6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02997456" w14:textId="77777777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2</w:t>
            </w:r>
          </w:p>
        </w:tc>
        <w:tc>
          <w:tcPr>
            <w:tcW w:w="13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5410A5D0" w14:textId="39E810A1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13,816.00</w:t>
            </w:r>
          </w:p>
        </w:tc>
        <w:tc>
          <w:tcPr>
            <w:tcW w:w="1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1DB5FA9A" w14:textId="2EE832DB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500.00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695BAED9" w14:textId="4C9FD1A8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-</w:t>
            </w:r>
          </w:p>
        </w:tc>
        <w:tc>
          <w:tcPr>
            <w:tcW w:w="14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7D4FB0EA" w14:textId="316B720A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-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75430B66" w14:textId="3E907073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-</w:t>
            </w:r>
          </w:p>
        </w:tc>
        <w:tc>
          <w:tcPr>
            <w:tcW w:w="1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281934C7" w14:textId="3D4292D8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14,316.00</w:t>
            </w:r>
          </w:p>
        </w:tc>
      </w:tr>
      <w:tr w:rsidR="00E90F68" w:rsidRPr="00E90F68" w14:paraId="3E169B31" w14:textId="77777777" w:rsidTr="00E90F68">
        <w:trPr>
          <w:trHeight w:val="288"/>
          <w:jc w:val="center"/>
        </w:trPr>
        <w:tc>
          <w:tcPr>
            <w:tcW w:w="30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2FC456FE" w14:textId="77777777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Shërbimet e shëndetësisë primare</w:t>
            </w:r>
          </w:p>
        </w:tc>
        <w:tc>
          <w:tcPr>
            <w:tcW w:w="6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1A4A2A10" w14:textId="77777777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46</w:t>
            </w:r>
          </w:p>
        </w:tc>
        <w:tc>
          <w:tcPr>
            <w:tcW w:w="13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2A3C6ED9" w14:textId="5B2D01AB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406,944.00</w:t>
            </w:r>
          </w:p>
        </w:tc>
        <w:tc>
          <w:tcPr>
            <w:tcW w:w="1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6B7535CC" w14:textId="3D1D6E13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112,693.00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0A9DD171" w14:textId="0BBA1CC9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18,500.00</w:t>
            </w:r>
          </w:p>
        </w:tc>
        <w:tc>
          <w:tcPr>
            <w:tcW w:w="14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6378991E" w14:textId="56C2877F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-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2496EF2A" w14:textId="256911F2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40,000.00</w:t>
            </w:r>
          </w:p>
        </w:tc>
        <w:tc>
          <w:tcPr>
            <w:tcW w:w="1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4D61DAE0" w14:textId="618C5723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578,137.00</w:t>
            </w:r>
          </w:p>
        </w:tc>
      </w:tr>
      <w:tr w:rsidR="00E90F68" w:rsidRPr="00E90F68" w14:paraId="0DF02FB3" w14:textId="77777777" w:rsidTr="00E90F68">
        <w:trPr>
          <w:trHeight w:val="288"/>
          <w:jc w:val="center"/>
        </w:trPr>
        <w:tc>
          <w:tcPr>
            <w:tcW w:w="30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044C7C26" w14:textId="77777777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Shërbimet sociale</w:t>
            </w:r>
          </w:p>
        </w:tc>
        <w:tc>
          <w:tcPr>
            <w:tcW w:w="6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05436D03" w14:textId="77777777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3</w:t>
            </w:r>
          </w:p>
        </w:tc>
        <w:tc>
          <w:tcPr>
            <w:tcW w:w="13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06B9D034" w14:textId="3C7C6296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28,200.00</w:t>
            </w:r>
          </w:p>
        </w:tc>
        <w:tc>
          <w:tcPr>
            <w:tcW w:w="1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217512A4" w14:textId="24F709BA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2,500.00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2358D673" w14:textId="1EDCC327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2,500.00</w:t>
            </w:r>
          </w:p>
        </w:tc>
        <w:tc>
          <w:tcPr>
            <w:tcW w:w="14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2227CE73" w14:textId="67909170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-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6C27CEFE" w14:textId="16D2F075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-</w:t>
            </w:r>
          </w:p>
        </w:tc>
        <w:tc>
          <w:tcPr>
            <w:tcW w:w="1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4E3CCF79" w14:textId="2A8A392A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33,200.00</w:t>
            </w:r>
          </w:p>
        </w:tc>
      </w:tr>
      <w:tr w:rsidR="00E90F68" w:rsidRPr="00E90F68" w14:paraId="4E3FE3FD" w14:textId="77777777" w:rsidTr="00E90F68">
        <w:trPr>
          <w:trHeight w:val="288"/>
          <w:jc w:val="center"/>
        </w:trPr>
        <w:tc>
          <w:tcPr>
            <w:tcW w:w="30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5262983A" w14:textId="77777777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Kultura, Rinia dhe Sportet</w:t>
            </w:r>
          </w:p>
        </w:tc>
        <w:tc>
          <w:tcPr>
            <w:tcW w:w="6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2B76DDBC" w14:textId="77777777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6</w:t>
            </w:r>
          </w:p>
        </w:tc>
        <w:tc>
          <w:tcPr>
            <w:tcW w:w="13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0A254805" w14:textId="40F98FF2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37,512.00</w:t>
            </w:r>
          </w:p>
        </w:tc>
        <w:tc>
          <w:tcPr>
            <w:tcW w:w="1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5348AFAC" w14:textId="39831168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23,000.00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26883ABE" w14:textId="476291B1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10,000.00</w:t>
            </w:r>
          </w:p>
        </w:tc>
        <w:tc>
          <w:tcPr>
            <w:tcW w:w="14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53425C05" w14:textId="523BE24D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35,000.00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33D11338" w14:textId="758A3263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10,000.00</w:t>
            </w:r>
          </w:p>
        </w:tc>
        <w:tc>
          <w:tcPr>
            <w:tcW w:w="1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76DB184B" w14:textId="34DDBDAE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115,512.00</w:t>
            </w:r>
          </w:p>
        </w:tc>
      </w:tr>
      <w:tr w:rsidR="00E90F68" w:rsidRPr="00E90F68" w14:paraId="5E9FD373" w14:textId="77777777" w:rsidTr="00E90F68">
        <w:trPr>
          <w:trHeight w:val="288"/>
          <w:jc w:val="center"/>
        </w:trPr>
        <w:tc>
          <w:tcPr>
            <w:tcW w:w="30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041A4CBC" w14:textId="77777777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Arsimi dhe Shkenca</w:t>
            </w:r>
          </w:p>
        </w:tc>
        <w:tc>
          <w:tcPr>
            <w:tcW w:w="6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7FFE8A61" w14:textId="77777777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145</w:t>
            </w:r>
          </w:p>
        </w:tc>
        <w:tc>
          <w:tcPr>
            <w:tcW w:w="13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630FB362" w14:textId="75D00740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1,344,759.00</w:t>
            </w:r>
          </w:p>
        </w:tc>
        <w:tc>
          <w:tcPr>
            <w:tcW w:w="1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6C619216" w14:textId="18F60811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154,507.00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762E4DE0" w14:textId="6CAFEEB4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25,000.00</w:t>
            </w:r>
          </w:p>
        </w:tc>
        <w:tc>
          <w:tcPr>
            <w:tcW w:w="14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696E7C30" w14:textId="2E40FC64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40,000.00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4E9F3A58" w14:textId="60D5AD88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75,000.00</w:t>
            </w:r>
          </w:p>
        </w:tc>
        <w:tc>
          <w:tcPr>
            <w:tcW w:w="1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4D8E13F1" w14:textId="40BBE2CF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1,639,266.00</w:t>
            </w:r>
          </w:p>
        </w:tc>
      </w:tr>
      <w:tr w:rsidR="00E90F68" w:rsidRPr="00E90F68" w14:paraId="782AAE17" w14:textId="77777777" w:rsidTr="00E90F68">
        <w:trPr>
          <w:trHeight w:val="288"/>
          <w:jc w:val="center"/>
        </w:trPr>
        <w:tc>
          <w:tcPr>
            <w:tcW w:w="30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347FC6E2" w14:textId="77777777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Administrata e arsimit</w:t>
            </w:r>
          </w:p>
        </w:tc>
        <w:tc>
          <w:tcPr>
            <w:tcW w:w="6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24FD995B" w14:textId="77777777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3</w:t>
            </w:r>
          </w:p>
        </w:tc>
        <w:tc>
          <w:tcPr>
            <w:tcW w:w="13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2FF0F5F3" w14:textId="23BBFA2D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32,620.00</w:t>
            </w:r>
          </w:p>
        </w:tc>
        <w:tc>
          <w:tcPr>
            <w:tcW w:w="1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4A184677" w14:textId="348CEBE4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59,000.00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20541F3F" w14:textId="1627721B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-</w:t>
            </w:r>
          </w:p>
        </w:tc>
        <w:tc>
          <w:tcPr>
            <w:tcW w:w="14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563F6976" w14:textId="02D13758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40,000.00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59BDA8D6" w14:textId="017B140D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75,000.00</w:t>
            </w:r>
          </w:p>
        </w:tc>
        <w:tc>
          <w:tcPr>
            <w:tcW w:w="1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5C02F2D5" w14:textId="10C788D0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206,620.00</w:t>
            </w:r>
          </w:p>
        </w:tc>
      </w:tr>
      <w:tr w:rsidR="00E90F68" w:rsidRPr="00E90F68" w14:paraId="4D95D4D0" w14:textId="77777777" w:rsidTr="00E90F68">
        <w:trPr>
          <w:trHeight w:val="288"/>
          <w:jc w:val="center"/>
        </w:trPr>
        <w:tc>
          <w:tcPr>
            <w:tcW w:w="30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1865AAF5" w14:textId="77777777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Arsimi parashkollor dhe çerdhet</w:t>
            </w:r>
          </w:p>
        </w:tc>
        <w:tc>
          <w:tcPr>
            <w:tcW w:w="6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0F5C4390" w14:textId="77777777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13</w:t>
            </w:r>
          </w:p>
        </w:tc>
        <w:tc>
          <w:tcPr>
            <w:tcW w:w="13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61989485" w14:textId="740FBAF0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106,140.00</w:t>
            </w:r>
          </w:p>
        </w:tc>
        <w:tc>
          <w:tcPr>
            <w:tcW w:w="1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3586AEC6" w14:textId="3F0D432F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20,007.00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0AEBB075" w14:textId="2EE2E904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7,000.00</w:t>
            </w:r>
          </w:p>
        </w:tc>
        <w:tc>
          <w:tcPr>
            <w:tcW w:w="14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0EDD39C5" w14:textId="1A0A14A1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-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57FDF60F" w14:textId="3FBA1792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-</w:t>
            </w:r>
          </w:p>
        </w:tc>
        <w:tc>
          <w:tcPr>
            <w:tcW w:w="1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44D57FD5" w14:textId="3595D25B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133,147.00</w:t>
            </w:r>
          </w:p>
        </w:tc>
      </w:tr>
      <w:tr w:rsidR="00E90F68" w:rsidRPr="00E90F68" w14:paraId="6A866917" w14:textId="77777777" w:rsidTr="00E90F68">
        <w:trPr>
          <w:trHeight w:val="288"/>
          <w:jc w:val="center"/>
        </w:trPr>
        <w:tc>
          <w:tcPr>
            <w:tcW w:w="30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0811FF84" w14:textId="77777777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Arsimi fillor</w:t>
            </w:r>
          </w:p>
        </w:tc>
        <w:tc>
          <w:tcPr>
            <w:tcW w:w="6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35841729" w14:textId="77777777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107</w:t>
            </w:r>
          </w:p>
        </w:tc>
        <w:tc>
          <w:tcPr>
            <w:tcW w:w="13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2779602E" w14:textId="3EEDB6B6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990,507.00</w:t>
            </w:r>
          </w:p>
        </w:tc>
        <w:tc>
          <w:tcPr>
            <w:tcW w:w="1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766B87D8" w14:textId="1CD70EE8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66,500.00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16476015" w14:textId="64C90B8F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14,500.00</w:t>
            </w:r>
          </w:p>
        </w:tc>
        <w:tc>
          <w:tcPr>
            <w:tcW w:w="14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4B3DCDC9" w14:textId="534F376E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-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1D0C6ECA" w14:textId="3CE57E27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-</w:t>
            </w:r>
          </w:p>
        </w:tc>
        <w:tc>
          <w:tcPr>
            <w:tcW w:w="1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0102FBE6" w14:textId="794E4151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1,071,507.00</w:t>
            </w:r>
          </w:p>
        </w:tc>
      </w:tr>
      <w:tr w:rsidR="00E90F68" w:rsidRPr="00E90F68" w14:paraId="277CAF1E" w14:textId="77777777" w:rsidTr="00E90F68">
        <w:trPr>
          <w:trHeight w:val="288"/>
          <w:jc w:val="center"/>
        </w:trPr>
        <w:tc>
          <w:tcPr>
            <w:tcW w:w="30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417A7C96" w14:textId="77777777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Arsimi i mesëm</w:t>
            </w:r>
          </w:p>
        </w:tc>
        <w:tc>
          <w:tcPr>
            <w:tcW w:w="6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130A54A5" w14:textId="77777777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22</w:t>
            </w:r>
          </w:p>
        </w:tc>
        <w:tc>
          <w:tcPr>
            <w:tcW w:w="13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0E5E02BB" w14:textId="2EE734B1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215,492.00</w:t>
            </w:r>
          </w:p>
        </w:tc>
        <w:tc>
          <w:tcPr>
            <w:tcW w:w="1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479B69AB" w14:textId="1FA6209C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9,000.00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3031A5A1" w14:textId="32099DE8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3,500.00</w:t>
            </w:r>
          </w:p>
        </w:tc>
        <w:tc>
          <w:tcPr>
            <w:tcW w:w="14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7BABE987" w14:textId="12809F5A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-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0D2ACA4B" w14:textId="732AFB42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-</w:t>
            </w:r>
          </w:p>
        </w:tc>
        <w:tc>
          <w:tcPr>
            <w:tcW w:w="1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3D9F689A" w14:textId="441FAAE8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227,992.00</w:t>
            </w:r>
          </w:p>
        </w:tc>
      </w:tr>
      <w:tr w:rsidR="00E90F68" w:rsidRPr="00E90F68" w14:paraId="71EB5982" w14:textId="77777777" w:rsidTr="00E90F68">
        <w:trPr>
          <w:trHeight w:val="288"/>
          <w:jc w:val="center"/>
        </w:trPr>
        <w:tc>
          <w:tcPr>
            <w:tcW w:w="304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7556DD33" w14:textId="0DEC6D3C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TOTALI</w:t>
            </w:r>
          </w:p>
        </w:tc>
        <w:tc>
          <w:tcPr>
            <w:tcW w:w="645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2070DC6C" w14:textId="77777777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280</w:t>
            </w:r>
          </w:p>
        </w:tc>
        <w:tc>
          <w:tcPr>
            <w:tcW w:w="1385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24C4EE7B" w14:textId="7BA64B14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2,505,202.00</w:t>
            </w:r>
          </w:p>
        </w:tc>
        <w:tc>
          <w:tcPr>
            <w:tcW w:w="124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31FDB6F5" w14:textId="1C4E7AA8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571,000.00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6D609969" w14:textId="4B926031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111,000.00</w:t>
            </w:r>
          </w:p>
        </w:tc>
        <w:tc>
          <w:tcPr>
            <w:tcW w:w="146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2DEA4B21" w14:textId="7AB64DE8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185,000.00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1050FFBE" w14:textId="746ABCED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862,480.00</w:t>
            </w:r>
          </w:p>
        </w:tc>
        <w:tc>
          <w:tcPr>
            <w:tcW w:w="152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0E6FCBD5" w14:textId="2911FE7A" w:rsidR="00E90F68" w:rsidRPr="00E90F68" w:rsidRDefault="00E90F68" w:rsidP="00E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4,234,682.00</w:t>
            </w:r>
          </w:p>
        </w:tc>
      </w:tr>
    </w:tbl>
    <w:p w14:paraId="036099A0" w14:textId="77777777" w:rsidR="00E90F68" w:rsidRDefault="00E90F68" w:rsidP="00975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</w:rPr>
      </w:pPr>
    </w:p>
    <w:p w14:paraId="241D9036" w14:textId="77777777" w:rsidR="00975553" w:rsidRDefault="00975553" w:rsidP="00975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</w:rPr>
      </w:pPr>
    </w:p>
    <w:p w14:paraId="16F9521E" w14:textId="417054B2" w:rsidR="00975553" w:rsidRPr="00975553" w:rsidRDefault="00975553" w:rsidP="00975553">
      <w:pPr>
        <w:tabs>
          <w:tab w:val="left" w:pos="2520"/>
        </w:tabs>
        <w:rPr>
          <w:rFonts w:ascii="Times New Roman" w:eastAsia="Times New Roman" w:hAnsi="Times New Roman" w:cs="Times New Roman"/>
        </w:rPr>
        <w:sectPr w:rsidR="00975553" w:rsidRPr="00975553" w:rsidSect="00FD3939"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rFonts w:ascii="Times New Roman" w:eastAsia="Times New Roman" w:hAnsi="Times New Roman" w:cs="Times New Roman"/>
        </w:rPr>
        <w:tab/>
      </w:r>
    </w:p>
    <w:p w14:paraId="6D72CCD8" w14:textId="71D94EB5" w:rsidR="005F6E75" w:rsidRDefault="00AD616B" w:rsidP="00171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lastRenderedPageBreak/>
        <w:t>Financi</w:t>
      </w:r>
      <w:r w:rsidR="005F6E75" w:rsidRPr="005F6E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mi i investimeve kapitale komunale 202</w:t>
      </w:r>
      <w:r w:rsidR="0029602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6</w:t>
      </w:r>
      <w:r w:rsidR="005F6E75" w:rsidRPr="005F6E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-202</w:t>
      </w:r>
      <w:r w:rsidR="0029602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8</w:t>
      </w:r>
    </w:p>
    <w:p w14:paraId="682964F1" w14:textId="77777777" w:rsidR="0022095B" w:rsidRPr="002E671F" w:rsidRDefault="0022095B" w:rsidP="0017191C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  <w:lang w:val="sq-AL"/>
        </w:rPr>
      </w:pPr>
    </w:p>
    <w:tbl>
      <w:tblPr>
        <w:tblStyle w:val="TableGrid"/>
        <w:tblW w:w="11099" w:type="dxa"/>
        <w:jc w:val="center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766"/>
        <w:gridCol w:w="5155"/>
        <w:gridCol w:w="1206"/>
        <w:gridCol w:w="1371"/>
        <w:gridCol w:w="1371"/>
        <w:gridCol w:w="1371"/>
      </w:tblGrid>
      <w:tr w:rsidR="00E90F68" w:rsidRPr="00E90F68" w14:paraId="6D6CA3DC" w14:textId="4EBA3B7D" w:rsidTr="00E90F68">
        <w:trPr>
          <w:trHeight w:val="960"/>
          <w:jc w:val="center"/>
        </w:trPr>
        <w:tc>
          <w:tcPr>
            <w:tcW w:w="625" w:type="dxa"/>
            <w:shd w:val="clear" w:color="auto" w:fill="D9E2F3" w:themeFill="accent1" w:themeFillTint="33"/>
            <w:noWrap/>
            <w:hideMark/>
          </w:tcPr>
          <w:p w14:paraId="3BD994DA" w14:textId="77777777" w:rsidR="00E90F68" w:rsidRPr="00E90F68" w:rsidRDefault="00E90F68" w:rsidP="00E90F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47F035A2" w14:textId="77777777" w:rsidR="00E90F68" w:rsidRPr="00E90F68" w:rsidRDefault="00E90F68" w:rsidP="00E90F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4A9B6382" w14:textId="253045BD" w:rsidR="00E90F68" w:rsidRPr="00E90F68" w:rsidRDefault="00E90F68" w:rsidP="00E90F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Nr</w:t>
            </w:r>
          </w:p>
        </w:tc>
        <w:tc>
          <w:tcPr>
            <w:tcW w:w="5155" w:type="dxa"/>
            <w:shd w:val="clear" w:color="auto" w:fill="D9E2F3" w:themeFill="accent1" w:themeFillTint="33"/>
            <w:noWrap/>
            <w:hideMark/>
          </w:tcPr>
          <w:p w14:paraId="5323B08F" w14:textId="77777777" w:rsidR="00E90F68" w:rsidRPr="00E90F68" w:rsidRDefault="00E90F68" w:rsidP="00E90F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00CA07C5" w14:textId="77777777" w:rsidR="00E90F68" w:rsidRPr="00E90F68" w:rsidRDefault="00E90F68" w:rsidP="00E90F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464558CE" w14:textId="1B39504B" w:rsidR="00E90F68" w:rsidRPr="00E90F68" w:rsidRDefault="00E90F68" w:rsidP="00E90F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Përshkrimi</w:t>
            </w:r>
          </w:p>
        </w:tc>
        <w:tc>
          <w:tcPr>
            <w:tcW w:w="1206" w:type="dxa"/>
            <w:shd w:val="clear" w:color="auto" w:fill="D9E2F3" w:themeFill="accent1" w:themeFillTint="33"/>
          </w:tcPr>
          <w:p w14:paraId="1B647759" w14:textId="77777777" w:rsidR="00E90F68" w:rsidRPr="00E90F68" w:rsidRDefault="00E90F68" w:rsidP="00E90F6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8C988C4" w14:textId="77777777" w:rsidR="00E90F68" w:rsidRPr="00E90F68" w:rsidRDefault="00E90F68" w:rsidP="00E90F6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45AEF2C2" w14:textId="0409D8A9" w:rsidR="00E90F68" w:rsidRPr="00E90F68" w:rsidRDefault="00E90F68" w:rsidP="00E90F6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/>
                <w:bCs/>
                <w:color w:val="000000"/>
              </w:rPr>
              <w:t>Total 2026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5E636688" w14:textId="77777777" w:rsidR="00E90F68" w:rsidRPr="00E90F68" w:rsidRDefault="00E90F68" w:rsidP="00E90F6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19B3E654" w14:textId="3690719D" w:rsidR="00E90F68" w:rsidRPr="00E90F68" w:rsidRDefault="00E90F68" w:rsidP="00E90F6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/>
                <w:bCs/>
                <w:color w:val="000000"/>
              </w:rPr>
              <w:t>Total 2027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7D2FA876" w14:textId="77777777" w:rsidR="00E90F68" w:rsidRPr="00E90F68" w:rsidRDefault="00E90F68" w:rsidP="00E90F6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9891CC0" w14:textId="266148B9" w:rsidR="00E90F68" w:rsidRPr="00E90F68" w:rsidRDefault="00E90F68" w:rsidP="00E90F6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/>
                <w:bCs/>
                <w:color w:val="000000"/>
              </w:rPr>
              <w:t>Total 2028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7C20D2A1" w14:textId="0FF7C5D8" w:rsidR="00E90F68" w:rsidRPr="00E90F68" w:rsidRDefault="00E90F68" w:rsidP="00E90F6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/>
                <w:bCs/>
                <w:color w:val="000000"/>
              </w:rPr>
              <w:t>Shpenzime totale 2026-2028</w:t>
            </w:r>
          </w:p>
        </w:tc>
      </w:tr>
      <w:tr w:rsidR="00E90F68" w:rsidRPr="00E90F68" w14:paraId="159928EF" w14:textId="06347A51" w:rsidTr="00E90F68">
        <w:trPr>
          <w:trHeight w:val="300"/>
          <w:jc w:val="center"/>
        </w:trPr>
        <w:tc>
          <w:tcPr>
            <w:tcW w:w="625" w:type="dxa"/>
            <w:shd w:val="clear" w:color="auto" w:fill="D9E2F3" w:themeFill="accent1" w:themeFillTint="33"/>
            <w:noWrap/>
            <w:hideMark/>
          </w:tcPr>
          <w:p w14:paraId="156EA706" w14:textId="77777777" w:rsidR="00E90F68" w:rsidRPr="00E90F68" w:rsidRDefault="00E90F68" w:rsidP="00E90F68">
            <w:pPr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5155" w:type="dxa"/>
            <w:shd w:val="clear" w:color="auto" w:fill="D9E2F3" w:themeFill="accent1" w:themeFillTint="33"/>
            <w:noWrap/>
            <w:hideMark/>
          </w:tcPr>
          <w:p w14:paraId="510A5CDB" w14:textId="77777777" w:rsidR="00E90F68" w:rsidRPr="00E90F68" w:rsidRDefault="00E90F68" w:rsidP="00E90F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SHPENZIMET KAPITALE TOTALE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6C0245B6" w14:textId="2E39462A" w:rsidR="00E90F68" w:rsidRPr="00E90F68" w:rsidRDefault="00E90F68" w:rsidP="00E90F6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862,480.00 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2FF549B9" w14:textId="701A1978" w:rsidR="00E90F68" w:rsidRPr="00E90F68" w:rsidRDefault="00E90F68" w:rsidP="00E90F6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1,051,408.00 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264527DB" w14:textId="70D36AC6" w:rsidR="00E90F68" w:rsidRPr="00E90F68" w:rsidRDefault="00E90F68" w:rsidP="00E90F6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1,254,174.00 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4616B966" w14:textId="79B41D45" w:rsidR="00E90F68" w:rsidRPr="00E90F68" w:rsidRDefault="00E90F68" w:rsidP="00E90F6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/>
                <w:bCs/>
                <w:color w:val="000000"/>
              </w:rPr>
              <w:t>3,168,062.00</w:t>
            </w:r>
          </w:p>
        </w:tc>
      </w:tr>
      <w:tr w:rsidR="00E90F68" w:rsidRPr="00E90F68" w14:paraId="7145B009" w14:textId="0DD3DD46" w:rsidTr="00E90F68">
        <w:trPr>
          <w:trHeight w:val="300"/>
          <w:jc w:val="center"/>
        </w:trPr>
        <w:tc>
          <w:tcPr>
            <w:tcW w:w="625" w:type="dxa"/>
            <w:shd w:val="clear" w:color="auto" w:fill="D9E2F3" w:themeFill="accent1" w:themeFillTint="33"/>
            <w:noWrap/>
            <w:hideMark/>
          </w:tcPr>
          <w:p w14:paraId="2FC41777" w14:textId="77777777" w:rsidR="00E90F68" w:rsidRPr="00E90F68" w:rsidRDefault="00E90F68" w:rsidP="00E90F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  <w:t>180</w:t>
            </w:r>
          </w:p>
        </w:tc>
        <w:tc>
          <w:tcPr>
            <w:tcW w:w="5155" w:type="dxa"/>
            <w:shd w:val="clear" w:color="auto" w:fill="D9E2F3" w:themeFill="accent1" w:themeFillTint="33"/>
            <w:noWrap/>
            <w:hideMark/>
          </w:tcPr>
          <w:p w14:paraId="10C50461" w14:textId="77777777" w:rsidR="00E90F68" w:rsidRPr="00E90F68" w:rsidRDefault="00E90F68" w:rsidP="00E90F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Shërbimet publike dhe emergjenca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1188AD0A" w14:textId="4363158D" w:rsidR="00E90F68" w:rsidRPr="00E90F68" w:rsidRDefault="00E90F68" w:rsidP="00E90F6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120,000.00 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7A40264A" w14:textId="0A09E790" w:rsidR="00E90F68" w:rsidRPr="00E90F68" w:rsidRDefault="00E90F68" w:rsidP="00E90F6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145,000.00 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13DC8DFD" w14:textId="21BF66BB" w:rsidR="00E90F68" w:rsidRPr="00E90F68" w:rsidRDefault="00E90F68" w:rsidP="00E90F6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185,000.00 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0F3FE84C" w14:textId="46D4D379" w:rsidR="00E90F68" w:rsidRPr="00E90F68" w:rsidRDefault="00E90F68" w:rsidP="00E90F6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/>
                <w:bCs/>
                <w:color w:val="000000"/>
              </w:rPr>
              <w:t>450,000.00</w:t>
            </w:r>
          </w:p>
        </w:tc>
      </w:tr>
      <w:tr w:rsidR="00E90F68" w:rsidRPr="00E90F68" w14:paraId="1BC1B539" w14:textId="6DC1A3FE" w:rsidTr="00E90F68">
        <w:trPr>
          <w:trHeight w:val="300"/>
          <w:jc w:val="center"/>
        </w:trPr>
        <w:tc>
          <w:tcPr>
            <w:tcW w:w="625" w:type="dxa"/>
            <w:shd w:val="clear" w:color="auto" w:fill="D9E2F3" w:themeFill="accent1" w:themeFillTint="33"/>
            <w:noWrap/>
            <w:hideMark/>
          </w:tcPr>
          <w:p w14:paraId="197F4F52" w14:textId="77777777" w:rsidR="00E90F68" w:rsidRPr="00E90F68" w:rsidRDefault="00E90F68" w:rsidP="00E90F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  <w:t>18444</w:t>
            </w:r>
          </w:p>
        </w:tc>
        <w:tc>
          <w:tcPr>
            <w:tcW w:w="5155" w:type="dxa"/>
            <w:shd w:val="clear" w:color="auto" w:fill="D9E2F3" w:themeFill="accent1" w:themeFillTint="33"/>
            <w:noWrap/>
            <w:hideMark/>
          </w:tcPr>
          <w:p w14:paraId="4412AE9E" w14:textId="77777777" w:rsidR="00E90F68" w:rsidRPr="00E90F68" w:rsidRDefault="00E90F68" w:rsidP="00E90F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Parandalimi dhe inspektimi i zjarreve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3A15D915" w14:textId="7335D1B1" w:rsidR="00E90F68" w:rsidRPr="00E90F68" w:rsidRDefault="00E90F68" w:rsidP="00E90F6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120,000.00 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16384F8B" w14:textId="09503BBA" w:rsidR="00E90F68" w:rsidRPr="00E90F68" w:rsidRDefault="00E90F68" w:rsidP="00E90F6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145,000.00 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38BD3BB6" w14:textId="35138C92" w:rsidR="00E90F68" w:rsidRPr="00E90F68" w:rsidRDefault="00E90F68" w:rsidP="00E90F6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185,000.00 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4EA89972" w14:textId="4A0494EE" w:rsidR="00E90F68" w:rsidRPr="00E90F68" w:rsidRDefault="00E90F68" w:rsidP="00E90F6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/>
                <w:bCs/>
                <w:color w:val="000000"/>
              </w:rPr>
              <w:t>450,000.00</w:t>
            </w:r>
          </w:p>
        </w:tc>
      </w:tr>
      <w:tr w:rsidR="00E90F68" w:rsidRPr="00E90F68" w14:paraId="312F103F" w14:textId="2CD24AC6" w:rsidTr="00E90F68">
        <w:trPr>
          <w:trHeight w:val="840"/>
          <w:jc w:val="center"/>
        </w:trPr>
        <w:tc>
          <w:tcPr>
            <w:tcW w:w="625" w:type="dxa"/>
            <w:shd w:val="clear" w:color="auto" w:fill="D9E2F3" w:themeFill="accent1" w:themeFillTint="33"/>
            <w:noWrap/>
            <w:hideMark/>
          </w:tcPr>
          <w:p w14:paraId="71520CAB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1</w:t>
            </w:r>
          </w:p>
        </w:tc>
        <w:tc>
          <w:tcPr>
            <w:tcW w:w="5155" w:type="dxa"/>
            <w:shd w:val="clear" w:color="auto" w:fill="D9E2F3" w:themeFill="accent1" w:themeFillTint="33"/>
            <w:hideMark/>
          </w:tcPr>
          <w:p w14:paraId="73BCE877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Ndërtimi i rrjetit elektrik nëntokësor në zonën urbane të Hanit të Elezit (Rr.Dëshmorët e Kombit, Rr.Xhemsedin Suma, Rr.Nuri Bushi, Rr.Imri Curri)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28F74003" w14:textId="77777777" w:rsidR="00F4799C" w:rsidRDefault="00F4799C" w:rsidP="00F4799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764FA936" w14:textId="0994B52D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20,000.00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0CE3D24A" w14:textId="534965DE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30,000.00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1A8B5F61" w14:textId="44FE23A1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40,000.00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6FD6D0B8" w14:textId="15F413D1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color w:val="000000"/>
              </w:rPr>
              <w:t>90,000.00</w:t>
            </w:r>
          </w:p>
        </w:tc>
      </w:tr>
      <w:tr w:rsidR="00E90F68" w:rsidRPr="00E90F68" w14:paraId="3B63CD1F" w14:textId="4FA8F013" w:rsidTr="00E90F68">
        <w:trPr>
          <w:trHeight w:val="564"/>
          <w:jc w:val="center"/>
        </w:trPr>
        <w:tc>
          <w:tcPr>
            <w:tcW w:w="625" w:type="dxa"/>
            <w:shd w:val="clear" w:color="auto" w:fill="D9E2F3" w:themeFill="accent1" w:themeFillTint="33"/>
            <w:noWrap/>
            <w:hideMark/>
          </w:tcPr>
          <w:p w14:paraId="758F13D4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2</w:t>
            </w:r>
          </w:p>
        </w:tc>
        <w:tc>
          <w:tcPr>
            <w:tcW w:w="5155" w:type="dxa"/>
            <w:shd w:val="clear" w:color="auto" w:fill="D9E2F3" w:themeFill="accent1" w:themeFillTint="33"/>
            <w:hideMark/>
          </w:tcPr>
          <w:p w14:paraId="0CF8AF25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Ndriçimi publik në fshatrat: Pustenik, Dimcë, Gorancë, Krivenik, Seçishtë, Rezhancë, Paldenicë, Dermjak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6A97B686" w14:textId="5F0FDDA6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20,000.00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0A2E0698" w14:textId="50845725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20,000.00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1F0ED6C1" w14:textId="0080207D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35,000.00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17517964" w14:textId="4D83F8DE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color w:val="000000"/>
              </w:rPr>
              <w:t>75,000.00</w:t>
            </w:r>
          </w:p>
        </w:tc>
      </w:tr>
      <w:tr w:rsidR="00E90F68" w:rsidRPr="00E90F68" w14:paraId="30BCE04A" w14:textId="5AEF42C6" w:rsidTr="00E90F68">
        <w:trPr>
          <w:trHeight w:val="564"/>
          <w:jc w:val="center"/>
        </w:trPr>
        <w:tc>
          <w:tcPr>
            <w:tcW w:w="625" w:type="dxa"/>
            <w:shd w:val="clear" w:color="auto" w:fill="D9E2F3" w:themeFill="accent1" w:themeFillTint="33"/>
            <w:noWrap/>
            <w:hideMark/>
          </w:tcPr>
          <w:p w14:paraId="7EC0FE51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3</w:t>
            </w:r>
          </w:p>
        </w:tc>
        <w:tc>
          <w:tcPr>
            <w:tcW w:w="5155" w:type="dxa"/>
            <w:shd w:val="clear" w:color="auto" w:fill="D9E2F3" w:themeFill="accent1" w:themeFillTint="33"/>
            <w:hideMark/>
          </w:tcPr>
          <w:p w14:paraId="4CE96462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Riparimi i rrugëve dhe trotuareve në Han të Elezit dhe në fshatrat: Paldenicë, Seçishtë, Dimcë, Rezhancë, Krivenik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2326B219" w14:textId="77777777" w:rsidR="00F4799C" w:rsidRDefault="00F4799C" w:rsidP="00F4799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789147CD" w14:textId="6277A5F6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20,000.00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1673ED01" w14:textId="77B56376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20,000.00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27E195E0" w14:textId="45A889C5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30,000.00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143F7417" w14:textId="21B60E44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color w:val="000000"/>
              </w:rPr>
              <w:t>70,000.00</w:t>
            </w:r>
          </w:p>
        </w:tc>
      </w:tr>
      <w:tr w:rsidR="00E90F68" w:rsidRPr="00E90F68" w14:paraId="2454BE84" w14:textId="604E0F62" w:rsidTr="00E90F68">
        <w:trPr>
          <w:trHeight w:val="564"/>
          <w:jc w:val="center"/>
        </w:trPr>
        <w:tc>
          <w:tcPr>
            <w:tcW w:w="625" w:type="dxa"/>
            <w:shd w:val="clear" w:color="auto" w:fill="D9E2F3" w:themeFill="accent1" w:themeFillTint="33"/>
            <w:noWrap/>
            <w:hideMark/>
          </w:tcPr>
          <w:p w14:paraId="58F544CF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4</w:t>
            </w:r>
          </w:p>
        </w:tc>
        <w:tc>
          <w:tcPr>
            <w:tcW w:w="5155" w:type="dxa"/>
            <w:shd w:val="clear" w:color="auto" w:fill="D9E2F3" w:themeFill="accent1" w:themeFillTint="33"/>
            <w:hideMark/>
          </w:tcPr>
          <w:p w14:paraId="545D8F71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Shtimi i kapaciteteve të ujit në Lagjen e Re dhe në Han të Elezit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4709AE17" w14:textId="77777777" w:rsidR="00F4799C" w:rsidRDefault="00F4799C" w:rsidP="00F4799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6E724F39" w14:textId="5F0B13F6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25,000.00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208DF197" w14:textId="6EAF2C36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30,000.00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2DB103C9" w14:textId="1D76E864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35,000.00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7AEB000C" w14:textId="203425C1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color w:val="000000"/>
              </w:rPr>
              <w:t>90,000.00</w:t>
            </w:r>
          </w:p>
        </w:tc>
      </w:tr>
      <w:tr w:rsidR="00E90F68" w:rsidRPr="00E90F68" w14:paraId="3EF9FE27" w14:textId="0B992FFD" w:rsidTr="00E90F68">
        <w:trPr>
          <w:trHeight w:val="300"/>
          <w:jc w:val="center"/>
        </w:trPr>
        <w:tc>
          <w:tcPr>
            <w:tcW w:w="625" w:type="dxa"/>
            <w:shd w:val="clear" w:color="auto" w:fill="D9E2F3" w:themeFill="accent1" w:themeFillTint="33"/>
            <w:noWrap/>
            <w:hideMark/>
          </w:tcPr>
          <w:p w14:paraId="621D86F9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5</w:t>
            </w:r>
          </w:p>
        </w:tc>
        <w:tc>
          <w:tcPr>
            <w:tcW w:w="5155" w:type="dxa"/>
            <w:shd w:val="clear" w:color="auto" w:fill="D9E2F3" w:themeFill="accent1" w:themeFillTint="33"/>
            <w:noWrap/>
            <w:hideMark/>
          </w:tcPr>
          <w:p w14:paraId="21CFE111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Ndërtimi (ngritja e deponisë) për mbetje të ngurta (inerte)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76070CBE" w14:textId="77777777" w:rsidR="00F4799C" w:rsidRDefault="00F4799C" w:rsidP="00F4799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668A189A" w14:textId="4338D318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15,000.00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1EB90C30" w14:textId="77777777" w:rsidR="00F4799C" w:rsidRDefault="00F4799C" w:rsidP="00F4799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39218E8A" w14:textId="20B36F14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20,000.00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4738369D" w14:textId="77777777" w:rsidR="00F4799C" w:rsidRDefault="00F4799C" w:rsidP="00F4799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0ED2AC58" w14:textId="3F70033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25,000.00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77D9BF79" w14:textId="77777777" w:rsidR="00F4799C" w:rsidRDefault="00F4799C" w:rsidP="00F479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32A5E9F" w14:textId="546312EC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color w:val="000000"/>
              </w:rPr>
              <w:t>60,000.00</w:t>
            </w:r>
          </w:p>
        </w:tc>
      </w:tr>
      <w:tr w:rsidR="00E90F68" w:rsidRPr="00E90F68" w14:paraId="320CE6EB" w14:textId="1F40B699" w:rsidTr="00E90F68">
        <w:trPr>
          <w:trHeight w:val="840"/>
          <w:jc w:val="center"/>
        </w:trPr>
        <w:tc>
          <w:tcPr>
            <w:tcW w:w="625" w:type="dxa"/>
            <w:shd w:val="clear" w:color="auto" w:fill="D9E2F3" w:themeFill="accent1" w:themeFillTint="33"/>
            <w:noWrap/>
            <w:hideMark/>
          </w:tcPr>
          <w:p w14:paraId="1797E1C2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6</w:t>
            </w:r>
          </w:p>
        </w:tc>
        <w:tc>
          <w:tcPr>
            <w:tcW w:w="5155" w:type="dxa"/>
            <w:shd w:val="clear" w:color="auto" w:fill="D9E2F3" w:themeFill="accent1" w:themeFillTint="33"/>
            <w:hideMark/>
          </w:tcPr>
          <w:p w14:paraId="38BC7CCF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Rregullimi i krojeve publike në Han të Elezit dhe në fshatrat: Dromjak, Seçishtë, Krivenik, Dimcë, Paldenicë, Pustenik dhe Rezhancë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59483D04" w14:textId="77777777" w:rsidR="00F4799C" w:rsidRDefault="00F4799C" w:rsidP="00F4799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3A131EED" w14:textId="1BDF1C2A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20,000.00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6DAEF733" w14:textId="21D1444F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25,000.00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10A9D7B6" w14:textId="5FF09689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20,000.00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5EC52992" w14:textId="3131C19B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color w:val="000000"/>
              </w:rPr>
              <w:t>65,000.00</w:t>
            </w:r>
          </w:p>
        </w:tc>
      </w:tr>
      <w:tr w:rsidR="00E90F68" w:rsidRPr="00E90F68" w14:paraId="63E667A4" w14:textId="5CDD1B58" w:rsidTr="00F4799C">
        <w:trPr>
          <w:trHeight w:val="215"/>
          <w:jc w:val="center"/>
        </w:trPr>
        <w:tc>
          <w:tcPr>
            <w:tcW w:w="625" w:type="dxa"/>
            <w:shd w:val="clear" w:color="auto" w:fill="D9E2F3" w:themeFill="accent1" w:themeFillTint="33"/>
            <w:noWrap/>
            <w:hideMark/>
          </w:tcPr>
          <w:p w14:paraId="3403976B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480</w:t>
            </w:r>
          </w:p>
        </w:tc>
        <w:tc>
          <w:tcPr>
            <w:tcW w:w="5155" w:type="dxa"/>
            <w:shd w:val="clear" w:color="auto" w:fill="D9E2F3" w:themeFill="accent1" w:themeFillTint="33"/>
            <w:hideMark/>
          </w:tcPr>
          <w:p w14:paraId="08D4B9BE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Planifikimi i Zhvillimit Ekonomik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3F70E259" w14:textId="0FBC4804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/>
                <w:bCs/>
                <w:color w:val="000000"/>
              </w:rPr>
              <w:t>177,000.00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610D2928" w14:textId="7D71B2CF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/>
                <w:bCs/>
                <w:color w:val="000000"/>
              </w:rPr>
              <w:t>180,000.00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296ED61D" w14:textId="3F16B922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/>
                <w:bCs/>
                <w:color w:val="000000"/>
              </w:rPr>
              <w:t>80,000.00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1C18D388" w14:textId="2E9AE858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/>
                <w:bCs/>
                <w:color w:val="000000"/>
              </w:rPr>
              <w:t>437,000.00</w:t>
            </w:r>
          </w:p>
        </w:tc>
      </w:tr>
      <w:tr w:rsidR="00E90F68" w:rsidRPr="00E90F68" w14:paraId="30CAD3BA" w14:textId="07D04F6A" w:rsidTr="00E90F68">
        <w:trPr>
          <w:trHeight w:val="300"/>
          <w:jc w:val="center"/>
        </w:trPr>
        <w:tc>
          <w:tcPr>
            <w:tcW w:w="625" w:type="dxa"/>
            <w:shd w:val="clear" w:color="auto" w:fill="D9E2F3" w:themeFill="accent1" w:themeFillTint="33"/>
            <w:noWrap/>
            <w:hideMark/>
          </w:tcPr>
          <w:p w14:paraId="1922F292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48035</w:t>
            </w:r>
          </w:p>
        </w:tc>
        <w:tc>
          <w:tcPr>
            <w:tcW w:w="5155" w:type="dxa"/>
            <w:shd w:val="clear" w:color="auto" w:fill="D9E2F3" w:themeFill="accent1" w:themeFillTint="33"/>
            <w:hideMark/>
          </w:tcPr>
          <w:p w14:paraId="6CC08568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Zhvillimi Ekonomik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4472869B" w14:textId="76AC720A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/>
                <w:bCs/>
                <w:color w:val="000000"/>
              </w:rPr>
              <w:t>177,000.00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2B606E86" w14:textId="2078F853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/>
                <w:bCs/>
                <w:color w:val="000000"/>
              </w:rPr>
              <w:t>180,000.00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5D834802" w14:textId="05B373D8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/>
                <w:bCs/>
                <w:color w:val="000000"/>
              </w:rPr>
              <w:t>80,000.00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106E5EE7" w14:textId="079675E4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/>
                <w:bCs/>
                <w:color w:val="000000"/>
              </w:rPr>
              <w:t>437,000.00</w:t>
            </w:r>
          </w:p>
        </w:tc>
      </w:tr>
      <w:tr w:rsidR="00E90F68" w:rsidRPr="00E90F68" w14:paraId="0D3CEE58" w14:textId="323558B6" w:rsidTr="00E90F68">
        <w:trPr>
          <w:trHeight w:val="300"/>
          <w:jc w:val="center"/>
        </w:trPr>
        <w:tc>
          <w:tcPr>
            <w:tcW w:w="625" w:type="dxa"/>
            <w:shd w:val="clear" w:color="auto" w:fill="D9E2F3" w:themeFill="accent1" w:themeFillTint="33"/>
            <w:noWrap/>
            <w:hideMark/>
          </w:tcPr>
          <w:p w14:paraId="7029649A" w14:textId="77777777" w:rsidR="00E90F68" w:rsidRPr="00E90F68" w:rsidRDefault="00E90F68" w:rsidP="00E90F6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7</w:t>
            </w:r>
          </w:p>
        </w:tc>
        <w:tc>
          <w:tcPr>
            <w:tcW w:w="5155" w:type="dxa"/>
            <w:shd w:val="clear" w:color="auto" w:fill="D9E2F3" w:themeFill="accent1" w:themeFillTint="33"/>
            <w:hideMark/>
          </w:tcPr>
          <w:p w14:paraId="7F056692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Rregullimi i shtigeve për ecje përreth projit Dimcë-Dermjak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32361039" w14:textId="77777777" w:rsidR="00F4799C" w:rsidRDefault="00F4799C" w:rsidP="00F4799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2BFAFBAD" w14:textId="0FFB2E90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25,000.00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34D85368" w14:textId="77777777" w:rsidR="00F4799C" w:rsidRDefault="00F4799C" w:rsidP="00F4799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75EB0079" w14:textId="22085602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25,000.00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43991063" w14:textId="35F56D79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7C562A2C" w14:textId="77777777" w:rsidR="00F4799C" w:rsidRDefault="00F4799C" w:rsidP="00F479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21690BC" w14:textId="27CCF16A" w:rsidR="00E90F68" w:rsidRPr="00F4799C" w:rsidRDefault="00E90F68" w:rsidP="00F479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0F68">
              <w:rPr>
                <w:rFonts w:ascii="Times New Roman" w:hAnsi="Times New Roman" w:cs="Times New Roman"/>
                <w:color w:val="000000"/>
              </w:rPr>
              <w:t>50,000.00</w:t>
            </w:r>
          </w:p>
        </w:tc>
      </w:tr>
      <w:tr w:rsidR="00E90F68" w:rsidRPr="00E90F68" w14:paraId="1212FF6C" w14:textId="3C9F7873" w:rsidTr="00E90F68">
        <w:trPr>
          <w:trHeight w:val="564"/>
          <w:jc w:val="center"/>
        </w:trPr>
        <w:tc>
          <w:tcPr>
            <w:tcW w:w="625" w:type="dxa"/>
            <w:shd w:val="clear" w:color="auto" w:fill="D9E2F3" w:themeFill="accent1" w:themeFillTint="33"/>
            <w:noWrap/>
            <w:hideMark/>
          </w:tcPr>
          <w:p w14:paraId="759070D2" w14:textId="77777777" w:rsidR="00E90F68" w:rsidRPr="00E90F68" w:rsidRDefault="00E90F68" w:rsidP="00E90F6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8</w:t>
            </w:r>
          </w:p>
        </w:tc>
        <w:tc>
          <w:tcPr>
            <w:tcW w:w="5155" w:type="dxa"/>
            <w:shd w:val="clear" w:color="auto" w:fill="D9E2F3" w:themeFill="accent1" w:themeFillTint="33"/>
            <w:hideMark/>
          </w:tcPr>
          <w:p w14:paraId="414513BD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Rregullimi i hapësirave turistike në Han të Elezit dhe fshatrat: Pustenik, Krivenik, Seçishtë, Paldenicë, Gorancë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5711F01C" w14:textId="77777777" w:rsidR="00F4799C" w:rsidRDefault="00F4799C" w:rsidP="00F4799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60937348" w14:textId="0C9BFBA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120,000.00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3AF30DF5" w14:textId="67040886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95,000.00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4CDCA945" w14:textId="31013583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60,000.00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48569F92" w14:textId="000FE3EE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color w:val="000000"/>
              </w:rPr>
              <w:t>275,000.00</w:t>
            </w:r>
          </w:p>
        </w:tc>
      </w:tr>
      <w:tr w:rsidR="00E90F68" w:rsidRPr="00E90F68" w14:paraId="3664A6D6" w14:textId="7CA7D349" w:rsidTr="00E90F68">
        <w:trPr>
          <w:trHeight w:val="300"/>
          <w:jc w:val="center"/>
        </w:trPr>
        <w:tc>
          <w:tcPr>
            <w:tcW w:w="625" w:type="dxa"/>
            <w:shd w:val="clear" w:color="auto" w:fill="D9E2F3" w:themeFill="accent1" w:themeFillTint="33"/>
            <w:noWrap/>
            <w:hideMark/>
          </w:tcPr>
          <w:p w14:paraId="7DDD89D4" w14:textId="77777777" w:rsidR="00E90F68" w:rsidRPr="00E90F68" w:rsidRDefault="00E90F68" w:rsidP="00E90F6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9</w:t>
            </w:r>
          </w:p>
        </w:tc>
        <w:tc>
          <w:tcPr>
            <w:tcW w:w="5155" w:type="dxa"/>
            <w:shd w:val="clear" w:color="auto" w:fill="D9E2F3" w:themeFill="accent1" w:themeFillTint="33"/>
            <w:hideMark/>
          </w:tcPr>
          <w:p w14:paraId="36FD81AD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Ndërtimi i tregut ditor në Han të Elezit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35A52137" w14:textId="2D9963AA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32,000.00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337BF3DF" w14:textId="105507DA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10,000.00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4D618FB5" w14:textId="0B351E1F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10,000.00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32D2E181" w14:textId="32CF506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color w:val="000000"/>
              </w:rPr>
              <w:t>52,000.00</w:t>
            </w:r>
          </w:p>
        </w:tc>
      </w:tr>
      <w:tr w:rsidR="00E90F68" w:rsidRPr="00E90F68" w14:paraId="3A9B168E" w14:textId="564C3C8F" w:rsidTr="00E90F68">
        <w:trPr>
          <w:trHeight w:val="300"/>
          <w:jc w:val="center"/>
        </w:trPr>
        <w:tc>
          <w:tcPr>
            <w:tcW w:w="625" w:type="dxa"/>
            <w:shd w:val="clear" w:color="auto" w:fill="D9E2F3" w:themeFill="accent1" w:themeFillTint="33"/>
            <w:noWrap/>
            <w:hideMark/>
          </w:tcPr>
          <w:p w14:paraId="4E61232D" w14:textId="77777777" w:rsidR="00E90F68" w:rsidRPr="00E90F68" w:rsidRDefault="00E90F68" w:rsidP="00E90F6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10</w:t>
            </w:r>
          </w:p>
        </w:tc>
        <w:tc>
          <w:tcPr>
            <w:tcW w:w="5155" w:type="dxa"/>
            <w:shd w:val="clear" w:color="auto" w:fill="D9E2F3" w:themeFill="accent1" w:themeFillTint="33"/>
            <w:hideMark/>
          </w:tcPr>
          <w:p w14:paraId="7F8F6177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Rregullimi i sheshit të qytetit në Han të Elezit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314EC839" w14:textId="6A915C9F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4CCEBE02" w14:textId="0DA752CA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50,000.00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45BC1C2E" w14:textId="47F38A0F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10,000.00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5C91EF92" w14:textId="5B308541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color w:val="000000"/>
              </w:rPr>
              <w:t>60,000.00</w:t>
            </w:r>
          </w:p>
        </w:tc>
      </w:tr>
      <w:tr w:rsidR="00E90F68" w:rsidRPr="00E90F68" w14:paraId="190A5EB4" w14:textId="6F74F5F0" w:rsidTr="00E90F68">
        <w:trPr>
          <w:trHeight w:val="300"/>
          <w:jc w:val="center"/>
        </w:trPr>
        <w:tc>
          <w:tcPr>
            <w:tcW w:w="625" w:type="dxa"/>
            <w:shd w:val="clear" w:color="auto" w:fill="D9E2F3" w:themeFill="accent1" w:themeFillTint="33"/>
            <w:noWrap/>
            <w:hideMark/>
          </w:tcPr>
          <w:p w14:paraId="6ABD1708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  <w:t>660</w:t>
            </w:r>
          </w:p>
        </w:tc>
        <w:tc>
          <w:tcPr>
            <w:tcW w:w="5155" w:type="dxa"/>
            <w:shd w:val="clear" w:color="auto" w:fill="D9E2F3" w:themeFill="accent1" w:themeFillTint="33"/>
            <w:noWrap/>
            <w:hideMark/>
          </w:tcPr>
          <w:p w14:paraId="732978C0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Planifikimi Urban dhe Mjedisi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3F83A816" w14:textId="33FCE16B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/>
                <w:bCs/>
                <w:color w:val="000000"/>
              </w:rPr>
              <w:t>440,480.00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7E7BCF97" w14:textId="1D0D66A2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/>
                <w:bCs/>
                <w:color w:val="000000"/>
              </w:rPr>
              <w:t>481,408.00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750BE488" w14:textId="44CA556B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/>
                <w:bCs/>
                <w:color w:val="000000"/>
              </w:rPr>
              <w:t>729,174.00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644B286B" w14:textId="5673E379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/>
                <w:bCs/>
                <w:color w:val="000000"/>
              </w:rPr>
              <w:t>1,651,062.00</w:t>
            </w:r>
          </w:p>
        </w:tc>
      </w:tr>
      <w:tr w:rsidR="00E90F68" w:rsidRPr="00E90F68" w14:paraId="5C253D48" w14:textId="36EA6DDA" w:rsidTr="00E90F68">
        <w:trPr>
          <w:trHeight w:val="300"/>
          <w:jc w:val="center"/>
        </w:trPr>
        <w:tc>
          <w:tcPr>
            <w:tcW w:w="625" w:type="dxa"/>
            <w:shd w:val="clear" w:color="auto" w:fill="D9E2F3" w:themeFill="accent1" w:themeFillTint="33"/>
            <w:noWrap/>
            <w:hideMark/>
          </w:tcPr>
          <w:p w14:paraId="3DDFEA18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  <w:t>66480</w:t>
            </w:r>
          </w:p>
        </w:tc>
        <w:tc>
          <w:tcPr>
            <w:tcW w:w="5155" w:type="dxa"/>
            <w:shd w:val="clear" w:color="auto" w:fill="D9E2F3" w:themeFill="accent1" w:themeFillTint="33"/>
            <w:noWrap/>
            <w:hideMark/>
          </w:tcPr>
          <w:p w14:paraId="5224783A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Planifikimi Urban dhe Inspeksioni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0744B78C" w14:textId="0B62DF38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/>
                <w:bCs/>
                <w:color w:val="000000"/>
              </w:rPr>
              <w:t>440,480.00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6C36E20D" w14:textId="6164746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/>
                <w:bCs/>
                <w:color w:val="000000"/>
              </w:rPr>
              <w:t>481,408.00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5A851651" w14:textId="56657B40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/>
                <w:bCs/>
                <w:color w:val="000000"/>
              </w:rPr>
              <w:t>729,174.00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3EB5FE43" w14:textId="73F494E3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/>
                <w:bCs/>
                <w:color w:val="000000"/>
              </w:rPr>
              <w:t>1,651,062.00</w:t>
            </w:r>
          </w:p>
        </w:tc>
      </w:tr>
      <w:tr w:rsidR="00E90F68" w:rsidRPr="00E90F68" w14:paraId="61263986" w14:textId="0900CC0B" w:rsidTr="00E90F68">
        <w:trPr>
          <w:trHeight w:val="300"/>
          <w:jc w:val="center"/>
        </w:trPr>
        <w:tc>
          <w:tcPr>
            <w:tcW w:w="625" w:type="dxa"/>
            <w:shd w:val="clear" w:color="auto" w:fill="D9E2F3" w:themeFill="accent1" w:themeFillTint="33"/>
            <w:noWrap/>
            <w:hideMark/>
          </w:tcPr>
          <w:p w14:paraId="1BACE8CC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11</w:t>
            </w:r>
          </w:p>
        </w:tc>
        <w:tc>
          <w:tcPr>
            <w:tcW w:w="5155" w:type="dxa"/>
            <w:shd w:val="clear" w:color="auto" w:fill="D9E2F3" w:themeFill="accent1" w:themeFillTint="33"/>
            <w:noWrap/>
            <w:hideMark/>
          </w:tcPr>
          <w:p w14:paraId="536B9454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Mjete të lira për bashkëinvestime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18ED959C" w14:textId="0090EBFC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10,000.00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1637921E" w14:textId="3C7FEAEF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30,000.00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7EA073F8" w14:textId="3A15D4E1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35,000.00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6C8DF737" w14:textId="67E08AB9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color w:val="000000"/>
              </w:rPr>
              <w:t>75,000.00</w:t>
            </w:r>
          </w:p>
        </w:tc>
      </w:tr>
      <w:tr w:rsidR="00E90F68" w:rsidRPr="00E90F68" w14:paraId="6365F75E" w14:textId="2C36C5C2" w:rsidTr="00E90F68">
        <w:trPr>
          <w:trHeight w:val="852"/>
          <w:jc w:val="center"/>
        </w:trPr>
        <w:tc>
          <w:tcPr>
            <w:tcW w:w="625" w:type="dxa"/>
            <w:shd w:val="clear" w:color="auto" w:fill="D9E2F3" w:themeFill="accent1" w:themeFillTint="33"/>
            <w:noWrap/>
            <w:hideMark/>
          </w:tcPr>
          <w:p w14:paraId="1279AFCF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12</w:t>
            </w:r>
          </w:p>
        </w:tc>
        <w:tc>
          <w:tcPr>
            <w:tcW w:w="5155" w:type="dxa"/>
            <w:shd w:val="clear" w:color="auto" w:fill="D9E2F3" w:themeFill="accent1" w:themeFillTint="33"/>
            <w:hideMark/>
          </w:tcPr>
          <w:p w14:paraId="615A61C7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Rregullimi i kanalizimeve në Hanit të Elezit në Rr. Isa Berisha dhe zonat rurale në fshatrat: Paldenicë, Seçishtë, Pustenik, Gorancë, Dermjak, Krivenik, Dimcë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16B2956E" w14:textId="77777777" w:rsidR="00F4799C" w:rsidRDefault="00F4799C" w:rsidP="00F4799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36A71940" w14:textId="0DA1E3F3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20,000.00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082A875C" w14:textId="6F5D781D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25,000.00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4C4D6231" w14:textId="7E1C8D6B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40,000.00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4FBCCCEA" w14:textId="49718CC8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color w:val="000000"/>
              </w:rPr>
              <w:t>85,000.00</w:t>
            </w:r>
          </w:p>
        </w:tc>
      </w:tr>
      <w:tr w:rsidR="00E90F68" w:rsidRPr="00E90F68" w14:paraId="16F6DFCB" w14:textId="2432A941" w:rsidTr="00E90F68">
        <w:trPr>
          <w:trHeight w:val="840"/>
          <w:jc w:val="center"/>
        </w:trPr>
        <w:tc>
          <w:tcPr>
            <w:tcW w:w="625" w:type="dxa"/>
            <w:shd w:val="clear" w:color="auto" w:fill="D9E2F3" w:themeFill="accent1" w:themeFillTint="33"/>
            <w:noWrap/>
            <w:hideMark/>
          </w:tcPr>
          <w:p w14:paraId="59CFB673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13</w:t>
            </w:r>
          </w:p>
        </w:tc>
        <w:tc>
          <w:tcPr>
            <w:tcW w:w="5155" w:type="dxa"/>
            <w:shd w:val="clear" w:color="auto" w:fill="D9E2F3" w:themeFill="accent1" w:themeFillTint="33"/>
            <w:hideMark/>
          </w:tcPr>
          <w:p w14:paraId="109749CC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Ndërtimi i mureve mbrojtëse në Lagjen e Re dhe në fshatrat: Paldenicë, Dermjak, Pustenik,Seçishtë, Gorancë, Krivenik, Dimcë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717495F7" w14:textId="77777777" w:rsidR="00F4799C" w:rsidRDefault="00F4799C" w:rsidP="00F4799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0D7FBD50" w14:textId="19551E35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50,000.00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1BF918E4" w14:textId="5E724E63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55,000.00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4693D8DC" w14:textId="4EB19430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60,000.00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30F35D3E" w14:textId="394EF98D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color w:val="000000"/>
              </w:rPr>
              <w:t>165,000.00</w:t>
            </w:r>
          </w:p>
        </w:tc>
      </w:tr>
      <w:tr w:rsidR="00E90F68" w:rsidRPr="00E90F68" w14:paraId="3E4309EA" w14:textId="25C87922" w:rsidTr="00E90F68">
        <w:trPr>
          <w:trHeight w:val="564"/>
          <w:jc w:val="center"/>
        </w:trPr>
        <w:tc>
          <w:tcPr>
            <w:tcW w:w="625" w:type="dxa"/>
            <w:shd w:val="clear" w:color="auto" w:fill="D9E2F3" w:themeFill="accent1" w:themeFillTint="33"/>
            <w:noWrap/>
            <w:hideMark/>
          </w:tcPr>
          <w:p w14:paraId="17F42991" w14:textId="77777777" w:rsidR="00E90F68" w:rsidRPr="00E90F68" w:rsidRDefault="00E90F68" w:rsidP="00E90F6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lastRenderedPageBreak/>
              <w:t>14</w:t>
            </w:r>
          </w:p>
        </w:tc>
        <w:tc>
          <w:tcPr>
            <w:tcW w:w="5155" w:type="dxa"/>
            <w:shd w:val="clear" w:color="auto" w:fill="D9E2F3" w:themeFill="accent1" w:themeFillTint="33"/>
            <w:hideMark/>
          </w:tcPr>
          <w:p w14:paraId="0CEB69B5" w14:textId="77777777" w:rsidR="00E90F68" w:rsidRPr="00E90F68" w:rsidRDefault="00E90F68" w:rsidP="00E90F6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Ndërtimi i mbikalimeve në Rr. Martirët Bushi dhe Rr. Lepenci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02094222" w14:textId="3A428D82" w:rsidR="00E90F68" w:rsidRPr="00E90F68" w:rsidRDefault="00E90F68" w:rsidP="00E90F6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4F467530" w14:textId="56CB8814" w:rsidR="00E90F68" w:rsidRPr="00E90F68" w:rsidRDefault="00E90F68" w:rsidP="00E90F6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50,000.00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16DBCED7" w14:textId="2C77CC63" w:rsidR="00E90F68" w:rsidRPr="00E90F68" w:rsidRDefault="00E90F68" w:rsidP="00E90F6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60,000.00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099ADE82" w14:textId="3E9835A9" w:rsidR="00E90F68" w:rsidRPr="00E90F68" w:rsidRDefault="00E90F68" w:rsidP="00E90F6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color w:val="000000"/>
              </w:rPr>
              <w:t>110,000.00</w:t>
            </w:r>
          </w:p>
        </w:tc>
      </w:tr>
      <w:tr w:rsidR="00E90F68" w:rsidRPr="00E90F68" w14:paraId="46651C9B" w14:textId="704F59C7" w:rsidTr="00E90F68">
        <w:trPr>
          <w:trHeight w:val="564"/>
          <w:jc w:val="center"/>
        </w:trPr>
        <w:tc>
          <w:tcPr>
            <w:tcW w:w="625" w:type="dxa"/>
            <w:shd w:val="clear" w:color="auto" w:fill="D9E2F3" w:themeFill="accent1" w:themeFillTint="33"/>
            <w:noWrap/>
            <w:hideMark/>
          </w:tcPr>
          <w:p w14:paraId="2CE02296" w14:textId="77777777" w:rsidR="00E90F68" w:rsidRPr="00E90F68" w:rsidRDefault="00E90F68" w:rsidP="00E90F6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15</w:t>
            </w:r>
          </w:p>
        </w:tc>
        <w:tc>
          <w:tcPr>
            <w:tcW w:w="5155" w:type="dxa"/>
            <w:shd w:val="clear" w:color="auto" w:fill="D9E2F3" w:themeFill="accent1" w:themeFillTint="33"/>
            <w:hideMark/>
          </w:tcPr>
          <w:p w14:paraId="2D9BA065" w14:textId="77777777" w:rsidR="00E90F68" w:rsidRPr="00E90F68" w:rsidRDefault="00E90F68" w:rsidP="00E90F6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Ndërtimi i trotuareve për këmbësor në Han të Elezit në Rr. Adem Jashari, Udha e Shkronjave, Driton Loku, Paldenicë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0603733F" w14:textId="1BBABF3B" w:rsidR="00E90F68" w:rsidRPr="00E90F68" w:rsidRDefault="00E90F68" w:rsidP="00E90F6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20,000.00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6BEBF9E2" w14:textId="4DBC8BCD" w:rsidR="00E90F68" w:rsidRPr="00E90F68" w:rsidRDefault="00E90F68" w:rsidP="00E90F6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30,000.00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2F3408C7" w14:textId="65297A3D" w:rsidR="00E90F68" w:rsidRPr="00E90F68" w:rsidRDefault="00E90F68" w:rsidP="00E90F6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39,147.00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7A4179E7" w14:textId="28C82FD7" w:rsidR="00E90F68" w:rsidRPr="00E90F68" w:rsidRDefault="00E90F68" w:rsidP="00E90F6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color w:val="000000"/>
              </w:rPr>
              <w:t>89,147.00</w:t>
            </w:r>
          </w:p>
        </w:tc>
      </w:tr>
      <w:tr w:rsidR="00E90F68" w:rsidRPr="00E90F68" w14:paraId="1BD55A76" w14:textId="22E0094C" w:rsidTr="00E90F68">
        <w:trPr>
          <w:trHeight w:val="300"/>
          <w:jc w:val="center"/>
        </w:trPr>
        <w:tc>
          <w:tcPr>
            <w:tcW w:w="625" w:type="dxa"/>
            <w:shd w:val="clear" w:color="auto" w:fill="D9E2F3" w:themeFill="accent1" w:themeFillTint="33"/>
            <w:noWrap/>
            <w:hideMark/>
          </w:tcPr>
          <w:p w14:paraId="30073EF3" w14:textId="77777777" w:rsidR="00E90F68" w:rsidRPr="00E90F68" w:rsidRDefault="00E90F68" w:rsidP="00E90F6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16</w:t>
            </w:r>
          </w:p>
        </w:tc>
        <w:tc>
          <w:tcPr>
            <w:tcW w:w="5155" w:type="dxa"/>
            <w:shd w:val="clear" w:color="auto" w:fill="D9E2F3" w:themeFill="accent1" w:themeFillTint="33"/>
            <w:noWrap/>
            <w:hideMark/>
          </w:tcPr>
          <w:p w14:paraId="2106C58C" w14:textId="77777777" w:rsidR="00E90F68" w:rsidRPr="00E90F68" w:rsidRDefault="00E90F68" w:rsidP="00E90F6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Asfaltimi i rrugës transit në fshatin Gorancë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4CFD07B1" w14:textId="495536AE" w:rsidR="00E90F68" w:rsidRPr="00E90F68" w:rsidRDefault="00E90F68" w:rsidP="00E90F6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73617908" w14:textId="055483D8" w:rsidR="00E90F68" w:rsidRPr="00E90F68" w:rsidRDefault="00E90F68" w:rsidP="00E90F6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50,000.00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07D17950" w14:textId="79D2387C" w:rsidR="00E90F68" w:rsidRPr="00E90F68" w:rsidRDefault="00E90F68" w:rsidP="00E90F6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150,027.00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0A27973B" w14:textId="0199671D" w:rsidR="00E90F68" w:rsidRPr="00E90F68" w:rsidRDefault="00E90F68" w:rsidP="00E90F6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color w:val="000000"/>
              </w:rPr>
              <w:t>200,027.00</w:t>
            </w:r>
          </w:p>
        </w:tc>
      </w:tr>
      <w:tr w:rsidR="00E90F68" w:rsidRPr="00E90F68" w14:paraId="609E11AE" w14:textId="75157090" w:rsidTr="00E90F68">
        <w:trPr>
          <w:trHeight w:val="840"/>
          <w:jc w:val="center"/>
        </w:trPr>
        <w:tc>
          <w:tcPr>
            <w:tcW w:w="625" w:type="dxa"/>
            <w:shd w:val="clear" w:color="auto" w:fill="D9E2F3" w:themeFill="accent1" w:themeFillTint="33"/>
            <w:noWrap/>
            <w:hideMark/>
          </w:tcPr>
          <w:p w14:paraId="62FC2919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17</w:t>
            </w:r>
          </w:p>
        </w:tc>
        <w:tc>
          <w:tcPr>
            <w:tcW w:w="5155" w:type="dxa"/>
            <w:shd w:val="clear" w:color="auto" w:fill="D9E2F3" w:themeFill="accent1" w:themeFillTint="33"/>
            <w:hideMark/>
          </w:tcPr>
          <w:p w14:paraId="7EC181D0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Shtrimi me kubëza betoni të rrugicave dhe trotuareve në Han të Elezit dhe fshatrat: Paldenicë, Seçishtë, Dimcë, Pustenik, Gorancë, Dermjak, Rezhancë, Krivenik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0EA0A1A8" w14:textId="77777777" w:rsidR="00F4799C" w:rsidRDefault="00F4799C" w:rsidP="00F4799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70D92B95" w14:textId="77777777" w:rsidR="00F4799C" w:rsidRDefault="00F4799C" w:rsidP="00F4799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6081C015" w14:textId="06F7F0AF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70,000.00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26FB9BAC" w14:textId="77777777" w:rsidR="00F4799C" w:rsidRDefault="00F4799C" w:rsidP="00F4799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17012017" w14:textId="1D2B7386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65,000.00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4C78B8B9" w14:textId="77777777" w:rsidR="00F4799C" w:rsidRDefault="00F4799C" w:rsidP="00F4799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528C4AE2" w14:textId="217CD15E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65,000.00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719F16B8" w14:textId="77777777" w:rsidR="00F4799C" w:rsidRDefault="00F4799C" w:rsidP="00F479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B21AE2B" w14:textId="27794028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color w:val="000000"/>
              </w:rPr>
              <w:t>200,000.00</w:t>
            </w:r>
          </w:p>
        </w:tc>
      </w:tr>
      <w:tr w:rsidR="00E90F68" w:rsidRPr="00E90F68" w14:paraId="7EAEA356" w14:textId="56391C0E" w:rsidTr="00E90F68">
        <w:trPr>
          <w:trHeight w:val="840"/>
          <w:jc w:val="center"/>
        </w:trPr>
        <w:tc>
          <w:tcPr>
            <w:tcW w:w="625" w:type="dxa"/>
            <w:shd w:val="clear" w:color="auto" w:fill="D9E2F3" w:themeFill="accent1" w:themeFillTint="33"/>
            <w:noWrap/>
            <w:hideMark/>
          </w:tcPr>
          <w:p w14:paraId="2B1929A3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18</w:t>
            </w:r>
          </w:p>
        </w:tc>
        <w:tc>
          <w:tcPr>
            <w:tcW w:w="5155" w:type="dxa"/>
            <w:shd w:val="clear" w:color="auto" w:fill="D9E2F3" w:themeFill="accent1" w:themeFillTint="33"/>
            <w:hideMark/>
          </w:tcPr>
          <w:p w14:paraId="7F5F1B7E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Ndërtimi (Rihapja, zgjerimi) dhe asfaltimi i rrugëve në fshatrat: Paldenicë, Pustenik, Seçishtë, Gorancë, Dimcë, Krivenik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18BC5F04" w14:textId="77777777" w:rsidR="00F4799C" w:rsidRDefault="00F4799C" w:rsidP="00F4799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5D2994D3" w14:textId="34C2301C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65,000.00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44F96B54" w14:textId="32A46EFB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53,000.00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67F61914" w14:textId="344931C2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60,000.00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672D05DB" w14:textId="3E3B8E6A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color w:val="000000"/>
              </w:rPr>
              <w:t>178,000.00</w:t>
            </w:r>
          </w:p>
        </w:tc>
      </w:tr>
      <w:tr w:rsidR="00E90F68" w:rsidRPr="00E90F68" w14:paraId="75F04556" w14:textId="0DD34A68" w:rsidTr="00E90F68">
        <w:trPr>
          <w:trHeight w:val="840"/>
          <w:jc w:val="center"/>
        </w:trPr>
        <w:tc>
          <w:tcPr>
            <w:tcW w:w="625" w:type="dxa"/>
            <w:shd w:val="clear" w:color="auto" w:fill="D9E2F3" w:themeFill="accent1" w:themeFillTint="33"/>
            <w:noWrap/>
            <w:hideMark/>
          </w:tcPr>
          <w:p w14:paraId="0CBD101C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19</w:t>
            </w:r>
          </w:p>
        </w:tc>
        <w:tc>
          <w:tcPr>
            <w:tcW w:w="5155" w:type="dxa"/>
            <w:shd w:val="clear" w:color="auto" w:fill="D9E2F3" w:themeFill="accent1" w:themeFillTint="33"/>
            <w:hideMark/>
          </w:tcPr>
          <w:p w14:paraId="4C1FAB02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Fabrika e ujit nga ujësjellësi i Dimcës, Shtëpia e Kulturës - Imri Curri - Oborri i Komunës, Stadiumi i qytetit - Suad Brava - Shpronësim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3189219E" w14:textId="77777777" w:rsidR="00F4799C" w:rsidRDefault="00F4799C" w:rsidP="00F4799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5746D1CA" w14:textId="3F977C52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60,000.00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58F9034C" w14:textId="3D365716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20,000.00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7DDA3FB5" w14:textId="6AE68EA3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15,000.00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38CB1158" w14:textId="01060B1F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color w:val="000000"/>
              </w:rPr>
              <w:t>95,000.00</w:t>
            </w:r>
          </w:p>
        </w:tc>
      </w:tr>
      <w:tr w:rsidR="00E90F68" w:rsidRPr="00E90F68" w14:paraId="72D8CEB1" w14:textId="5FE54335" w:rsidTr="00E90F68">
        <w:trPr>
          <w:trHeight w:val="564"/>
          <w:jc w:val="center"/>
        </w:trPr>
        <w:tc>
          <w:tcPr>
            <w:tcW w:w="625" w:type="dxa"/>
            <w:shd w:val="clear" w:color="auto" w:fill="D9E2F3" w:themeFill="accent1" w:themeFillTint="33"/>
            <w:noWrap/>
            <w:hideMark/>
          </w:tcPr>
          <w:p w14:paraId="1DA0FDBD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20</w:t>
            </w:r>
          </w:p>
        </w:tc>
        <w:tc>
          <w:tcPr>
            <w:tcW w:w="5155" w:type="dxa"/>
            <w:shd w:val="clear" w:color="auto" w:fill="D9E2F3" w:themeFill="accent1" w:themeFillTint="33"/>
            <w:hideMark/>
          </w:tcPr>
          <w:p w14:paraId="4432FB20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Vendosja e ekranit për prezantimin e rezultateve të ndotjes së ajrit në rrugën Nuri Bushi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64EFDD81" w14:textId="1B6ECC43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4B12B9F9" w14:textId="5ECEC4CF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30,000.00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795022C4" w14:textId="5351B3B4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1252AEB2" w14:textId="0EECC12B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color w:val="000000"/>
              </w:rPr>
              <w:t>30,000.00</w:t>
            </w:r>
          </w:p>
        </w:tc>
      </w:tr>
      <w:tr w:rsidR="00E90F68" w:rsidRPr="00E90F68" w14:paraId="2E8A1A30" w14:textId="2BBB4DA3" w:rsidTr="00E90F68">
        <w:trPr>
          <w:trHeight w:val="840"/>
          <w:jc w:val="center"/>
        </w:trPr>
        <w:tc>
          <w:tcPr>
            <w:tcW w:w="625" w:type="dxa"/>
            <w:shd w:val="clear" w:color="auto" w:fill="D9E2F3" w:themeFill="accent1" w:themeFillTint="33"/>
            <w:noWrap/>
            <w:hideMark/>
          </w:tcPr>
          <w:p w14:paraId="027E54DD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21</w:t>
            </w:r>
          </w:p>
        </w:tc>
        <w:tc>
          <w:tcPr>
            <w:tcW w:w="5155" w:type="dxa"/>
            <w:shd w:val="clear" w:color="auto" w:fill="D9E2F3" w:themeFill="accent1" w:themeFillTint="33"/>
            <w:hideMark/>
          </w:tcPr>
          <w:p w14:paraId="438A5FCD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Rregullimi i hapësirave publike (me kubëza betoni dhe gjelbërim) ne rr. Dëshmorët e Kombit, Isa Berisha në Han të Elezit dhe rr. Gafurr Loku fsh. Paldenicë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24BA2A0A" w14:textId="77777777" w:rsidR="00F4799C" w:rsidRDefault="00F4799C" w:rsidP="00F4799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759D7E8B" w14:textId="5A2DA906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20,000.00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31EFA57A" w14:textId="7E0DF22B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10,000.00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4B9E36D6" w14:textId="25ED476B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25,000.00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0FAA9AAB" w14:textId="502EE2EF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color w:val="000000"/>
              </w:rPr>
              <w:t>55,000.00</w:t>
            </w:r>
          </w:p>
        </w:tc>
      </w:tr>
      <w:tr w:rsidR="00E90F68" w:rsidRPr="00E90F68" w14:paraId="05477FC8" w14:textId="31C4C1BE" w:rsidTr="00E90F68">
        <w:trPr>
          <w:trHeight w:val="576"/>
          <w:jc w:val="center"/>
        </w:trPr>
        <w:tc>
          <w:tcPr>
            <w:tcW w:w="625" w:type="dxa"/>
            <w:shd w:val="clear" w:color="auto" w:fill="D9E2F3" w:themeFill="accent1" w:themeFillTint="33"/>
            <w:noWrap/>
            <w:hideMark/>
          </w:tcPr>
          <w:p w14:paraId="031B5E56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22</w:t>
            </w:r>
          </w:p>
        </w:tc>
        <w:tc>
          <w:tcPr>
            <w:tcW w:w="5155" w:type="dxa"/>
            <w:shd w:val="clear" w:color="auto" w:fill="D9E2F3" w:themeFill="accent1" w:themeFillTint="33"/>
            <w:hideMark/>
          </w:tcPr>
          <w:p w14:paraId="4BFEB3E0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Rregullimi i prrockave dhe i kanalizimeve atmosferike në fshatrat: Paldenicë, Rezhancë,dhe Seçishtë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5519F7AA" w14:textId="2AF2BBEA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15,000.00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342621B5" w14:textId="0582DEB9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20,000.00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64496479" w14:textId="09CCF48C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25,000.00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6EA0569D" w14:textId="44D8742C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color w:val="000000"/>
              </w:rPr>
              <w:t>60,000.00</w:t>
            </w:r>
          </w:p>
        </w:tc>
      </w:tr>
      <w:tr w:rsidR="00E90F68" w:rsidRPr="00E90F68" w14:paraId="0C881FD0" w14:textId="3EED8CE8" w:rsidTr="00E90F68">
        <w:trPr>
          <w:trHeight w:val="300"/>
          <w:jc w:val="center"/>
        </w:trPr>
        <w:tc>
          <w:tcPr>
            <w:tcW w:w="625" w:type="dxa"/>
            <w:shd w:val="clear" w:color="auto" w:fill="D9E2F3" w:themeFill="accent1" w:themeFillTint="33"/>
            <w:noWrap/>
            <w:hideMark/>
          </w:tcPr>
          <w:p w14:paraId="22FDD940" w14:textId="77777777" w:rsidR="00E90F68" w:rsidRPr="00E90F68" w:rsidRDefault="00E90F68" w:rsidP="00E90F6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23</w:t>
            </w:r>
          </w:p>
        </w:tc>
        <w:tc>
          <w:tcPr>
            <w:tcW w:w="5155" w:type="dxa"/>
            <w:shd w:val="clear" w:color="auto" w:fill="D9E2F3" w:themeFill="accent1" w:themeFillTint="33"/>
            <w:noWrap/>
            <w:hideMark/>
          </w:tcPr>
          <w:p w14:paraId="7F842B90" w14:textId="77777777" w:rsidR="00E90F68" w:rsidRPr="00E90F68" w:rsidRDefault="00E90F68" w:rsidP="00E90F6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Ndërtimi i rrugës Nënbreg në fshatin Seçishtë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1183BDD9" w14:textId="04227FF4" w:rsidR="00E90F68" w:rsidRPr="00E90F68" w:rsidRDefault="00E90F68" w:rsidP="00E90F6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20,000.00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222C9C61" w14:textId="430785A8" w:rsidR="00E90F68" w:rsidRPr="00E90F68" w:rsidRDefault="00E90F68" w:rsidP="00E90F6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13,408.00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3A4380B7" w14:textId="08173F60" w:rsidR="00E90F68" w:rsidRPr="00E90F68" w:rsidRDefault="00E90F68" w:rsidP="00E90F6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15,000.00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4AADBD8D" w14:textId="6EAF680C" w:rsidR="00E90F68" w:rsidRPr="00E90F68" w:rsidRDefault="00E90F68" w:rsidP="00E90F6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color w:val="000000"/>
              </w:rPr>
              <w:t>48,408.00</w:t>
            </w:r>
          </w:p>
        </w:tc>
      </w:tr>
      <w:tr w:rsidR="00E90F68" w:rsidRPr="00E90F68" w14:paraId="3F7AF7DA" w14:textId="5A37837A" w:rsidTr="00E90F68">
        <w:trPr>
          <w:trHeight w:val="300"/>
          <w:jc w:val="center"/>
        </w:trPr>
        <w:tc>
          <w:tcPr>
            <w:tcW w:w="625" w:type="dxa"/>
            <w:shd w:val="clear" w:color="auto" w:fill="D9E2F3" w:themeFill="accent1" w:themeFillTint="33"/>
            <w:noWrap/>
            <w:hideMark/>
          </w:tcPr>
          <w:p w14:paraId="5D3922A3" w14:textId="77777777" w:rsidR="00E90F68" w:rsidRPr="00E90F68" w:rsidRDefault="00E90F68" w:rsidP="00E90F6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24</w:t>
            </w:r>
          </w:p>
        </w:tc>
        <w:tc>
          <w:tcPr>
            <w:tcW w:w="5155" w:type="dxa"/>
            <w:shd w:val="clear" w:color="auto" w:fill="D9E2F3" w:themeFill="accent1" w:themeFillTint="33"/>
            <w:hideMark/>
          </w:tcPr>
          <w:p w14:paraId="73F2AA44" w14:textId="77777777" w:rsidR="00E90F68" w:rsidRPr="00E90F68" w:rsidRDefault="00E90F68" w:rsidP="00E90F6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Ndërtimi  i rrugës në Seçishtë kah Vorbat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05C5B8F7" w14:textId="7CC81113" w:rsidR="00E90F68" w:rsidRPr="00E90F68" w:rsidRDefault="00E90F68" w:rsidP="00E90F6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30,000.00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4576654E" w14:textId="231334F1" w:rsidR="00E90F68" w:rsidRPr="00E90F68" w:rsidRDefault="00E90F68" w:rsidP="00E90F6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10,000.00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1EBBC78C" w14:textId="41699B22" w:rsidR="00E90F68" w:rsidRPr="00E90F68" w:rsidRDefault="00E90F68" w:rsidP="00E90F6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20,000.00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24E312BD" w14:textId="1A870856" w:rsidR="00E90F68" w:rsidRPr="00E90F68" w:rsidRDefault="00E90F68" w:rsidP="00E90F6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color w:val="000000"/>
              </w:rPr>
              <w:t>60,000.00</w:t>
            </w:r>
          </w:p>
        </w:tc>
      </w:tr>
      <w:tr w:rsidR="00E90F68" w:rsidRPr="00E90F68" w14:paraId="7E845167" w14:textId="49577F04" w:rsidTr="00E90F68">
        <w:trPr>
          <w:trHeight w:val="300"/>
          <w:jc w:val="center"/>
        </w:trPr>
        <w:tc>
          <w:tcPr>
            <w:tcW w:w="625" w:type="dxa"/>
            <w:shd w:val="clear" w:color="auto" w:fill="D9E2F3" w:themeFill="accent1" w:themeFillTint="33"/>
            <w:noWrap/>
            <w:hideMark/>
          </w:tcPr>
          <w:p w14:paraId="6B83377D" w14:textId="77777777" w:rsidR="00E90F68" w:rsidRPr="00E90F68" w:rsidRDefault="00E90F68" w:rsidP="00E90F6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25</w:t>
            </w:r>
          </w:p>
        </w:tc>
        <w:tc>
          <w:tcPr>
            <w:tcW w:w="5155" w:type="dxa"/>
            <w:shd w:val="clear" w:color="auto" w:fill="D9E2F3" w:themeFill="accent1" w:themeFillTint="33"/>
            <w:hideMark/>
          </w:tcPr>
          <w:p w14:paraId="23F4B9B0" w14:textId="77777777" w:rsidR="00E90F68" w:rsidRPr="00E90F68" w:rsidRDefault="00E90F68" w:rsidP="00E90F6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Ndërtimi i rrugës Hani i Elezit - Dimcë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7BF283BF" w14:textId="12F8A550" w:rsidR="00E90F68" w:rsidRPr="00E90F68" w:rsidRDefault="00E90F68" w:rsidP="00E90F6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407DE3D3" w14:textId="2F639B62" w:rsidR="00E90F68" w:rsidRPr="00E90F68" w:rsidRDefault="00E90F68" w:rsidP="00E90F6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3CB0AA00" w14:textId="6CFBA586" w:rsidR="00E90F68" w:rsidRPr="00E90F68" w:rsidRDefault="00E90F68" w:rsidP="00E90F6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50,000.00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60768AE7" w14:textId="42422865" w:rsidR="00E90F68" w:rsidRPr="00E90F68" w:rsidRDefault="00E90F68" w:rsidP="00E90F6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color w:val="000000"/>
              </w:rPr>
              <w:t>50,000.00</w:t>
            </w:r>
          </w:p>
        </w:tc>
      </w:tr>
      <w:tr w:rsidR="00E90F68" w:rsidRPr="00E90F68" w14:paraId="5A7ECDBE" w14:textId="7F1470F8" w:rsidTr="00E90F68">
        <w:trPr>
          <w:trHeight w:val="300"/>
          <w:jc w:val="center"/>
        </w:trPr>
        <w:tc>
          <w:tcPr>
            <w:tcW w:w="625" w:type="dxa"/>
            <w:shd w:val="clear" w:color="auto" w:fill="D9E2F3" w:themeFill="accent1" w:themeFillTint="33"/>
            <w:noWrap/>
            <w:hideMark/>
          </w:tcPr>
          <w:p w14:paraId="3533CCA9" w14:textId="77777777" w:rsidR="00E90F68" w:rsidRPr="00E90F68" w:rsidRDefault="00E90F68" w:rsidP="00E90F6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26</w:t>
            </w:r>
          </w:p>
        </w:tc>
        <w:tc>
          <w:tcPr>
            <w:tcW w:w="5155" w:type="dxa"/>
            <w:shd w:val="clear" w:color="auto" w:fill="D9E2F3" w:themeFill="accent1" w:themeFillTint="33"/>
            <w:hideMark/>
          </w:tcPr>
          <w:p w14:paraId="1F3F4D22" w14:textId="77777777" w:rsidR="00E90F68" w:rsidRPr="00E90F68" w:rsidRDefault="00E90F68" w:rsidP="00E90F6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Rregullimi i rrugës Fujza - Vërtomicë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34A06994" w14:textId="5265B9E2" w:rsidR="00E90F68" w:rsidRPr="00E90F68" w:rsidRDefault="00E90F68" w:rsidP="00E90F6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15,480.00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2D7A55E0" w14:textId="3D4245A9" w:rsidR="00E90F68" w:rsidRPr="00E90F68" w:rsidRDefault="00E90F68" w:rsidP="00E90F6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10,000.00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4E3EE8D5" w14:textId="25BA9D07" w:rsidR="00E90F68" w:rsidRPr="00E90F68" w:rsidRDefault="00E90F68" w:rsidP="00E90F6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60,000.00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5E770E44" w14:textId="62B2104F" w:rsidR="00E90F68" w:rsidRPr="00E90F68" w:rsidRDefault="00E90F68" w:rsidP="00E90F6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color w:val="000000"/>
              </w:rPr>
              <w:t>85,480.00</w:t>
            </w:r>
          </w:p>
        </w:tc>
      </w:tr>
      <w:tr w:rsidR="00E90F68" w:rsidRPr="00E90F68" w14:paraId="57A1FBDE" w14:textId="6428A088" w:rsidTr="00E90F68">
        <w:trPr>
          <w:trHeight w:val="564"/>
          <w:jc w:val="center"/>
        </w:trPr>
        <w:tc>
          <w:tcPr>
            <w:tcW w:w="625" w:type="dxa"/>
            <w:shd w:val="clear" w:color="auto" w:fill="D9E2F3" w:themeFill="accent1" w:themeFillTint="33"/>
            <w:noWrap/>
            <w:hideMark/>
          </w:tcPr>
          <w:p w14:paraId="4DA7DB4C" w14:textId="77777777" w:rsidR="00E90F68" w:rsidRPr="00E90F68" w:rsidRDefault="00E90F68" w:rsidP="00E90F6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27</w:t>
            </w:r>
          </w:p>
        </w:tc>
        <w:tc>
          <w:tcPr>
            <w:tcW w:w="5155" w:type="dxa"/>
            <w:shd w:val="clear" w:color="auto" w:fill="D9E2F3" w:themeFill="accent1" w:themeFillTint="33"/>
            <w:hideMark/>
          </w:tcPr>
          <w:p w14:paraId="3B94D451" w14:textId="77777777" w:rsidR="00E90F68" w:rsidRPr="00E90F68" w:rsidRDefault="00E90F68" w:rsidP="00E90F6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Shtrimi me zhavor i rrugës prej burimit të fshatit Seçishtë deri te Lloka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7A3F6FB4" w14:textId="77777777" w:rsidR="00F4799C" w:rsidRDefault="00F4799C" w:rsidP="00E90F6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6F5BEEF2" w14:textId="60F38B9A" w:rsidR="00E90F68" w:rsidRPr="00E90F68" w:rsidRDefault="00E90F68" w:rsidP="00E90F6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20,000.00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6C8C87B0" w14:textId="23BC1EDD" w:rsidR="00E90F68" w:rsidRPr="00E90F68" w:rsidRDefault="00E90F68" w:rsidP="00E90F6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10,000.00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05A36896" w14:textId="1F26920B" w:rsidR="00E90F68" w:rsidRPr="00E90F68" w:rsidRDefault="00E90F68" w:rsidP="00E90F6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10,000.00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68EFFA89" w14:textId="05A3FFED" w:rsidR="00E90F68" w:rsidRPr="00E90F68" w:rsidRDefault="00E90F68" w:rsidP="00E90F6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color w:val="000000"/>
              </w:rPr>
              <w:t>40,000.00</w:t>
            </w:r>
          </w:p>
        </w:tc>
      </w:tr>
      <w:tr w:rsidR="00E90F68" w:rsidRPr="00E90F68" w14:paraId="6AE9D367" w14:textId="7F9DE5CF" w:rsidTr="00E90F68">
        <w:trPr>
          <w:trHeight w:val="564"/>
          <w:jc w:val="center"/>
        </w:trPr>
        <w:tc>
          <w:tcPr>
            <w:tcW w:w="625" w:type="dxa"/>
            <w:shd w:val="clear" w:color="auto" w:fill="D9E2F3" w:themeFill="accent1" w:themeFillTint="33"/>
            <w:noWrap/>
            <w:hideMark/>
          </w:tcPr>
          <w:p w14:paraId="7C4868AF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28</w:t>
            </w:r>
          </w:p>
        </w:tc>
        <w:tc>
          <w:tcPr>
            <w:tcW w:w="5155" w:type="dxa"/>
            <w:shd w:val="clear" w:color="auto" w:fill="D9E2F3" w:themeFill="accent1" w:themeFillTint="33"/>
            <w:hideMark/>
          </w:tcPr>
          <w:p w14:paraId="00E4F724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Shtrimi me kubëza betoni i rrugës që lidh fshatin Rezhancë me varrezat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6D5D25B2" w14:textId="77777777" w:rsidR="00F4799C" w:rsidRDefault="00F4799C" w:rsidP="00F4799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0C4A5A42" w14:textId="569D589B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25,000.00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4C0E717A" w14:textId="7B8849BA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678637AC" w14:textId="1ACD8B3B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2312BCE5" w14:textId="19431710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color w:val="000000"/>
              </w:rPr>
              <w:t>25,000.00</w:t>
            </w:r>
          </w:p>
        </w:tc>
      </w:tr>
      <w:tr w:rsidR="00E90F68" w:rsidRPr="00E90F68" w14:paraId="1B31590E" w14:textId="3DD87710" w:rsidTr="00E90F68">
        <w:trPr>
          <w:trHeight w:val="300"/>
          <w:jc w:val="center"/>
        </w:trPr>
        <w:tc>
          <w:tcPr>
            <w:tcW w:w="625" w:type="dxa"/>
            <w:shd w:val="clear" w:color="auto" w:fill="D9E2F3" w:themeFill="accent1" w:themeFillTint="33"/>
            <w:noWrap/>
            <w:hideMark/>
          </w:tcPr>
          <w:p w14:paraId="27600085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  <w:t>730</w:t>
            </w:r>
          </w:p>
        </w:tc>
        <w:tc>
          <w:tcPr>
            <w:tcW w:w="5155" w:type="dxa"/>
            <w:shd w:val="clear" w:color="auto" w:fill="D9E2F3" w:themeFill="accent1" w:themeFillTint="33"/>
            <w:noWrap/>
            <w:hideMark/>
          </w:tcPr>
          <w:p w14:paraId="2900B520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Shëndetësia dhe Mirëqenia Sociale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73C1250D" w14:textId="7F158E46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/>
                <w:bCs/>
                <w:color w:val="000000"/>
              </w:rPr>
              <w:t>40,000.00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3865D3AD" w14:textId="1290C484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/>
                <w:bCs/>
                <w:color w:val="000000"/>
              </w:rPr>
              <w:t>35,000.00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345C67C5" w14:textId="79FF8FD1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/>
                <w:bCs/>
                <w:color w:val="000000"/>
              </w:rPr>
              <w:t>35,000.00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5805CAEE" w14:textId="485425C4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/>
                <w:bCs/>
                <w:color w:val="000000"/>
              </w:rPr>
              <w:t>110,000.00</w:t>
            </w:r>
          </w:p>
        </w:tc>
      </w:tr>
      <w:tr w:rsidR="00E90F68" w:rsidRPr="00E90F68" w14:paraId="2FEA1FA1" w14:textId="5F39A10D" w:rsidTr="00E90F68">
        <w:trPr>
          <w:trHeight w:val="315"/>
          <w:jc w:val="center"/>
        </w:trPr>
        <w:tc>
          <w:tcPr>
            <w:tcW w:w="625" w:type="dxa"/>
            <w:shd w:val="clear" w:color="auto" w:fill="D9E2F3" w:themeFill="accent1" w:themeFillTint="33"/>
            <w:noWrap/>
            <w:hideMark/>
          </w:tcPr>
          <w:p w14:paraId="4F322C0D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  <w:t>75050</w:t>
            </w:r>
          </w:p>
        </w:tc>
        <w:tc>
          <w:tcPr>
            <w:tcW w:w="5155" w:type="dxa"/>
            <w:shd w:val="clear" w:color="auto" w:fill="D9E2F3" w:themeFill="accent1" w:themeFillTint="33"/>
            <w:hideMark/>
          </w:tcPr>
          <w:p w14:paraId="52D0D0E1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Shërbimet e shëndetësisë primare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32B70021" w14:textId="35B4532F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/>
                <w:bCs/>
                <w:color w:val="000000"/>
              </w:rPr>
              <w:t>40,000.00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7D039760" w14:textId="1D6E8992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/>
                <w:bCs/>
                <w:color w:val="000000"/>
              </w:rPr>
              <w:t>35,000.00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40E44930" w14:textId="09B32ACE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/>
                <w:bCs/>
                <w:color w:val="000000"/>
              </w:rPr>
              <w:t>35,000.00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10D88BA2" w14:textId="454D9A66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/>
                <w:bCs/>
                <w:color w:val="000000"/>
              </w:rPr>
              <w:t>110,000.00</w:t>
            </w:r>
          </w:p>
        </w:tc>
      </w:tr>
      <w:tr w:rsidR="00E90F68" w:rsidRPr="00E90F68" w14:paraId="77375E37" w14:textId="4D29186A" w:rsidTr="00E90F68">
        <w:trPr>
          <w:trHeight w:val="564"/>
          <w:jc w:val="center"/>
        </w:trPr>
        <w:tc>
          <w:tcPr>
            <w:tcW w:w="625" w:type="dxa"/>
            <w:shd w:val="clear" w:color="auto" w:fill="D9E2F3" w:themeFill="accent1" w:themeFillTint="33"/>
            <w:noWrap/>
            <w:hideMark/>
          </w:tcPr>
          <w:p w14:paraId="43CC3FCD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29</w:t>
            </w:r>
          </w:p>
        </w:tc>
        <w:tc>
          <w:tcPr>
            <w:tcW w:w="5155" w:type="dxa"/>
            <w:shd w:val="clear" w:color="auto" w:fill="D9E2F3" w:themeFill="accent1" w:themeFillTint="33"/>
            <w:hideMark/>
          </w:tcPr>
          <w:p w14:paraId="0DB86CEC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Rregullimi i infrastrukturës së QKMF-së në Han të Elezit dhe AMF-së në fshatin Gorancë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5F2E4FDB" w14:textId="790D7449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20,000.00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60831216" w14:textId="0533600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35,000.00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3C9A80C9" w14:textId="1EC53A5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35,000.00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0E4B768A" w14:textId="64EE0AFF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color w:val="000000"/>
              </w:rPr>
              <w:t>90,000.00</w:t>
            </w:r>
          </w:p>
        </w:tc>
      </w:tr>
      <w:tr w:rsidR="00E90F68" w:rsidRPr="00E90F68" w14:paraId="76C3EB8D" w14:textId="1B28C19D" w:rsidTr="00E90F68">
        <w:trPr>
          <w:trHeight w:val="300"/>
          <w:jc w:val="center"/>
        </w:trPr>
        <w:tc>
          <w:tcPr>
            <w:tcW w:w="625" w:type="dxa"/>
            <w:shd w:val="clear" w:color="auto" w:fill="D9E2F3" w:themeFill="accent1" w:themeFillTint="33"/>
            <w:noWrap/>
            <w:hideMark/>
          </w:tcPr>
          <w:p w14:paraId="222664EF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30</w:t>
            </w:r>
          </w:p>
        </w:tc>
        <w:tc>
          <w:tcPr>
            <w:tcW w:w="5155" w:type="dxa"/>
            <w:shd w:val="clear" w:color="auto" w:fill="D9E2F3" w:themeFill="accent1" w:themeFillTint="33"/>
            <w:hideMark/>
          </w:tcPr>
          <w:p w14:paraId="35FAEF87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Pajisje me gjenerator në QKMF - Hani i Elezit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0C9C7BCC" w14:textId="548257FE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20,000.00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52E73471" w14:textId="0A058DE4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05987782" w14:textId="1A17C20E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452D770A" w14:textId="3BC80FBE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color w:val="000000"/>
              </w:rPr>
              <w:t>20,000.00</w:t>
            </w:r>
          </w:p>
        </w:tc>
      </w:tr>
      <w:tr w:rsidR="00E90F68" w:rsidRPr="00E90F68" w14:paraId="0E0D8CD3" w14:textId="0510B049" w:rsidTr="00E90F68">
        <w:trPr>
          <w:trHeight w:val="300"/>
          <w:jc w:val="center"/>
        </w:trPr>
        <w:tc>
          <w:tcPr>
            <w:tcW w:w="625" w:type="dxa"/>
            <w:shd w:val="clear" w:color="auto" w:fill="D9E2F3" w:themeFill="accent1" w:themeFillTint="33"/>
            <w:noWrap/>
            <w:hideMark/>
          </w:tcPr>
          <w:p w14:paraId="5530746F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  <w:t>920</w:t>
            </w:r>
          </w:p>
        </w:tc>
        <w:tc>
          <w:tcPr>
            <w:tcW w:w="5155" w:type="dxa"/>
            <w:shd w:val="clear" w:color="auto" w:fill="D9E2F3" w:themeFill="accent1" w:themeFillTint="33"/>
            <w:hideMark/>
          </w:tcPr>
          <w:p w14:paraId="3EEFBC09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Arsimi dhe Shkenca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0D51FB0B" w14:textId="562A78B0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/>
                <w:bCs/>
                <w:color w:val="000000"/>
              </w:rPr>
              <w:t>75,000.00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26741C68" w14:textId="570117BF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/>
                <w:bCs/>
                <w:color w:val="000000"/>
              </w:rPr>
              <w:t>170,000.00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6C47A633" w14:textId="682EE406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/>
                <w:bCs/>
                <w:color w:val="000000"/>
              </w:rPr>
              <w:t>175,000.00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13BFEFE3" w14:textId="6FD258B9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/>
                <w:bCs/>
                <w:color w:val="000000"/>
              </w:rPr>
              <w:t>420,000.00</w:t>
            </w:r>
          </w:p>
        </w:tc>
      </w:tr>
      <w:tr w:rsidR="00E90F68" w:rsidRPr="00E90F68" w14:paraId="175FEC42" w14:textId="73A2936F" w:rsidTr="00E90F68">
        <w:trPr>
          <w:trHeight w:val="300"/>
          <w:jc w:val="center"/>
        </w:trPr>
        <w:tc>
          <w:tcPr>
            <w:tcW w:w="625" w:type="dxa"/>
            <w:shd w:val="clear" w:color="auto" w:fill="D9E2F3" w:themeFill="accent1" w:themeFillTint="33"/>
            <w:noWrap/>
            <w:hideMark/>
          </w:tcPr>
          <w:p w14:paraId="38E02F2E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  <w:t>92175</w:t>
            </w:r>
          </w:p>
        </w:tc>
        <w:tc>
          <w:tcPr>
            <w:tcW w:w="5155" w:type="dxa"/>
            <w:shd w:val="clear" w:color="auto" w:fill="D9E2F3" w:themeFill="accent1" w:themeFillTint="33"/>
            <w:noWrap/>
            <w:hideMark/>
          </w:tcPr>
          <w:p w14:paraId="0B7EB7DA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Administrata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48E02BC9" w14:textId="04E744FF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/>
                <w:bCs/>
                <w:color w:val="000000"/>
              </w:rPr>
              <w:t>75,000.00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189F4505" w14:textId="5C6283BC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/>
                <w:bCs/>
                <w:color w:val="000000"/>
              </w:rPr>
              <w:t>170,000.00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3EFF0E9F" w14:textId="1220AB8D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/>
                <w:bCs/>
                <w:color w:val="000000"/>
              </w:rPr>
              <w:t>175,000.00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59E0C8FF" w14:textId="4D6A9AEA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/>
                <w:bCs/>
                <w:color w:val="000000"/>
              </w:rPr>
              <w:t>420,000.00</w:t>
            </w:r>
          </w:p>
        </w:tc>
      </w:tr>
      <w:tr w:rsidR="00E90F68" w:rsidRPr="00E90F68" w14:paraId="57CC8E3F" w14:textId="0DC5EC36" w:rsidTr="00E90F68">
        <w:trPr>
          <w:trHeight w:val="1116"/>
          <w:jc w:val="center"/>
        </w:trPr>
        <w:tc>
          <w:tcPr>
            <w:tcW w:w="625" w:type="dxa"/>
            <w:shd w:val="clear" w:color="auto" w:fill="D9E2F3" w:themeFill="accent1" w:themeFillTint="33"/>
            <w:noWrap/>
            <w:hideMark/>
          </w:tcPr>
          <w:p w14:paraId="55F74D15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31</w:t>
            </w:r>
          </w:p>
        </w:tc>
        <w:tc>
          <w:tcPr>
            <w:tcW w:w="5155" w:type="dxa"/>
            <w:shd w:val="clear" w:color="auto" w:fill="D9E2F3" w:themeFill="accent1" w:themeFillTint="33"/>
            <w:hideMark/>
          </w:tcPr>
          <w:p w14:paraId="0B5505CF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Rregullimi i infrastrukturës shkollore në SHML - Dardania, SHFMU - Ilaz Thaçi, SHFMU - Kështjella e Diturisë dhe SHMFU - Veli Ballazhi, Institucioni Parashkollor "Ardhmëria"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7FD4CA23" w14:textId="77777777" w:rsidR="00F4799C" w:rsidRDefault="00F4799C" w:rsidP="00F4799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7428AD0E" w14:textId="77777777" w:rsidR="00F4799C" w:rsidRDefault="00F4799C" w:rsidP="00F4799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2087C617" w14:textId="36BFB8FE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55,000.00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5D092A2B" w14:textId="23CAD39D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60,000.00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7D0387FD" w14:textId="1E0023D9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55,000.00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0B84F3D8" w14:textId="292B213F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/>
                <w:bCs/>
                <w:color w:val="000000"/>
              </w:rPr>
              <w:t>170,000.00</w:t>
            </w:r>
          </w:p>
        </w:tc>
      </w:tr>
      <w:tr w:rsidR="00E90F68" w:rsidRPr="00E90F68" w14:paraId="37813059" w14:textId="76A72D7F" w:rsidTr="00E90F68">
        <w:trPr>
          <w:trHeight w:val="300"/>
          <w:jc w:val="center"/>
        </w:trPr>
        <w:tc>
          <w:tcPr>
            <w:tcW w:w="625" w:type="dxa"/>
            <w:shd w:val="clear" w:color="auto" w:fill="D9E2F3" w:themeFill="accent1" w:themeFillTint="33"/>
            <w:noWrap/>
            <w:hideMark/>
          </w:tcPr>
          <w:p w14:paraId="5D79DBA1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32</w:t>
            </w:r>
          </w:p>
        </w:tc>
        <w:tc>
          <w:tcPr>
            <w:tcW w:w="5155" w:type="dxa"/>
            <w:shd w:val="clear" w:color="auto" w:fill="D9E2F3" w:themeFill="accent1" w:themeFillTint="33"/>
            <w:hideMark/>
          </w:tcPr>
          <w:p w14:paraId="26EB9A0A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Pajisja me gjenerator në Qendrën Kulturore "Imri Curri"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5A180A55" w14:textId="77777777" w:rsidR="00F4799C" w:rsidRDefault="00F4799C" w:rsidP="00F4799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7A50AA7F" w14:textId="4482698C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20,000.00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3AD97C82" w14:textId="30800660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06896983" w14:textId="12355CAA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56AD73A6" w14:textId="77777777" w:rsidR="00F4799C" w:rsidRDefault="00F4799C" w:rsidP="00F479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60A16A2E" w14:textId="7E3F1FA2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/>
                <w:bCs/>
                <w:color w:val="000000"/>
              </w:rPr>
              <w:t>20,000.00</w:t>
            </w:r>
          </w:p>
        </w:tc>
      </w:tr>
      <w:tr w:rsidR="00E90F68" w:rsidRPr="00E90F68" w14:paraId="257BD3A4" w14:textId="0D827AF3" w:rsidTr="00E90F68">
        <w:trPr>
          <w:trHeight w:val="300"/>
          <w:jc w:val="center"/>
        </w:trPr>
        <w:tc>
          <w:tcPr>
            <w:tcW w:w="625" w:type="dxa"/>
            <w:shd w:val="clear" w:color="auto" w:fill="D9E2F3" w:themeFill="accent1" w:themeFillTint="33"/>
            <w:noWrap/>
            <w:hideMark/>
          </w:tcPr>
          <w:p w14:paraId="7228A171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33</w:t>
            </w:r>
          </w:p>
        </w:tc>
        <w:tc>
          <w:tcPr>
            <w:tcW w:w="5155" w:type="dxa"/>
            <w:shd w:val="clear" w:color="auto" w:fill="D9E2F3" w:themeFill="accent1" w:themeFillTint="33"/>
            <w:hideMark/>
          </w:tcPr>
          <w:p w14:paraId="1BC66776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Ndërtimi i objektit të SHFMU në Lagjen e Re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3869A503" w14:textId="1F35734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41D4F31A" w14:textId="30C3E76D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50,000.00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61B37359" w14:textId="0A35F898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50,000.00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3C5D1614" w14:textId="53964A62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/>
                <w:bCs/>
                <w:color w:val="000000"/>
              </w:rPr>
              <w:t>100,000.00</w:t>
            </w:r>
          </w:p>
        </w:tc>
      </w:tr>
      <w:tr w:rsidR="00E90F68" w:rsidRPr="00E90F68" w14:paraId="3E974F5A" w14:textId="47B07628" w:rsidTr="00E90F68">
        <w:trPr>
          <w:trHeight w:val="300"/>
          <w:jc w:val="center"/>
        </w:trPr>
        <w:tc>
          <w:tcPr>
            <w:tcW w:w="625" w:type="dxa"/>
            <w:shd w:val="clear" w:color="auto" w:fill="D9E2F3" w:themeFill="accent1" w:themeFillTint="33"/>
            <w:noWrap/>
            <w:hideMark/>
          </w:tcPr>
          <w:p w14:paraId="1A72EFC8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lastRenderedPageBreak/>
              <w:t>34</w:t>
            </w:r>
          </w:p>
        </w:tc>
        <w:tc>
          <w:tcPr>
            <w:tcW w:w="5155" w:type="dxa"/>
            <w:shd w:val="clear" w:color="auto" w:fill="D9E2F3" w:themeFill="accent1" w:themeFillTint="33"/>
            <w:hideMark/>
          </w:tcPr>
          <w:p w14:paraId="46657DC9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Ndërtimi i çerdhes në Lagjen e Re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43DBBFD6" w14:textId="1E0C1A72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2B3DAA84" w14:textId="4D8B4CB0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60,000.00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57B1AD3A" w14:textId="3B23E4E5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70,000.00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564F7BF6" w14:textId="150ECAB9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/>
                <w:bCs/>
                <w:color w:val="000000"/>
              </w:rPr>
              <w:t>130,000.00</w:t>
            </w:r>
          </w:p>
        </w:tc>
      </w:tr>
      <w:tr w:rsidR="00E90F68" w:rsidRPr="00E90F68" w14:paraId="1D48A2D1" w14:textId="7383C83C" w:rsidTr="00E90F68">
        <w:trPr>
          <w:trHeight w:val="300"/>
          <w:jc w:val="center"/>
        </w:trPr>
        <w:tc>
          <w:tcPr>
            <w:tcW w:w="625" w:type="dxa"/>
            <w:shd w:val="clear" w:color="auto" w:fill="D9E2F3" w:themeFill="accent1" w:themeFillTint="33"/>
            <w:noWrap/>
            <w:hideMark/>
          </w:tcPr>
          <w:p w14:paraId="4DCC0689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850</w:t>
            </w:r>
          </w:p>
        </w:tc>
        <w:tc>
          <w:tcPr>
            <w:tcW w:w="5155" w:type="dxa"/>
            <w:shd w:val="clear" w:color="auto" w:fill="D9E2F3" w:themeFill="accent1" w:themeFillTint="33"/>
            <w:hideMark/>
          </w:tcPr>
          <w:p w14:paraId="2723A39E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Kulturë, Rini dhe Sport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22517547" w14:textId="32B66653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/>
                <w:bCs/>
                <w:color w:val="000000"/>
              </w:rPr>
              <w:t>10,000.00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046CDFDC" w14:textId="445E4F41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/>
                <w:bCs/>
                <w:color w:val="000000"/>
              </w:rPr>
              <w:t>40,000.00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21A5AC5F" w14:textId="0AD184B0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/>
                <w:bCs/>
                <w:color w:val="000000"/>
              </w:rPr>
              <w:t>50,000.00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6BD274AD" w14:textId="52701AFC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/>
                <w:bCs/>
                <w:color w:val="000000"/>
              </w:rPr>
              <w:t>100,000.00</w:t>
            </w:r>
          </w:p>
        </w:tc>
      </w:tr>
      <w:tr w:rsidR="00E90F68" w:rsidRPr="00E90F68" w14:paraId="2E64F095" w14:textId="31C816CE" w:rsidTr="00E90F68">
        <w:trPr>
          <w:trHeight w:val="300"/>
          <w:jc w:val="center"/>
        </w:trPr>
        <w:tc>
          <w:tcPr>
            <w:tcW w:w="625" w:type="dxa"/>
            <w:shd w:val="clear" w:color="auto" w:fill="D9E2F3" w:themeFill="accent1" w:themeFillTint="33"/>
            <w:noWrap/>
            <w:hideMark/>
          </w:tcPr>
          <w:p w14:paraId="069AEB2B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85035</w:t>
            </w:r>
          </w:p>
        </w:tc>
        <w:tc>
          <w:tcPr>
            <w:tcW w:w="5155" w:type="dxa"/>
            <w:shd w:val="clear" w:color="auto" w:fill="D9E2F3" w:themeFill="accent1" w:themeFillTint="33"/>
            <w:hideMark/>
          </w:tcPr>
          <w:p w14:paraId="003C8FCA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Shërbimet Kulturore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63FB8D20" w14:textId="700F286A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/>
                <w:bCs/>
                <w:color w:val="000000"/>
              </w:rPr>
              <w:t>10,000.00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524C2BE1" w14:textId="4319546F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/>
                <w:bCs/>
                <w:color w:val="000000"/>
              </w:rPr>
              <w:t>40,000.00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641FADD5" w14:textId="6121138F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/>
                <w:bCs/>
                <w:color w:val="000000"/>
              </w:rPr>
              <w:t>50,000.00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2E5CABC8" w14:textId="38ECFD0E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/>
                <w:bCs/>
                <w:color w:val="000000"/>
              </w:rPr>
              <w:t>100,000.00</w:t>
            </w:r>
          </w:p>
        </w:tc>
      </w:tr>
      <w:tr w:rsidR="00E90F68" w:rsidRPr="00E90F68" w14:paraId="1EAD5AD8" w14:textId="76B4C764" w:rsidTr="00E90F68">
        <w:trPr>
          <w:trHeight w:val="300"/>
          <w:jc w:val="center"/>
        </w:trPr>
        <w:tc>
          <w:tcPr>
            <w:tcW w:w="625" w:type="dxa"/>
            <w:shd w:val="clear" w:color="auto" w:fill="D9E2F3" w:themeFill="accent1" w:themeFillTint="33"/>
            <w:noWrap/>
            <w:hideMark/>
          </w:tcPr>
          <w:p w14:paraId="716E4072" w14:textId="77777777" w:rsidR="00E90F68" w:rsidRPr="00F21B10" w:rsidRDefault="00E90F68" w:rsidP="00F479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F21B10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35</w:t>
            </w:r>
          </w:p>
        </w:tc>
        <w:tc>
          <w:tcPr>
            <w:tcW w:w="5155" w:type="dxa"/>
            <w:shd w:val="clear" w:color="auto" w:fill="D9E2F3" w:themeFill="accent1" w:themeFillTint="33"/>
            <w:hideMark/>
          </w:tcPr>
          <w:p w14:paraId="2DAB461C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Rikonstruksionimi i stadiumit "Suad Brava"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6C2DE393" w14:textId="6CAE38EF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7AAE8EA4" w14:textId="75343742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15,000.00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10524835" w14:textId="71C5D140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20,000.00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3FA8DCEA" w14:textId="6271B314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/>
                <w:bCs/>
                <w:color w:val="000000"/>
              </w:rPr>
              <w:t>35,000.00</w:t>
            </w:r>
          </w:p>
        </w:tc>
      </w:tr>
      <w:tr w:rsidR="00E90F68" w:rsidRPr="00E90F68" w14:paraId="4F59A162" w14:textId="3EEFFF0D" w:rsidTr="00E90F68">
        <w:trPr>
          <w:trHeight w:val="564"/>
          <w:jc w:val="center"/>
        </w:trPr>
        <w:tc>
          <w:tcPr>
            <w:tcW w:w="625" w:type="dxa"/>
            <w:shd w:val="clear" w:color="auto" w:fill="D9E2F3" w:themeFill="accent1" w:themeFillTint="33"/>
            <w:noWrap/>
            <w:hideMark/>
          </w:tcPr>
          <w:p w14:paraId="7B82CC8F" w14:textId="77777777" w:rsidR="00E90F68" w:rsidRPr="00F21B10" w:rsidRDefault="00E90F68" w:rsidP="00F479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F21B10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36</w:t>
            </w:r>
          </w:p>
        </w:tc>
        <w:tc>
          <w:tcPr>
            <w:tcW w:w="5155" w:type="dxa"/>
            <w:shd w:val="clear" w:color="auto" w:fill="D9E2F3" w:themeFill="accent1" w:themeFillTint="33"/>
            <w:hideMark/>
          </w:tcPr>
          <w:p w14:paraId="63EE7DB6" w14:textId="7777777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90F68">
              <w:rPr>
                <w:rFonts w:ascii="Times New Roman" w:eastAsia="Times New Roman" w:hAnsi="Times New Roman" w:cs="Times New Roman"/>
                <w:color w:val="000000"/>
                <w:kern w:val="0"/>
              </w:rPr>
              <w:t>Renovimi i sallave sportive në shkollat: SHFMU "Ilaz Thaçi", SHFMU "Veli Ballazhi" dhe "Kështjella e Diturisë"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7F55437F" w14:textId="1AFF2C07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10,000.00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59141DAB" w14:textId="66DFD544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25,000.00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18186812" w14:textId="52513EC2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Cs/>
                <w:color w:val="000000"/>
              </w:rPr>
              <w:t>30,000.00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7B5D45EA" w14:textId="4FB09536" w:rsidR="00E90F68" w:rsidRPr="00E90F68" w:rsidRDefault="00E90F68" w:rsidP="00F479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90F68">
              <w:rPr>
                <w:rFonts w:ascii="Times New Roman" w:hAnsi="Times New Roman" w:cs="Times New Roman"/>
                <w:b/>
                <w:bCs/>
                <w:color w:val="000000"/>
              </w:rPr>
              <w:t>65,000.00</w:t>
            </w:r>
          </w:p>
        </w:tc>
      </w:tr>
    </w:tbl>
    <w:p w14:paraId="45579C37" w14:textId="758AE625" w:rsidR="00C25AAC" w:rsidRDefault="00C25AAC" w:rsidP="0003560F">
      <w:pPr>
        <w:rPr>
          <w:lang w:val="sq-AL"/>
        </w:rPr>
      </w:pPr>
    </w:p>
    <w:p w14:paraId="0549D6CA" w14:textId="77777777" w:rsidR="00CC68FA" w:rsidRDefault="00CC68FA" w:rsidP="00B11D42">
      <w:pPr>
        <w:tabs>
          <w:tab w:val="left" w:pos="864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07186C" w14:textId="77777777" w:rsidR="00263E82" w:rsidRDefault="00263E82" w:rsidP="00B11D42">
      <w:pPr>
        <w:tabs>
          <w:tab w:val="left" w:pos="864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8EFAD3" w14:textId="308812E7" w:rsidR="009A56C6" w:rsidRPr="008C3D63" w:rsidRDefault="00B904C9" w:rsidP="00B11D42">
      <w:pPr>
        <w:tabs>
          <w:tab w:val="left" w:pos="864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D63">
        <w:rPr>
          <w:rFonts w:ascii="Times New Roman" w:hAnsi="Times New Roman" w:cs="Times New Roman"/>
          <w:b/>
          <w:bCs/>
          <w:sz w:val="24"/>
          <w:szCs w:val="24"/>
        </w:rPr>
        <w:t xml:space="preserve">Projeksioni i të Hyrave </w:t>
      </w:r>
      <w:r w:rsidR="00020F91">
        <w:rPr>
          <w:rFonts w:ascii="Times New Roman" w:hAnsi="Times New Roman" w:cs="Times New Roman"/>
          <w:b/>
          <w:bCs/>
          <w:sz w:val="24"/>
          <w:szCs w:val="24"/>
        </w:rPr>
        <w:t>Vetanake për vitet 202</w:t>
      </w:r>
      <w:r w:rsidR="00B0608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20F91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B06081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5F39507C" w14:textId="77777777" w:rsidR="00B904C9" w:rsidRDefault="00B904C9" w:rsidP="006C186D">
      <w:pPr>
        <w:tabs>
          <w:tab w:val="left" w:pos="864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4-Accent51"/>
        <w:tblW w:w="11140" w:type="dxa"/>
        <w:jc w:val="center"/>
        <w:shd w:val="clear" w:color="auto" w:fill="E8F2FC"/>
        <w:tblLook w:val="04A0" w:firstRow="1" w:lastRow="0" w:firstColumn="1" w:lastColumn="0" w:noHBand="0" w:noVBand="1"/>
      </w:tblPr>
      <w:tblGrid>
        <w:gridCol w:w="1680"/>
        <w:gridCol w:w="3520"/>
        <w:gridCol w:w="1485"/>
        <w:gridCol w:w="1485"/>
        <w:gridCol w:w="1485"/>
        <w:gridCol w:w="1485"/>
      </w:tblGrid>
      <w:tr w:rsidR="00FC1F5C" w:rsidRPr="00FC1F5C" w14:paraId="4D5B4FF3" w14:textId="77777777" w:rsidTr="00FC1F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shd w:val="clear" w:color="auto" w:fill="E8F2FC"/>
            <w:noWrap/>
            <w:hideMark/>
          </w:tcPr>
          <w:p w14:paraId="412A5FCF" w14:textId="77777777" w:rsidR="00B06081" w:rsidRPr="00FC1F5C" w:rsidRDefault="00B06081" w:rsidP="00E90F6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Nr</w:t>
            </w:r>
          </w:p>
        </w:tc>
        <w:tc>
          <w:tcPr>
            <w:tcW w:w="3520" w:type="dxa"/>
            <w:shd w:val="clear" w:color="auto" w:fill="E8F2FC"/>
            <w:noWrap/>
            <w:hideMark/>
          </w:tcPr>
          <w:p w14:paraId="11AA675C" w14:textId="77777777" w:rsidR="00B06081" w:rsidRPr="00FC1F5C" w:rsidRDefault="00B06081" w:rsidP="00E90F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Përshkrimi</w:t>
            </w:r>
          </w:p>
        </w:tc>
        <w:tc>
          <w:tcPr>
            <w:tcW w:w="1485" w:type="dxa"/>
            <w:shd w:val="clear" w:color="auto" w:fill="E8F2FC"/>
            <w:hideMark/>
          </w:tcPr>
          <w:p w14:paraId="514C021F" w14:textId="77777777" w:rsidR="00B06081" w:rsidRPr="00FC1F5C" w:rsidRDefault="00B06081" w:rsidP="00E90F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Viti </w:t>
            </w:r>
          </w:p>
          <w:p w14:paraId="6BFA46F6" w14:textId="77777777" w:rsidR="00B06081" w:rsidRPr="00FC1F5C" w:rsidRDefault="00B06081" w:rsidP="00E90F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2025</w:t>
            </w:r>
          </w:p>
        </w:tc>
        <w:tc>
          <w:tcPr>
            <w:tcW w:w="1485" w:type="dxa"/>
            <w:shd w:val="clear" w:color="auto" w:fill="E8F2FC"/>
            <w:hideMark/>
          </w:tcPr>
          <w:p w14:paraId="7B813430" w14:textId="77777777" w:rsidR="00B06081" w:rsidRPr="00FC1F5C" w:rsidRDefault="00B06081" w:rsidP="00E90F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Planifikimi 2026</w:t>
            </w:r>
          </w:p>
        </w:tc>
        <w:tc>
          <w:tcPr>
            <w:tcW w:w="1485" w:type="dxa"/>
            <w:shd w:val="clear" w:color="auto" w:fill="E8F2FC"/>
            <w:hideMark/>
          </w:tcPr>
          <w:p w14:paraId="26BC1A23" w14:textId="77777777" w:rsidR="00B06081" w:rsidRPr="00FC1F5C" w:rsidRDefault="00B06081" w:rsidP="00E90F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Vlerësimi 2027</w:t>
            </w:r>
          </w:p>
        </w:tc>
        <w:tc>
          <w:tcPr>
            <w:tcW w:w="1485" w:type="dxa"/>
            <w:shd w:val="clear" w:color="auto" w:fill="E8F2FC"/>
            <w:hideMark/>
          </w:tcPr>
          <w:p w14:paraId="19437E91" w14:textId="77777777" w:rsidR="00B06081" w:rsidRPr="00FC1F5C" w:rsidRDefault="00B06081" w:rsidP="00E90F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Vlerësimi 2028</w:t>
            </w:r>
          </w:p>
        </w:tc>
      </w:tr>
      <w:tr w:rsidR="00FC1F5C" w:rsidRPr="00FC1F5C" w14:paraId="71BB1813" w14:textId="77777777" w:rsidTr="00FC1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shd w:val="clear" w:color="auto" w:fill="E8F2FC"/>
            <w:noWrap/>
            <w:hideMark/>
          </w:tcPr>
          <w:p w14:paraId="4316FDDC" w14:textId="77777777" w:rsidR="00B06081" w:rsidRPr="00FC1F5C" w:rsidRDefault="00B06081" w:rsidP="00E90F6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520" w:type="dxa"/>
            <w:shd w:val="clear" w:color="auto" w:fill="E8F2FC"/>
            <w:noWrap/>
            <w:hideMark/>
          </w:tcPr>
          <w:p w14:paraId="6415BFEE" w14:textId="77777777" w:rsidR="00B06081" w:rsidRPr="00FC1F5C" w:rsidRDefault="00B06081" w:rsidP="00E90F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3170F397" w14:textId="77777777" w:rsidR="00B06081" w:rsidRPr="00FC1F5C" w:rsidRDefault="00B06081" w:rsidP="00E90F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553DB16F" w14:textId="77777777" w:rsidR="00B06081" w:rsidRPr="00FC1F5C" w:rsidRDefault="00B06081" w:rsidP="00E90F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3ACCD766" w14:textId="77777777" w:rsidR="00B06081" w:rsidRPr="00FC1F5C" w:rsidRDefault="00B06081" w:rsidP="00E90F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5F70495B" w14:textId="77777777" w:rsidR="00B06081" w:rsidRPr="00FC1F5C" w:rsidRDefault="00B06081" w:rsidP="00E90F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</w:tr>
      <w:tr w:rsidR="00FC1F5C" w:rsidRPr="00FC1F5C" w14:paraId="07C9C654" w14:textId="77777777" w:rsidTr="00FC1F5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shd w:val="clear" w:color="auto" w:fill="E8F2FC"/>
            <w:noWrap/>
            <w:hideMark/>
          </w:tcPr>
          <w:p w14:paraId="31977FF3" w14:textId="77777777" w:rsidR="00B06081" w:rsidRPr="00FC1F5C" w:rsidRDefault="00B06081" w:rsidP="00E90F6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20" w:type="dxa"/>
            <w:shd w:val="clear" w:color="auto" w:fill="E8F2FC"/>
            <w:noWrap/>
            <w:hideMark/>
          </w:tcPr>
          <w:p w14:paraId="1C144840" w14:textId="77777777" w:rsidR="00B06081" w:rsidRPr="00FC1F5C" w:rsidRDefault="00B06081" w:rsidP="00E90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TË HYRAT KOMUNALE TOTALE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512470DA" w14:textId="77777777" w:rsidR="00B06081" w:rsidRPr="00FC1F5C" w:rsidRDefault="00B06081" w:rsidP="00E90F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3,615,457.00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7E0A3E79" w14:textId="77777777" w:rsidR="00B06081" w:rsidRPr="00FC1F5C" w:rsidRDefault="00B06081" w:rsidP="00E90F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4,234,682.00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6A0B9BA5" w14:textId="77777777" w:rsidR="00B06081" w:rsidRPr="00FC1F5C" w:rsidRDefault="00B06081" w:rsidP="00E90F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4,457,136.00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5A5EF42A" w14:textId="77777777" w:rsidR="00B06081" w:rsidRPr="00FC1F5C" w:rsidRDefault="00B06081" w:rsidP="00E90F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4,672,491.00</w:t>
            </w:r>
          </w:p>
        </w:tc>
      </w:tr>
      <w:tr w:rsidR="00FC1F5C" w:rsidRPr="00FC1F5C" w14:paraId="353961BD" w14:textId="77777777" w:rsidTr="00FC1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shd w:val="clear" w:color="auto" w:fill="E8F2FC"/>
            <w:noWrap/>
            <w:hideMark/>
          </w:tcPr>
          <w:p w14:paraId="62CA3A8A" w14:textId="77777777" w:rsidR="00B06081" w:rsidRPr="00FC1F5C" w:rsidRDefault="00B06081" w:rsidP="00E90F6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520" w:type="dxa"/>
            <w:shd w:val="clear" w:color="auto" w:fill="E8F2FC"/>
            <w:noWrap/>
            <w:hideMark/>
          </w:tcPr>
          <w:p w14:paraId="0334988D" w14:textId="77777777" w:rsidR="00B06081" w:rsidRPr="00FC1F5C" w:rsidRDefault="00B06081" w:rsidP="00E90F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TË HYRAT VETANAKE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13CD1997" w14:textId="77777777" w:rsidR="00B06081" w:rsidRPr="00FC1F5C" w:rsidRDefault="00B06081" w:rsidP="00E90F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339,719.00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3E5B6A75" w14:textId="77777777" w:rsidR="00B06081" w:rsidRPr="00FC1F5C" w:rsidRDefault="00B06081" w:rsidP="00E90F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356,720.00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540FE89D" w14:textId="77777777" w:rsidR="00B06081" w:rsidRPr="00FC1F5C" w:rsidRDefault="00B06081" w:rsidP="00E90F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383,895.00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015BAE46" w14:textId="77777777" w:rsidR="00B06081" w:rsidRPr="00FC1F5C" w:rsidRDefault="00B06081" w:rsidP="00E90F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385,721.00</w:t>
            </w:r>
          </w:p>
        </w:tc>
      </w:tr>
      <w:tr w:rsidR="00FC1F5C" w:rsidRPr="00FC1F5C" w14:paraId="3BCF2491" w14:textId="77777777" w:rsidTr="00FC1F5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shd w:val="clear" w:color="auto" w:fill="E8F2FC"/>
            <w:noWrap/>
            <w:hideMark/>
          </w:tcPr>
          <w:p w14:paraId="75674CE0" w14:textId="77777777" w:rsidR="00B06081" w:rsidRPr="00FC1F5C" w:rsidRDefault="00B06081" w:rsidP="00E90F6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3520" w:type="dxa"/>
            <w:shd w:val="clear" w:color="auto" w:fill="E8F2FC"/>
            <w:noWrap/>
            <w:hideMark/>
          </w:tcPr>
          <w:p w14:paraId="16FD2214" w14:textId="77777777" w:rsidR="00B06081" w:rsidRPr="00FC1F5C" w:rsidRDefault="00B06081" w:rsidP="00E90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Tatimi në pronë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08111C55" w14:textId="77777777" w:rsidR="00B06081" w:rsidRPr="00FC1F5C" w:rsidRDefault="00B06081" w:rsidP="00E90F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135,908.00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13788BCC" w14:textId="77777777" w:rsidR="00B06081" w:rsidRPr="00FC1F5C" w:rsidRDefault="00B06081" w:rsidP="00E90F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149,145.00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1297DD51" w14:textId="77777777" w:rsidR="00B06081" w:rsidRPr="00FC1F5C" w:rsidRDefault="00B06081" w:rsidP="00E90F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159,958.00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6712157C" w14:textId="77777777" w:rsidR="00B06081" w:rsidRPr="00FC1F5C" w:rsidRDefault="00B06081" w:rsidP="00E90F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161,558.00</w:t>
            </w:r>
          </w:p>
        </w:tc>
      </w:tr>
      <w:tr w:rsidR="00FC1F5C" w:rsidRPr="00FC1F5C" w14:paraId="6139F6CD" w14:textId="77777777" w:rsidTr="00FC1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shd w:val="clear" w:color="auto" w:fill="E8F2FC"/>
            <w:noWrap/>
            <w:hideMark/>
          </w:tcPr>
          <w:p w14:paraId="14BAA572" w14:textId="77777777" w:rsidR="00B06081" w:rsidRPr="00FC1F5C" w:rsidRDefault="00B06081" w:rsidP="00E90F6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3520" w:type="dxa"/>
            <w:shd w:val="clear" w:color="auto" w:fill="E8F2FC"/>
            <w:noWrap/>
            <w:hideMark/>
          </w:tcPr>
          <w:p w14:paraId="5769C6ED" w14:textId="77777777" w:rsidR="00B06081" w:rsidRPr="00FC1F5C" w:rsidRDefault="00B06081" w:rsidP="00E90F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Tatimi në tokë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10015B00" w14:textId="77777777" w:rsidR="00B06081" w:rsidRPr="00FC1F5C" w:rsidRDefault="00B06081" w:rsidP="00E90F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31,970.00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1F0CCDDE" w14:textId="77777777" w:rsidR="00B06081" w:rsidRPr="00FC1F5C" w:rsidRDefault="00B06081" w:rsidP="00E90F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37,392.00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49428056" w14:textId="77777777" w:rsidR="00B06081" w:rsidRPr="00FC1F5C" w:rsidRDefault="00B06081" w:rsidP="00E90F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45,245.00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1742300C" w14:textId="77777777" w:rsidR="00B06081" w:rsidRPr="00FC1F5C" w:rsidRDefault="00B06081" w:rsidP="00E90F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45,471.00</w:t>
            </w:r>
          </w:p>
        </w:tc>
      </w:tr>
      <w:tr w:rsidR="00FC1F5C" w:rsidRPr="00FC1F5C" w14:paraId="2A65B5D0" w14:textId="77777777" w:rsidTr="00FC1F5C">
        <w:trPr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shd w:val="clear" w:color="auto" w:fill="E8F2FC"/>
            <w:noWrap/>
            <w:hideMark/>
          </w:tcPr>
          <w:p w14:paraId="07BE0A64" w14:textId="77777777" w:rsidR="00B06081" w:rsidRPr="00FC1F5C" w:rsidRDefault="00B06081" w:rsidP="00E90F6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1.1.3</w:t>
            </w:r>
          </w:p>
        </w:tc>
        <w:tc>
          <w:tcPr>
            <w:tcW w:w="3520" w:type="dxa"/>
            <w:shd w:val="clear" w:color="auto" w:fill="E8F2FC"/>
            <w:noWrap/>
            <w:hideMark/>
          </w:tcPr>
          <w:p w14:paraId="20A151BB" w14:textId="77777777" w:rsidR="00B06081" w:rsidRPr="00FC1F5C" w:rsidRDefault="00B06081" w:rsidP="00E90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Taksat Komunale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67C93DA3" w14:textId="77777777" w:rsidR="00B06081" w:rsidRPr="00FC1F5C" w:rsidRDefault="00B06081" w:rsidP="00E90F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144,841.00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2E4E73BA" w14:textId="77777777" w:rsidR="00B06081" w:rsidRPr="00FC1F5C" w:rsidRDefault="00B06081" w:rsidP="00E90F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143,183.00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12BA746D" w14:textId="77777777" w:rsidR="00B06081" w:rsidRPr="00FC1F5C" w:rsidRDefault="00B06081" w:rsidP="00E90F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147,360.00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16112283" w14:textId="77777777" w:rsidR="00B06081" w:rsidRPr="00FC1F5C" w:rsidRDefault="00B06081" w:rsidP="00E90F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146,039.00</w:t>
            </w:r>
          </w:p>
        </w:tc>
      </w:tr>
      <w:tr w:rsidR="00FC1F5C" w:rsidRPr="00FC1F5C" w14:paraId="5A5093E1" w14:textId="77777777" w:rsidTr="00FC1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shd w:val="clear" w:color="auto" w:fill="E8F2FC"/>
            <w:noWrap/>
            <w:hideMark/>
          </w:tcPr>
          <w:p w14:paraId="1AFCA536" w14:textId="77777777" w:rsidR="00B06081" w:rsidRPr="00FC1F5C" w:rsidRDefault="00B06081" w:rsidP="00E90F6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20" w:type="dxa"/>
            <w:shd w:val="clear" w:color="auto" w:fill="E8F2FC"/>
            <w:noWrap/>
            <w:hideMark/>
          </w:tcPr>
          <w:p w14:paraId="695AC861" w14:textId="77777777" w:rsidR="00B06081" w:rsidRPr="00FC1F5C" w:rsidRDefault="00B06081" w:rsidP="00E90F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Licencat dhe lejet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5AC6212E" w14:textId="77777777" w:rsidR="00B06081" w:rsidRPr="00FC1F5C" w:rsidRDefault="00B06081" w:rsidP="00E90F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5,841.00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7DF3C9C8" w14:textId="77777777" w:rsidR="00B06081" w:rsidRPr="00FC1F5C" w:rsidRDefault="00B06081" w:rsidP="00E90F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5,800.00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0C910953" w14:textId="77777777" w:rsidR="00B06081" w:rsidRPr="00FC1F5C" w:rsidRDefault="00B06081" w:rsidP="00E90F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5,600.00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331F7ECF" w14:textId="77777777" w:rsidR="00B06081" w:rsidRPr="00FC1F5C" w:rsidRDefault="00B06081" w:rsidP="00E90F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5,039.00</w:t>
            </w:r>
          </w:p>
        </w:tc>
      </w:tr>
      <w:tr w:rsidR="00FC1F5C" w:rsidRPr="00FC1F5C" w14:paraId="22C82DC8" w14:textId="77777777" w:rsidTr="00FC1F5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shd w:val="clear" w:color="auto" w:fill="E8F2FC"/>
            <w:noWrap/>
            <w:hideMark/>
          </w:tcPr>
          <w:p w14:paraId="6045FFEB" w14:textId="77777777" w:rsidR="00B06081" w:rsidRPr="00FC1F5C" w:rsidRDefault="00B06081" w:rsidP="00E90F6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20" w:type="dxa"/>
            <w:shd w:val="clear" w:color="auto" w:fill="E8F2FC"/>
            <w:noWrap/>
            <w:hideMark/>
          </w:tcPr>
          <w:p w14:paraId="7877CAC3" w14:textId="77777777" w:rsidR="00B06081" w:rsidRPr="00FC1F5C" w:rsidRDefault="00B06081" w:rsidP="00E90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Certifikatat dhe dokumentet zyrtare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26AA865D" w14:textId="77777777" w:rsidR="00B06081" w:rsidRPr="00FC1F5C" w:rsidRDefault="00B06081" w:rsidP="00E90F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8,000.00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76F16A6F" w14:textId="77777777" w:rsidR="00B06081" w:rsidRPr="00FC1F5C" w:rsidRDefault="00B06081" w:rsidP="00E90F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8,000.00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268D1D8F" w14:textId="77777777" w:rsidR="00B06081" w:rsidRPr="00FC1F5C" w:rsidRDefault="00B06081" w:rsidP="00E90F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8,000.00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0EB3CCE5" w14:textId="77777777" w:rsidR="00B06081" w:rsidRPr="00FC1F5C" w:rsidRDefault="00B06081" w:rsidP="00E90F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8,000.00</w:t>
            </w:r>
          </w:p>
        </w:tc>
      </w:tr>
      <w:tr w:rsidR="00FC1F5C" w:rsidRPr="00FC1F5C" w14:paraId="01F3262F" w14:textId="77777777" w:rsidTr="00FC1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shd w:val="clear" w:color="auto" w:fill="E8F2FC"/>
            <w:noWrap/>
          </w:tcPr>
          <w:p w14:paraId="74911B28" w14:textId="77777777" w:rsidR="00B06081" w:rsidRPr="00FC1F5C" w:rsidRDefault="00B06081" w:rsidP="00E90F6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20" w:type="dxa"/>
            <w:shd w:val="clear" w:color="auto" w:fill="E8F2FC"/>
            <w:noWrap/>
          </w:tcPr>
          <w:p w14:paraId="7DCBD500" w14:textId="77777777" w:rsidR="00B06081" w:rsidRPr="00FC1F5C" w:rsidRDefault="00B06081" w:rsidP="00E90F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Taksat e pajisjeve motorike</w:t>
            </w:r>
          </w:p>
        </w:tc>
        <w:tc>
          <w:tcPr>
            <w:tcW w:w="1485" w:type="dxa"/>
            <w:shd w:val="clear" w:color="auto" w:fill="E8F2FC"/>
            <w:noWrap/>
          </w:tcPr>
          <w:p w14:paraId="0FB74A6D" w14:textId="77777777" w:rsidR="00B06081" w:rsidRPr="00FC1F5C" w:rsidRDefault="00B06081" w:rsidP="00E90F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21,000.00</w:t>
            </w:r>
          </w:p>
        </w:tc>
        <w:tc>
          <w:tcPr>
            <w:tcW w:w="1485" w:type="dxa"/>
            <w:shd w:val="clear" w:color="auto" w:fill="E8F2FC"/>
            <w:noWrap/>
          </w:tcPr>
          <w:p w14:paraId="05AF00F5" w14:textId="77777777" w:rsidR="00B06081" w:rsidRPr="00FC1F5C" w:rsidRDefault="00B06081" w:rsidP="00E90F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20,000.00</w:t>
            </w:r>
          </w:p>
        </w:tc>
        <w:tc>
          <w:tcPr>
            <w:tcW w:w="1485" w:type="dxa"/>
            <w:shd w:val="clear" w:color="auto" w:fill="E8F2FC"/>
            <w:noWrap/>
          </w:tcPr>
          <w:p w14:paraId="25C463D0" w14:textId="77777777" w:rsidR="00B06081" w:rsidRPr="00FC1F5C" w:rsidRDefault="00B06081" w:rsidP="00E90F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21,560.00</w:t>
            </w:r>
          </w:p>
        </w:tc>
        <w:tc>
          <w:tcPr>
            <w:tcW w:w="1485" w:type="dxa"/>
            <w:shd w:val="clear" w:color="auto" w:fill="E8F2FC"/>
            <w:noWrap/>
          </w:tcPr>
          <w:p w14:paraId="7A35EDDD" w14:textId="77777777" w:rsidR="00B06081" w:rsidRPr="00FC1F5C" w:rsidRDefault="00B06081" w:rsidP="00E90F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21,000.00</w:t>
            </w:r>
          </w:p>
        </w:tc>
      </w:tr>
      <w:tr w:rsidR="00FC1F5C" w:rsidRPr="00FC1F5C" w14:paraId="0DF9AFDA" w14:textId="77777777" w:rsidTr="00FC1F5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shd w:val="clear" w:color="auto" w:fill="E8F2FC"/>
            <w:noWrap/>
            <w:hideMark/>
          </w:tcPr>
          <w:p w14:paraId="680C85F4" w14:textId="77777777" w:rsidR="00B06081" w:rsidRPr="00FC1F5C" w:rsidRDefault="00B06081" w:rsidP="00E90F6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20" w:type="dxa"/>
            <w:shd w:val="clear" w:color="auto" w:fill="E8F2FC"/>
            <w:noWrap/>
            <w:hideMark/>
          </w:tcPr>
          <w:p w14:paraId="437BDA47" w14:textId="77777777" w:rsidR="00B06081" w:rsidRPr="00FC1F5C" w:rsidRDefault="00B06081" w:rsidP="00E90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Lejet per ndërtesa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0171B136" w14:textId="77777777" w:rsidR="00B06081" w:rsidRPr="00FC1F5C" w:rsidRDefault="00B06081" w:rsidP="00E90F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25,000.00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01A808D0" w14:textId="77777777" w:rsidR="00B06081" w:rsidRPr="00FC1F5C" w:rsidRDefault="00B06081" w:rsidP="00E90F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24,383.00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2666BCC7" w14:textId="77777777" w:rsidR="00B06081" w:rsidRPr="00FC1F5C" w:rsidRDefault="00B06081" w:rsidP="00E90F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25,200.00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4E64D985" w14:textId="77777777" w:rsidR="00B06081" w:rsidRPr="00FC1F5C" w:rsidRDefault="00B06081" w:rsidP="00E90F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25,000.00</w:t>
            </w:r>
          </w:p>
        </w:tc>
      </w:tr>
      <w:tr w:rsidR="00FC1F5C" w:rsidRPr="00FC1F5C" w14:paraId="283AD215" w14:textId="77777777" w:rsidTr="00FC1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shd w:val="clear" w:color="auto" w:fill="E8F2FC"/>
            <w:noWrap/>
            <w:hideMark/>
          </w:tcPr>
          <w:p w14:paraId="3EDC08F9" w14:textId="77777777" w:rsidR="00B06081" w:rsidRPr="00FC1F5C" w:rsidRDefault="00B06081" w:rsidP="00E90F6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20" w:type="dxa"/>
            <w:shd w:val="clear" w:color="auto" w:fill="E8F2FC"/>
            <w:noWrap/>
            <w:hideMark/>
          </w:tcPr>
          <w:p w14:paraId="1A511CF0" w14:textId="77777777" w:rsidR="00B06081" w:rsidRPr="00FC1F5C" w:rsidRDefault="00B06081" w:rsidP="00E90F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Taksat tjera komunale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34CFECEB" w14:textId="77777777" w:rsidR="00B06081" w:rsidRPr="00FC1F5C" w:rsidRDefault="00B06081" w:rsidP="00E90F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85,000.00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27C0C306" w14:textId="77777777" w:rsidR="00B06081" w:rsidRPr="00FC1F5C" w:rsidRDefault="00B06081" w:rsidP="00E90F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85,000.00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290673E1" w14:textId="77777777" w:rsidR="00B06081" w:rsidRPr="00FC1F5C" w:rsidRDefault="00B06081" w:rsidP="00E90F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87,000.00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77984924" w14:textId="77777777" w:rsidR="00B06081" w:rsidRPr="00FC1F5C" w:rsidRDefault="00B06081" w:rsidP="00E90F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87,000.00</w:t>
            </w:r>
          </w:p>
        </w:tc>
      </w:tr>
      <w:tr w:rsidR="00FC1F5C" w:rsidRPr="00FC1F5C" w14:paraId="4B21B7DA" w14:textId="77777777" w:rsidTr="00FC1F5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shd w:val="clear" w:color="auto" w:fill="E8F2FC"/>
            <w:noWrap/>
            <w:hideMark/>
          </w:tcPr>
          <w:p w14:paraId="739A2799" w14:textId="77777777" w:rsidR="00B06081" w:rsidRPr="00FC1F5C" w:rsidRDefault="00B06081" w:rsidP="00E90F6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1.1.4</w:t>
            </w:r>
          </w:p>
        </w:tc>
        <w:tc>
          <w:tcPr>
            <w:tcW w:w="3520" w:type="dxa"/>
            <w:shd w:val="clear" w:color="auto" w:fill="E8F2FC"/>
            <w:noWrap/>
            <w:hideMark/>
          </w:tcPr>
          <w:p w14:paraId="7BEE0CB8" w14:textId="77777777" w:rsidR="00B06081" w:rsidRPr="00FC1F5C" w:rsidRDefault="00B06081" w:rsidP="00E90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Ngarkesat Komunale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766ADDA9" w14:textId="77777777" w:rsidR="00B06081" w:rsidRPr="00FC1F5C" w:rsidRDefault="00B06081" w:rsidP="00E90F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27,000.00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7CC68F1B" w14:textId="77777777" w:rsidR="00B06081" w:rsidRPr="00FC1F5C" w:rsidRDefault="00B06081" w:rsidP="00E90F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27,000.00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686D029B" w14:textId="77777777" w:rsidR="00B06081" w:rsidRPr="00FC1F5C" w:rsidRDefault="00B06081" w:rsidP="00E90F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31,332.00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3909E1A1" w14:textId="77777777" w:rsidR="00B06081" w:rsidRPr="00FC1F5C" w:rsidRDefault="00B06081" w:rsidP="00E90F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32,653.00</w:t>
            </w:r>
          </w:p>
        </w:tc>
      </w:tr>
      <w:tr w:rsidR="00FC1F5C" w:rsidRPr="00FC1F5C" w14:paraId="16B4DDC3" w14:textId="77777777" w:rsidTr="00FC1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shd w:val="clear" w:color="auto" w:fill="E8F2FC"/>
            <w:noWrap/>
            <w:hideMark/>
          </w:tcPr>
          <w:p w14:paraId="67970248" w14:textId="77777777" w:rsidR="00B06081" w:rsidRPr="00FC1F5C" w:rsidRDefault="00B06081" w:rsidP="00E90F6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20" w:type="dxa"/>
            <w:shd w:val="clear" w:color="auto" w:fill="E8F2FC"/>
            <w:noWrap/>
            <w:hideMark/>
          </w:tcPr>
          <w:p w14:paraId="273F6710" w14:textId="77777777" w:rsidR="00B06081" w:rsidRPr="00FC1F5C" w:rsidRDefault="00B06081" w:rsidP="00E90F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Të hyrat nga qiraja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4661A1A9" w14:textId="77777777" w:rsidR="00B06081" w:rsidRPr="00FC1F5C" w:rsidRDefault="00B06081" w:rsidP="00E90F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3,000.00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2A83A9DC" w14:textId="77777777" w:rsidR="00B06081" w:rsidRPr="00FC1F5C" w:rsidRDefault="00B06081" w:rsidP="00E90F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3,000.00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1818321E" w14:textId="77777777" w:rsidR="00B06081" w:rsidRPr="00FC1F5C" w:rsidRDefault="00B06081" w:rsidP="00E90F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4,000.00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73477087" w14:textId="77777777" w:rsidR="00B06081" w:rsidRPr="00FC1F5C" w:rsidRDefault="00B06081" w:rsidP="00E90F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4,500.00</w:t>
            </w:r>
          </w:p>
        </w:tc>
      </w:tr>
      <w:tr w:rsidR="00FC1F5C" w:rsidRPr="00FC1F5C" w14:paraId="793B64C5" w14:textId="77777777" w:rsidTr="00FC1F5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shd w:val="clear" w:color="auto" w:fill="E8F2FC"/>
            <w:noWrap/>
            <w:hideMark/>
          </w:tcPr>
          <w:p w14:paraId="33AC38EA" w14:textId="77777777" w:rsidR="00B06081" w:rsidRPr="00FC1F5C" w:rsidRDefault="00B06081" w:rsidP="00E90F6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20" w:type="dxa"/>
            <w:shd w:val="clear" w:color="auto" w:fill="E8F2FC"/>
            <w:noWrap/>
            <w:hideMark/>
          </w:tcPr>
          <w:p w14:paraId="71102FE3" w14:textId="77777777" w:rsidR="00B06081" w:rsidRPr="00FC1F5C" w:rsidRDefault="00B06081" w:rsidP="00E90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Bashkë-pagesat për arsim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150A113A" w14:textId="77777777" w:rsidR="00B06081" w:rsidRPr="00FC1F5C" w:rsidRDefault="00B06081" w:rsidP="00E90F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15,000.00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3E4397FE" w14:textId="77777777" w:rsidR="00B06081" w:rsidRPr="00FC1F5C" w:rsidRDefault="00B06081" w:rsidP="00E90F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15,000.00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422AAE69" w14:textId="77777777" w:rsidR="00B06081" w:rsidRPr="00FC1F5C" w:rsidRDefault="00B06081" w:rsidP="00E90F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16,000.00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7A71C264" w14:textId="77777777" w:rsidR="00B06081" w:rsidRPr="00FC1F5C" w:rsidRDefault="00B06081" w:rsidP="00E90F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16,500.00</w:t>
            </w:r>
          </w:p>
        </w:tc>
      </w:tr>
      <w:tr w:rsidR="00FC1F5C" w:rsidRPr="00FC1F5C" w14:paraId="7C5EB292" w14:textId="77777777" w:rsidTr="00FC1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shd w:val="clear" w:color="auto" w:fill="E8F2FC"/>
            <w:noWrap/>
            <w:hideMark/>
          </w:tcPr>
          <w:p w14:paraId="7695CFE0" w14:textId="77777777" w:rsidR="00B06081" w:rsidRPr="00FC1F5C" w:rsidRDefault="00B06081" w:rsidP="00E90F6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20" w:type="dxa"/>
            <w:shd w:val="clear" w:color="auto" w:fill="E8F2FC"/>
            <w:noWrap/>
            <w:hideMark/>
          </w:tcPr>
          <w:p w14:paraId="6C54BD62" w14:textId="77777777" w:rsidR="00B06081" w:rsidRPr="00FC1F5C" w:rsidRDefault="00B06081" w:rsidP="00E90F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Bashkë-pagesat për shëndetësi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09F23FEE" w14:textId="77777777" w:rsidR="00B06081" w:rsidRPr="00FC1F5C" w:rsidRDefault="00B06081" w:rsidP="00E90F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9,000.00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2D8B5385" w14:textId="77777777" w:rsidR="00B06081" w:rsidRPr="00FC1F5C" w:rsidRDefault="00B06081" w:rsidP="00E90F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9,000.00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550FE8C9" w14:textId="77777777" w:rsidR="00B06081" w:rsidRPr="00FC1F5C" w:rsidRDefault="00B06081" w:rsidP="00E90F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11,332.00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5E624E32" w14:textId="77777777" w:rsidR="00B06081" w:rsidRPr="00FC1F5C" w:rsidRDefault="00B06081" w:rsidP="00E90F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11,653.00</w:t>
            </w:r>
          </w:p>
        </w:tc>
      </w:tr>
      <w:tr w:rsidR="00FC1F5C" w:rsidRPr="00FC1F5C" w14:paraId="5EAB56C1" w14:textId="77777777" w:rsidTr="00FC1F5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shd w:val="clear" w:color="auto" w:fill="E8F2FC"/>
            <w:noWrap/>
            <w:hideMark/>
          </w:tcPr>
          <w:p w14:paraId="57F58625" w14:textId="77777777" w:rsidR="00B06081" w:rsidRPr="00FC1F5C" w:rsidRDefault="00B06081" w:rsidP="00E90F6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20" w:type="dxa"/>
            <w:shd w:val="clear" w:color="auto" w:fill="E8F2FC"/>
            <w:noWrap/>
            <w:hideMark/>
          </w:tcPr>
          <w:p w14:paraId="01282412" w14:textId="77777777" w:rsidR="00B06081" w:rsidRPr="00FC1F5C" w:rsidRDefault="00B06081" w:rsidP="00E90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Ngarkesat rregullatore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7BFC65DB" w14:textId="77777777" w:rsidR="00B06081" w:rsidRPr="00FC1F5C" w:rsidRDefault="00B06081" w:rsidP="00E90F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1CDC7FEB" w14:textId="77777777" w:rsidR="00B06081" w:rsidRPr="00FC1F5C" w:rsidRDefault="00B06081" w:rsidP="00E90F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5224150A" w14:textId="77777777" w:rsidR="00B06081" w:rsidRPr="00FC1F5C" w:rsidRDefault="00B06081" w:rsidP="00E90F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4D480317" w14:textId="77777777" w:rsidR="00B06081" w:rsidRPr="00FC1F5C" w:rsidRDefault="00B06081" w:rsidP="00E90F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1F5C" w:rsidRPr="00FC1F5C" w14:paraId="771274A3" w14:textId="77777777" w:rsidTr="00FC1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shd w:val="clear" w:color="auto" w:fill="E8F2FC"/>
            <w:noWrap/>
            <w:hideMark/>
          </w:tcPr>
          <w:p w14:paraId="6E2C1C4D" w14:textId="77777777" w:rsidR="00B06081" w:rsidRPr="00FC1F5C" w:rsidRDefault="00B06081" w:rsidP="00E90F6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20" w:type="dxa"/>
            <w:shd w:val="clear" w:color="auto" w:fill="E8F2FC"/>
            <w:noWrap/>
            <w:hideMark/>
          </w:tcPr>
          <w:p w14:paraId="2D46AF48" w14:textId="77777777" w:rsidR="00B06081" w:rsidRPr="00FC1F5C" w:rsidRDefault="00B06081" w:rsidP="00E90F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Ngarkesat tjera komunale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0BBF39FF" w14:textId="77777777" w:rsidR="00B06081" w:rsidRPr="00FC1F5C" w:rsidRDefault="00B06081" w:rsidP="00E90F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4220A123" w14:textId="77777777" w:rsidR="00B06081" w:rsidRPr="00FC1F5C" w:rsidRDefault="00B06081" w:rsidP="00E90F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78D289B6" w14:textId="77777777" w:rsidR="00B06081" w:rsidRPr="00FC1F5C" w:rsidRDefault="00B06081" w:rsidP="00E90F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3FFA0EB1" w14:textId="77777777" w:rsidR="00B06081" w:rsidRPr="00FC1F5C" w:rsidRDefault="00B06081" w:rsidP="00E90F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1F5C" w:rsidRPr="00FC1F5C" w14:paraId="5A7BFDC9" w14:textId="77777777" w:rsidTr="00FC1F5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shd w:val="clear" w:color="auto" w:fill="E8F2FC"/>
            <w:noWrap/>
            <w:hideMark/>
          </w:tcPr>
          <w:p w14:paraId="1A119757" w14:textId="77777777" w:rsidR="00B06081" w:rsidRPr="00FC1F5C" w:rsidRDefault="00B06081" w:rsidP="00E90F6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1.1.5</w:t>
            </w:r>
          </w:p>
        </w:tc>
        <w:tc>
          <w:tcPr>
            <w:tcW w:w="3520" w:type="dxa"/>
            <w:shd w:val="clear" w:color="auto" w:fill="E8F2FC"/>
            <w:noWrap/>
            <w:hideMark/>
          </w:tcPr>
          <w:p w14:paraId="2FE79D7A" w14:textId="77777777" w:rsidR="00B06081" w:rsidRPr="00FC1F5C" w:rsidRDefault="00B06081" w:rsidP="00E90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Të hyrat tjera (gjobat)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639125FD" w14:textId="77777777" w:rsidR="00B06081" w:rsidRPr="00FC1F5C" w:rsidRDefault="00B06081" w:rsidP="00E90F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526B3E7D" w14:textId="77777777" w:rsidR="00B06081" w:rsidRPr="00FC1F5C" w:rsidRDefault="00B06081" w:rsidP="00E90F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77492A9B" w14:textId="77777777" w:rsidR="00B06081" w:rsidRPr="00FC1F5C" w:rsidRDefault="00B06081" w:rsidP="00E90F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4CF47D69" w14:textId="77777777" w:rsidR="00B06081" w:rsidRPr="00FC1F5C" w:rsidRDefault="00B06081" w:rsidP="00E90F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1F5C" w:rsidRPr="00FC1F5C" w14:paraId="32D6CD20" w14:textId="77777777" w:rsidTr="00FC1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shd w:val="clear" w:color="auto" w:fill="E8F2FC"/>
            <w:noWrap/>
            <w:hideMark/>
          </w:tcPr>
          <w:p w14:paraId="61C3DD49" w14:textId="77777777" w:rsidR="00B06081" w:rsidRPr="00FC1F5C" w:rsidRDefault="00B06081" w:rsidP="00E90F6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3520" w:type="dxa"/>
            <w:shd w:val="clear" w:color="auto" w:fill="E8F2FC"/>
            <w:noWrap/>
            <w:hideMark/>
          </w:tcPr>
          <w:p w14:paraId="320D2E7C" w14:textId="77777777" w:rsidR="00B06081" w:rsidRPr="00FC1F5C" w:rsidRDefault="00B06081" w:rsidP="00E90F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TRANSFERET QEVERITARE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3EBD1347" w14:textId="77777777" w:rsidR="00B06081" w:rsidRPr="00FC1F5C" w:rsidRDefault="00B06081" w:rsidP="00E90F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3,275,738.00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76996886" w14:textId="77777777" w:rsidR="00B06081" w:rsidRPr="00FC1F5C" w:rsidRDefault="00B06081" w:rsidP="00E90F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3,877,962.00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764BE5CC" w14:textId="77777777" w:rsidR="00B06081" w:rsidRPr="00FC1F5C" w:rsidRDefault="00B06081" w:rsidP="00E90F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4,073,241.00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58BBAC88" w14:textId="77777777" w:rsidR="00B06081" w:rsidRPr="00FC1F5C" w:rsidRDefault="00B06081" w:rsidP="00E90F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4,286,770.00</w:t>
            </w:r>
          </w:p>
        </w:tc>
      </w:tr>
      <w:tr w:rsidR="00FC1F5C" w:rsidRPr="00FC1F5C" w14:paraId="0B3104C4" w14:textId="77777777" w:rsidTr="00FC1F5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shd w:val="clear" w:color="auto" w:fill="E8F2FC"/>
            <w:noWrap/>
            <w:hideMark/>
          </w:tcPr>
          <w:p w14:paraId="758817CB" w14:textId="77777777" w:rsidR="00B06081" w:rsidRPr="00FC1F5C" w:rsidRDefault="00B06081" w:rsidP="00E90F6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1.2.1</w:t>
            </w:r>
          </w:p>
        </w:tc>
        <w:tc>
          <w:tcPr>
            <w:tcW w:w="3520" w:type="dxa"/>
            <w:shd w:val="clear" w:color="auto" w:fill="E8F2FC"/>
            <w:noWrap/>
            <w:hideMark/>
          </w:tcPr>
          <w:p w14:paraId="0105B86B" w14:textId="77777777" w:rsidR="00B06081" w:rsidRPr="00FC1F5C" w:rsidRDefault="00B06081" w:rsidP="00E90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Granti i përgjithshëm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5380831D" w14:textId="77777777" w:rsidR="00B06081" w:rsidRPr="00FC1F5C" w:rsidRDefault="00B06081" w:rsidP="00E90F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1,701,892.00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0432C9C1" w14:textId="77777777" w:rsidR="00B06081" w:rsidRPr="00FC1F5C" w:rsidRDefault="00B06081" w:rsidP="00E90F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1,872,179.00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2B72A45E" w14:textId="77777777" w:rsidR="00B06081" w:rsidRPr="00FC1F5C" w:rsidRDefault="00B06081" w:rsidP="00E90F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2,007,285.00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681866EA" w14:textId="77777777" w:rsidR="00B06081" w:rsidRPr="00FC1F5C" w:rsidRDefault="00B06081" w:rsidP="00E90F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2,158,835.00</w:t>
            </w:r>
          </w:p>
        </w:tc>
      </w:tr>
      <w:tr w:rsidR="00FC1F5C" w:rsidRPr="00FC1F5C" w14:paraId="2DFED4DA" w14:textId="77777777" w:rsidTr="00FC1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shd w:val="clear" w:color="auto" w:fill="E8F2FC"/>
            <w:noWrap/>
            <w:hideMark/>
          </w:tcPr>
          <w:p w14:paraId="729079F0" w14:textId="77777777" w:rsidR="00B06081" w:rsidRPr="00FC1F5C" w:rsidRDefault="00B06081" w:rsidP="00E90F6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1.2.2</w:t>
            </w:r>
          </w:p>
        </w:tc>
        <w:tc>
          <w:tcPr>
            <w:tcW w:w="3520" w:type="dxa"/>
            <w:shd w:val="clear" w:color="auto" w:fill="E8F2FC"/>
            <w:noWrap/>
            <w:hideMark/>
          </w:tcPr>
          <w:p w14:paraId="2BA2E8DF" w14:textId="77777777" w:rsidR="00B06081" w:rsidRPr="00FC1F5C" w:rsidRDefault="00B06081" w:rsidP="00E90F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Granti për Arsim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23CC7015" w14:textId="77777777" w:rsidR="00B06081" w:rsidRPr="00FC1F5C" w:rsidRDefault="00B06081" w:rsidP="00E90F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1,167,634.00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74F48A86" w14:textId="77777777" w:rsidR="00B06081" w:rsidRPr="00FC1F5C" w:rsidRDefault="00B06081" w:rsidP="00E90F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1,429,646.00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64734005" w14:textId="77777777" w:rsidR="00B06081" w:rsidRPr="00FC1F5C" w:rsidRDefault="00B06081" w:rsidP="00E90F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1,472,535.00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346BFE12" w14:textId="77777777" w:rsidR="00B06081" w:rsidRPr="00FC1F5C" w:rsidRDefault="00B06081" w:rsidP="00E90F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1,516,712.00</w:t>
            </w:r>
          </w:p>
        </w:tc>
      </w:tr>
      <w:tr w:rsidR="00FC1F5C" w:rsidRPr="00FC1F5C" w14:paraId="2948A8D4" w14:textId="77777777" w:rsidTr="00FC1F5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shd w:val="clear" w:color="auto" w:fill="E8F2FC"/>
            <w:noWrap/>
            <w:hideMark/>
          </w:tcPr>
          <w:p w14:paraId="243880A5" w14:textId="77777777" w:rsidR="00B06081" w:rsidRPr="00FC1F5C" w:rsidRDefault="00B06081" w:rsidP="00E90F6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1.2.3</w:t>
            </w:r>
          </w:p>
        </w:tc>
        <w:tc>
          <w:tcPr>
            <w:tcW w:w="3520" w:type="dxa"/>
            <w:shd w:val="clear" w:color="auto" w:fill="E8F2FC"/>
            <w:noWrap/>
            <w:hideMark/>
          </w:tcPr>
          <w:p w14:paraId="26ABFE6E" w14:textId="77777777" w:rsidR="00B06081" w:rsidRPr="00FC1F5C" w:rsidRDefault="00B06081" w:rsidP="00E90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Granti për Shëndetësi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2F4C7630" w14:textId="77777777" w:rsidR="00B06081" w:rsidRPr="00FC1F5C" w:rsidRDefault="00B06081" w:rsidP="00E90F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406,212.00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235EDA11" w14:textId="77777777" w:rsidR="00B06081" w:rsidRPr="00FC1F5C" w:rsidRDefault="00B06081" w:rsidP="00E90F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576,137.00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08E094B9" w14:textId="77777777" w:rsidR="00B06081" w:rsidRPr="00FC1F5C" w:rsidRDefault="00B06081" w:rsidP="00E90F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593,421.00</w:t>
            </w:r>
          </w:p>
        </w:tc>
        <w:tc>
          <w:tcPr>
            <w:tcW w:w="1485" w:type="dxa"/>
            <w:shd w:val="clear" w:color="auto" w:fill="E8F2FC"/>
            <w:noWrap/>
            <w:hideMark/>
          </w:tcPr>
          <w:p w14:paraId="2AB628D1" w14:textId="77777777" w:rsidR="00B06081" w:rsidRPr="00FC1F5C" w:rsidRDefault="00B06081" w:rsidP="00E90F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5C">
              <w:rPr>
                <w:rFonts w:ascii="Times New Roman" w:eastAsia="Times New Roman" w:hAnsi="Times New Roman" w:cs="Times New Roman"/>
                <w:sz w:val="20"/>
                <w:szCs w:val="20"/>
              </w:rPr>
              <w:t>611,223.00</w:t>
            </w:r>
          </w:p>
        </w:tc>
      </w:tr>
    </w:tbl>
    <w:p w14:paraId="6315BC24" w14:textId="1E939719" w:rsidR="00674147" w:rsidRDefault="00674147" w:rsidP="00B904C9">
      <w:pPr>
        <w:tabs>
          <w:tab w:val="left" w:pos="8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6A988B" w14:textId="77777777" w:rsidR="00674147" w:rsidRPr="00F21B10" w:rsidRDefault="00674147" w:rsidP="0067414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21B10">
        <w:rPr>
          <w:rFonts w:ascii="Times New Roman" w:hAnsi="Times New Roman" w:cs="Times New Roman"/>
        </w:rPr>
        <w:lastRenderedPageBreak/>
        <w:t xml:space="preserve">ANEKS 1 </w:t>
      </w:r>
    </w:p>
    <w:p w14:paraId="6B6AE07D" w14:textId="77777777" w:rsidR="00674147" w:rsidRPr="00F21B10" w:rsidRDefault="00674147" w:rsidP="00674147">
      <w:pPr>
        <w:tabs>
          <w:tab w:val="left" w:pos="1176"/>
        </w:tabs>
        <w:jc w:val="both"/>
        <w:rPr>
          <w:rFonts w:ascii="Times New Roman" w:hAnsi="Times New Roman" w:cs="Times New Roman"/>
        </w:rPr>
      </w:pPr>
      <w:r w:rsidRPr="00F21B10">
        <w:rPr>
          <w:rFonts w:ascii="Times New Roman" w:hAnsi="Times New Roman" w:cs="Times New Roman"/>
        </w:rPr>
        <w:t xml:space="preserve">Buxhetimi i Përgjegjshëm Gjinor </w:t>
      </w:r>
    </w:p>
    <w:p w14:paraId="7E330CFF" w14:textId="77777777" w:rsidR="00674147" w:rsidRPr="00F21B10" w:rsidRDefault="00674147" w:rsidP="00674147">
      <w:pPr>
        <w:tabs>
          <w:tab w:val="left" w:pos="1176"/>
        </w:tabs>
        <w:jc w:val="both"/>
        <w:rPr>
          <w:rFonts w:ascii="Times New Roman" w:hAnsi="Times New Roman" w:cs="Times New Roman"/>
        </w:rPr>
      </w:pPr>
    </w:p>
    <w:p w14:paraId="0786A0EE" w14:textId="77777777" w:rsidR="00674147" w:rsidRPr="00F21B10" w:rsidRDefault="00674147" w:rsidP="00674147">
      <w:pPr>
        <w:pStyle w:val="BodyText"/>
        <w:spacing w:after="7"/>
        <w:ind w:left="215" w:right="2976"/>
        <w:rPr>
          <w:w w:val="105"/>
        </w:rPr>
      </w:pPr>
      <w:r w:rsidRPr="00F21B10">
        <w:t>Tabela</w:t>
      </w:r>
      <w:r w:rsidRPr="00F21B10">
        <w:rPr>
          <w:spacing w:val="13"/>
        </w:rPr>
        <w:t xml:space="preserve"> </w:t>
      </w:r>
      <w:r w:rsidRPr="00F21B10">
        <w:t>1.</w:t>
      </w:r>
      <w:r w:rsidRPr="00F21B10">
        <w:rPr>
          <w:spacing w:val="13"/>
        </w:rPr>
        <w:t xml:space="preserve"> </w:t>
      </w:r>
      <w:r w:rsidRPr="00F21B10">
        <w:t>Numri</w:t>
      </w:r>
      <w:r w:rsidRPr="00F21B10">
        <w:rPr>
          <w:spacing w:val="20"/>
        </w:rPr>
        <w:t xml:space="preserve"> </w:t>
      </w:r>
      <w:r w:rsidRPr="00F21B10">
        <w:t>i</w:t>
      </w:r>
      <w:r w:rsidRPr="00F21B10">
        <w:rPr>
          <w:spacing w:val="11"/>
        </w:rPr>
        <w:t xml:space="preserve"> </w:t>
      </w:r>
      <w:r w:rsidRPr="00F21B10">
        <w:t>punëtorëve</w:t>
      </w:r>
      <w:r w:rsidRPr="00F21B10">
        <w:rPr>
          <w:spacing w:val="18"/>
        </w:rPr>
        <w:t xml:space="preserve"> </w:t>
      </w:r>
      <w:r w:rsidRPr="00F21B10">
        <w:t>në</w:t>
      </w:r>
      <w:r w:rsidRPr="00F21B10">
        <w:rPr>
          <w:spacing w:val="11"/>
        </w:rPr>
        <w:t xml:space="preserve"> </w:t>
      </w:r>
      <w:r w:rsidRPr="00F21B10">
        <w:t>Organizatën</w:t>
      </w:r>
      <w:r w:rsidRPr="00F21B10">
        <w:rPr>
          <w:spacing w:val="18"/>
        </w:rPr>
        <w:t xml:space="preserve"> </w:t>
      </w:r>
      <w:r w:rsidRPr="00F21B10">
        <w:t>Buxhetore</w:t>
      </w:r>
      <w:r w:rsidRPr="00F21B10">
        <w:rPr>
          <w:spacing w:val="17"/>
        </w:rPr>
        <w:t xml:space="preserve"> </w:t>
      </w:r>
      <w:r w:rsidRPr="00F21B10">
        <w:t>përkatëse</w:t>
      </w:r>
      <w:r w:rsidRPr="00F21B10">
        <w:rPr>
          <w:spacing w:val="-52"/>
        </w:rPr>
        <w:t xml:space="preserve"> </w:t>
      </w:r>
    </w:p>
    <w:p w14:paraId="52D87B8A" w14:textId="77777777" w:rsidR="00674147" w:rsidRPr="00F21B10" w:rsidRDefault="00674147" w:rsidP="00674147">
      <w:pPr>
        <w:pStyle w:val="BodyText"/>
        <w:spacing w:after="7"/>
        <w:ind w:left="215" w:right="2976"/>
      </w:pPr>
      <w:r w:rsidRPr="00F21B10">
        <w:rPr>
          <w:w w:val="105"/>
        </w:rPr>
        <w:t>Komuna Hani i Elezit</w:t>
      </w:r>
    </w:p>
    <w:tbl>
      <w:tblPr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5"/>
        <w:gridCol w:w="1219"/>
        <w:gridCol w:w="1281"/>
        <w:gridCol w:w="1365"/>
        <w:gridCol w:w="1787"/>
        <w:gridCol w:w="1789"/>
      </w:tblGrid>
      <w:tr w:rsidR="00674147" w:rsidRPr="00F21B10" w14:paraId="7F47BED4" w14:textId="77777777" w:rsidTr="00E90F68">
        <w:trPr>
          <w:trHeight w:val="1031"/>
        </w:trPr>
        <w:tc>
          <w:tcPr>
            <w:tcW w:w="1855" w:type="dxa"/>
            <w:tcBorders>
              <w:left w:val="single" w:sz="6" w:space="0" w:color="000000"/>
            </w:tcBorders>
          </w:tcPr>
          <w:p w14:paraId="560835FF" w14:textId="77777777" w:rsidR="00674147" w:rsidRPr="00F21B10" w:rsidRDefault="00674147" w:rsidP="00E90F68">
            <w:pPr>
              <w:pStyle w:val="TableParagraph"/>
              <w:spacing w:before="10"/>
              <w:jc w:val="left"/>
            </w:pPr>
          </w:p>
          <w:p w14:paraId="140C61D0" w14:textId="77777777" w:rsidR="00674147" w:rsidRPr="00F21B10" w:rsidRDefault="00674147" w:rsidP="00E90F68">
            <w:pPr>
              <w:pStyle w:val="TableParagraph"/>
              <w:ind w:left="102"/>
              <w:jc w:val="left"/>
            </w:pPr>
            <w:r w:rsidRPr="00F21B10">
              <w:rPr>
                <w:w w:val="105"/>
              </w:rPr>
              <w:t>Viti</w:t>
            </w:r>
          </w:p>
        </w:tc>
        <w:tc>
          <w:tcPr>
            <w:tcW w:w="1219" w:type="dxa"/>
          </w:tcPr>
          <w:p w14:paraId="3A112ACD" w14:textId="77777777" w:rsidR="00674147" w:rsidRPr="00F21B10" w:rsidRDefault="00674147" w:rsidP="00E90F68">
            <w:pPr>
              <w:pStyle w:val="TableParagraph"/>
              <w:spacing w:before="130" w:line="244" w:lineRule="auto"/>
              <w:ind w:left="342" w:right="292" w:hanging="34"/>
              <w:jc w:val="both"/>
            </w:pPr>
            <w:r w:rsidRPr="00F21B10">
              <w:t>Numri</w:t>
            </w:r>
            <w:r w:rsidRPr="00F21B10">
              <w:rPr>
                <w:spacing w:val="-53"/>
              </w:rPr>
              <w:t xml:space="preserve"> </w:t>
            </w:r>
            <w:r w:rsidRPr="00F21B10">
              <w:rPr>
                <w:w w:val="105"/>
              </w:rPr>
              <w:t>total i</w:t>
            </w:r>
            <w:r w:rsidRPr="00F21B10">
              <w:rPr>
                <w:spacing w:val="-55"/>
                <w:w w:val="105"/>
              </w:rPr>
              <w:t xml:space="preserve"> </w:t>
            </w:r>
            <w:r w:rsidRPr="00F21B10">
              <w:rPr>
                <w:w w:val="105"/>
              </w:rPr>
              <w:t>stafit</w:t>
            </w:r>
          </w:p>
        </w:tc>
        <w:tc>
          <w:tcPr>
            <w:tcW w:w="1281" w:type="dxa"/>
          </w:tcPr>
          <w:p w14:paraId="3FA3C3D4" w14:textId="77777777" w:rsidR="00674147" w:rsidRPr="00F21B10" w:rsidRDefault="00674147" w:rsidP="00E90F68">
            <w:pPr>
              <w:pStyle w:val="TableParagraph"/>
              <w:spacing w:before="130" w:line="244" w:lineRule="auto"/>
              <w:ind w:left="112" w:right="94"/>
              <w:jc w:val="center"/>
            </w:pPr>
            <w:r w:rsidRPr="00F21B10">
              <w:rPr>
                <w:spacing w:val="-2"/>
                <w:w w:val="105"/>
              </w:rPr>
              <w:t>Numri total</w:t>
            </w:r>
            <w:r w:rsidRPr="00F21B10">
              <w:rPr>
                <w:spacing w:val="-55"/>
                <w:w w:val="105"/>
              </w:rPr>
              <w:t xml:space="preserve"> </w:t>
            </w:r>
            <w:r w:rsidRPr="00F21B10">
              <w:rPr>
                <w:w w:val="105"/>
              </w:rPr>
              <w:t>i stafit që</w:t>
            </w:r>
            <w:r w:rsidRPr="00F21B10">
              <w:rPr>
                <w:spacing w:val="1"/>
                <w:w w:val="105"/>
              </w:rPr>
              <w:t xml:space="preserve"> </w:t>
            </w:r>
            <w:r w:rsidRPr="00F21B10">
              <w:rPr>
                <w:w w:val="105"/>
              </w:rPr>
              <w:t>janë</w:t>
            </w:r>
            <w:r w:rsidRPr="00F21B10">
              <w:rPr>
                <w:spacing w:val="1"/>
                <w:w w:val="105"/>
              </w:rPr>
              <w:t xml:space="preserve"> </w:t>
            </w:r>
            <w:r w:rsidRPr="00F21B10">
              <w:rPr>
                <w:w w:val="105"/>
              </w:rPr>
              <w:t>gra</w:t>
            </w:r>
          </w:p>
        </w:tc>
        <w:tc>
          <w:tcPr>
            <w:tcW w:w="1365" w:type="dxa"/>
            <w:tcBorders>
              <w:right w:val="single" w:sz="6" w:space="0" w:color="000000"/>
            </w:tcBorders>
          </w:tcPr>
          <w:p w14:paraId="089C6F31" w14:textId="77777777" w:rsidR="00674147" w:rsidRPr="00F21B10" w:rsidRDefault="00674147" w:rsidP="00E90F68">
            <w:pPr>
              <w:pStyle w:val="TableParagraph"/>
              <w:spacing w:before="130" w:line="244" w:lineRule="auto"/>
              <w:ind w:left="94" w:right="79"/>
              <w:jc w:val="center"/>
            </w:pPr>
            <w:r w:rsidRPr="00F21B10">
              <w:rPr>
                <w:spacing w:val="-1"/>
                <w:w w:val="105"/>
              </w:rPr>
              <w:t>Numri</w:t>
            </w:r>
            <w:r w:rsidRPr="00F21B10">
              <w:rPr>
                <w:spacing w:val="-12"/>
                <w:w w:val="105"/>
              </w:rPr>
              <w:t xml:space="preserve"> </w:t>
            </w:r>
            <w:r w:rsidRPr="00F21B10">
              <w:rPr>
                <w:spacing w:val="-1"/>
                <w:w w:val="105"/>
              </w:rPr>
              <w:t>total</w:t>
            </w:r>
            <w:r w:rsidRPr="00F21B10">
              <w:rPr>
                <w:spacing w:val="-13"/>
                <w:w w:val="105"/>
              </w:rPr>
              <w:t xml:space="preserve"> </w:t>
            </w:r>
            <w:r w:rsidRPr="00F21B10">
              <w:rPr>
                <w:w w:val="105"/>
              </w:rPr>
              <w:t>i</w:t>
            </w:r>
            <w:r w:rsidRPr="00F21B10">
              <w:rPr>
                <w:spacing w:val="-55"/>
                <w:w w:val="105"/>
              </w:rPr>
              <w:t xml:space="preserve"> </w:t>
            </w:r>
            <w:r w:rsidRPr="00F21B10">
              <w:rPr>
                <w:spacing w:val="-1"/>
                <w:w w:val="105"/>
              </w:rPr>
              <w:t xml:space="preserve">stafit që </w:t>
            </w:r>
            <w:r w:rsidRPr="00F21B10">
              <w:rPr>
                <w:w w:val="105"/>
              </w:rPr>
              <w:t>janë</w:t>
            </w:r>
            <w:r w:rsidRPr="00F21B10">
              <w:rPr>
                <w:spacing w:val="-55"/>
                <w:w w:val="105"/>
              </w:rPr>
              <w:t xml:space="preserve"> </w:t>
            </w:r>
            <w:r w:rsidRPr="00F21B10">
              <w:rPr>
                <w:w w:val="105"/>
              </w:rPr>
              <w:t>burra</w:t>
            </w:r>
          </w:p>
        </w:tc>
        <w:tc>
          <w:tcPr>
            <w:tcW w:w="1787" w:type="dxa"/>
            <w:tcBorders>
              <w:left w:val="single" w:sz="6" w:space="0" w:color="000000"/>
            </w:tcBorders>
          </w:tcPr>
          <w:p w14:paraId="74624FBD" w14:textId="77777777" w:rsidR="00674147" w:rsidRPr="00F21B10" w:rsidRDefault="00674147" w:rsidP="00E90F68">
            <w:pPr>
              <w:pStyle w:val="TableParagraph"/>
              <w:spacing w:before="130" w:line="244" w:lineRule="auto"/>
              <w:ind w:left="214" w:right="187" w:hanging="4"/>
              <w:jc w:val="center"/>
            </w:pPr>
            <w:r w:rsidRPr="00F21B10">
              <w:rPr>
                <w:w w:val="105"/>
              </w:rPr>
              <w:t>Paga dhe</w:t>
            </w:r>
            <w:r w:rsidRPr="00F21B10">
              <w:rPr>
                <w:spacing w:val="1"/>
                <w:w w:val="105"/>
              </w:rPr>
              <w:t xml:space="preserve"> </w:t>
            </w:r>
            <w:r w:rsidRPr="00F21B10">
              <w:t>mëditje/Shuma</w:t>
            </w:r>
            <w:r w:rsidRPr="00F21B10">
              <w:rPr>
                <w:spacing w:val="-52"/>
              </w:rPr>
              <w:t xml:space="preserve"> </w:t>
            </w:r>
            <w:r w:rsidRPr="00F21B10">
              <w:rPr>
                <w:w w:val="105"/>
              </w:rPr>
              <w:t>për</w:t>
            </w:r>
            <w:r w:rsidRPr="00F21B10">
              <w:rPr>
                <w:spacing w:val="-6"/>
                <w:w w:val="105"/>
              </w:rPr>
              <w:t xml:space="preserve"> </w:t>
            </w:r>
            <w:r w:rsidRPr="00F21B10">
              <w:rPr>
                <w:w w:val="105"/>
              </w:rPr>
              <w:t>gra</w:t>
            </w:r>
          </w:p>
        </w:tc>
        <w:tc>
          <w:tcPr>
            <w:tcW w:w="1789" w:type="dxa"/>
          </w:tcPr>
          <w:p w14:paraId="7A99F48D" w14:textId="77777777" w:rsidR="00674147" w:rsidRPr="00F21B10" w:rsidRDefault="00674147" w:rsidP="00E90F68">
            <w:pPr>
              <w:pStyle w:val="TableParagraph"/>
              <w:spacing w:before="130" w:line="244" w:lineRule="auto"/>
              <w:ind w:left="211" w:right="190" w:firstLine="1"/>
              <w:jc w:val="center"/>
            </w:pPr>
            <w:r w:rsidRPr="00F21B10">
              <w:rPr>
                <w:w w:val="105"/>
              </w:rPr>
              <w:t>Paga dhe</w:t>
            </w:r>
            <w:r w:rsidRPr="00F21B10">
              <w:rPr>
                <w:spacing w:val="1"/>
                <w:w w:val="105"/>
              </w:rPr>
              <w:t xml:space="preserve"> </w:t>
            </w:r>
            <w:r w:rsidRPr="00F21B10">
              <w:t>mëditje/Shuma</w:t>
            </w:r>
            <w:r w:rsidRPr="00F21B10">
              <w:rPr>
                <w:spacing w:val="-52"/>
              </w:rPr>
              <w:t xml:space="preserve"> </w:t>
            </w:r>
            <w:r w:rsidRPr="00F21B10">
              <w:rPr>
                <w:w w:val="105"/>
              </w:rPr>
              <w:t>për</w:t>
            </w:r>
            <w:r w:rsidRPr="00F21B10">
              <w:rPr>
                <w:spacing w:val="-6"/>
                <w:w w:val="105"/>
              </w:rPr>
              <w:t xml:space="preserve"> </w:t>
            </w:r>
            <w:r w:rsidRPr="00F21B10">
              <w:rPr>
                <w:w w:val="105"/>
              </w:rPr>
              <w:t>burra</w:t>
            </w:r>
          </w:p>
        </w:tc>
      </w:tr>
      <w:tr w:rsidR="00674147" w:rsidRPr="00F21B10" w14:paraId="18F86B8C" w14:textId="77777777" w:rsidTr="00E90F68">
        <w:trPr>
          <w:trHeight w:val="316"/>
        </w:trPr>
        <w:tc>
          <w:tcPr>
            <w:tcW w:w="1855" w:type="dxa"/>
            <w:tcBorders>
              <w:left w:val="single" w:sz="6" w:space="0" w:color="000000"/>
            </w:tcBorders>
          </w:tcPr>
          <w:p w14:paraId="7E70C3B9" w14:textId="77777777" w:rsidR="00674147" w:rsidRPr="00F21B10" w:rsidRDefault="00674147" w:rsidP="00E90F68">
            <w:pPr>
              <w:pStyle w:val="TableParagraph"/>
              <w:spacing w:before="29"/>
              <w:ind w:left="102"/>
              <w:jc w:val="left"/>
            </w:pPr>
            <w:r w:rsidRPr="00F21B10">
              <w:rPr>
                <w:w w:val="105"/>
              </w:rPr>
              <w:t>2023</w:t>
            </w:r>
          </w:p>
        </w:tc>
        <w:tc>
          <w:tcPr>
            <w:tcW w:w="1219" w:type="dxa"/>
          </w:tcPr>
          <w:p w14:paraId="47118206" w14:textId="77777777" w:rsidR="00674147" w:rsidRPr="00F21B10" w:rsidRDefault="00674147" w:rsidP="00E90F68">
            <w:pPr>
              <w:pStyle w:val="TableParagraph"/>
              <w:jc w:val="left"/>
            </w:pPr>
            <w:r w:rsidRPr="00F21B10">
              <w:t>249</w:t>
            </w:r>
          </w:p>
        </w:tc>
        <w:tc>
          <w:tcPr>
            <w:tcW w:w="1281" w:type="dxa"/>
          </w:tcPr>
          <w:p w14:paraId="05B5F6BA" w14:textId="77777777" w:rsidR="00674147" w:rsidRPr="00F21B10" w:rsidRDefault="00674147" w:rsidP="00E90F68">
            <w:pPr>
              <w:pStyle w:val="TableParagraph"/>
              <w:jc w:val="left"/>
            </w:pPr>
            <w:r w:rsidRPr="00F21B10">
              <w:t>103</w:t>
            </w:r>
          </w:p>
        </w:tc>
        <w:tc>
          <w:tcPr>
            <w:tcW w:w="1365" w:type="dxa"/>
            <w:tcBorders>
              <w:right w:val="single" w:sz="6" w:space="0" w:color="000000"/>
            </w:tcBorders>
          </w:tcPr>
          <w:p w14:paraId="30C6E92E" w14:textId="77777777" w:rsidR="00674147" w:rsidRPr="00F21B10" w:rsidRDefault="00674147" w:rsidP="00E90F68">
            <w:pPr>
              <w:pStyle w:val="TableParagraph"/>
              <w:jc w:val="left"/>
            </w:pPr>
            <w:r w:rsidRPr="00F21B10">
              <w:t>128</w:t>
            </w:r>
          </w:p>
        </w:tc>
        <w:tc>
          <w:tcPr>
            <w:tcW w:w="1787" w:type="dxa"/>
            <w:tcBorders>
              <w:left w:val="single" w:sz="6" w:space="0" w:color="000000"/>
            </w:tcBorders>
          </w:tcPr>
          <w:p w14:paraId="59EC589C" w14:textId="77777777" w:rsidR="00674147" w:rsidRPr="00F21B10" w:rsidRDefault="00674147" w:rsidP="00E90F68">
            <w:pPr>
              <w:pStyle w:val="TableParagraph"/>
              <w:jc w:val="left"/>
            </w:pPr>
            <w:r w:rsidRPr="00F21B10">
              <w:t>595,647</w:t>
            </w:r>
          </w:p>
        </w:tc>
        <w:tc>
          <w:tcPr>
            <w:tcW w:w="1789" w:type="dxa"/>
          </w:tcPr>
          <w:p w14:paraId="5B103CC6" w14:textId="77777777" w:rsidR="00674147" w:rsidRPr="00F21B10" w:rsidRDefault="00674147" w:rsidP="00E90F68">
            <w:pPr>
              <w:pStyle w:val="TableParagraph"/>
              <w:jc w:val="left"/>
            </w:pPr>
            <w:r w:rsidRPr="00F21B10">
              <w:t>1,107,175</w:t>
            </w:r>
          </w:p>
        </w:tc>
      </w:tr>
      <w:tr w:rsidR="00674147" w:rsidRPr="00F21B10" w14:paraId="541B0B1D" w14:textId="77777777" w:rsidTr="00E90F68">
        <w:trPr>
          <w:trHeight w:val="385"/>
        </w:trPr>
        <w:tc>
          <w:tcPr>
            <w:tcW w:w="1855" w:type="dxa"/>
            <w:tcBorders>
              <w:left w:val="single" w:sz="6" w:space="0" w:color="000000"/>
              <w:bottom w:val="single" w:sz="6" w:space="0" w:color="000000"/>
            </w:tcBorders>
          </w:tcPr>
          <w:p w14:paraId="0D4297C1" w14:textId="77777777" w:rsidR="00674147" w:rsidRPr="00F21B10" w:rsidRDefault="00674147" w:rsidP="00E90F68">
            <w:pPr>
              <w:pStyle w:val="TableParagraph"/>
              <w:spacing w:before="29"/>
              <w:ind w:left="102"/>
              <w:jc w:val="left"/>
            </w:pPr>
            <w:r w:rsidRPr="00F21B10">
              <w:rPr>
                <w:w w:val="105"/>
              </w:rPr>
              <w:t>2024</w:t>
            </w:r>
          </w:p>
        </w:tc>
        <w:tc>
          <w:tcPr>
            <w:tcW w:w="1219" w:type="dxa"/>
            <w:tcBorders>
              <w:bottom w:val="single" w:sz="6" w:space="0" w:color="000000"/>
            </w:tcBorders>
          </w:tcPr>
          <w:p w14:paraId="4EC47BF0" w14:textId="77777777" w:rsidR="00674147" w:rsidRPr="00F21B10" w:rsidRDefault="00674147" w:rsidP="00E90F68">
            <w:pPr>
              <w:pStyle w:val="TableParagraph"/>
              <w:jc w:val="left"/>
            </w:pPr>
            <w:r w:rsidRPr="00F21B10">
              <w:t>249</w:t>
            </w:r>
          </w:p>
        </w:tc>
        <w:tc>
          <w:tcPr>
            <w:tcW w:w="1281" w:type="dxa"/>
            <w:tcBorders>
              <w:bottom w:val="single" w:sz="6" w:space="0" w:color="000000"/>
            </w:tcBorders>
          </w:tcPr>
          <w:p w14:paraId="62D38233" w14:textId="77777777" w:rsidR="00674147" w:rsidRPr="00F21B10" w:rsidRDefault="00674147" w:rsidP="00E90F68">
            <w:pPr>
              <w:pStyle w:val="TableParagraph"/>
              <w:jc w:val="left"/>
            </w:pPr>
            <w:r w:rsidRPr="00F21B10">
              <w:t>119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</w:tcPr>
          <w:p w14:paraId="6736BA76" w14:textId="77777777" w:rsidR="00674147" w:rsidRPr="00F21B10" w:rsidRDefault="00674147" w:rsidP="00E90F68">
            <w:pPr>
              <w:pStyle w:val="TableParagraph"/>
              <w:jc w:val="left"/>
            </w:pPr>
            <w:r w:rsidRPr="00F21B10">
              <w:t>130</w:t>
            </w:r>
          </w:p>
        </w:tc>
        <w:tc>
          <w:tcPr>
            <w:tcW w:w="1787" w:type="dxa"/>
            <w:tcBorders>
              <w:left w:val="single" w:sz="6" w:space="0" w:color="000000"/>
              <w:bottom w:val="single" w:sz="6" w:space="0" w:color="000000"/>
            </w:tcBorders>
          </w:tcPr>
          <w:p w14:paraId="399C3C33" w14:textId="77777777" w:rsidR="00674147" w:rsidRPr="00F21B10" w:rsidRDefault="00674147" w:rsidP="00E90F68">
            <w:pPr>
              <w:pStyle w:val="TableParagraph"/>
              <w:jc w:val="left"/>
            </w:pPr>
            <w:r w:rsidRPr="00F21B10">
              <w:t>816,800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</w:tcPr>
          <w:p w14:paraId="39BE499E" w14:textId="77777777" w:rsidR="00674147" w:rsidRPr="00F21B10" w:rsidRDefault="00674147" w:rsidP="00E90F68">
            <w:pPr>
              <w:pStyle w:val="TableParagraph"/>
              <w:jc w:val="left"/>
            </w:pPr>
            <w:r w:rsidRPr="00F21B10">
              <w:t>1,225,200</w:t>
            </w:r>
          </w:p>
        </w:tc>
      </w:tr>
      <w:tr w:rsidR="00674147" w:rsidRPr="00F21B10" w14:paraId="1683DF91" w14:textId="77777777" w:rsidTr="00E90F68">
        <w:trPr>
          <w:trHeight w:val="316"/>
        </w:trPr>
        <w:tc>
          <w:tcPr>
            <w:tcW w:w="1855" w:type="dxa"/>
            <w:tcBorders>
              <w:top w:val="single" w:sz="6" w:space="0" w:color="000000"/>
              <w:left w:val="single" w:sz="6" w:space="0" w:color="000000"/>
            </w:tcBorders>
          </w:tcPr>
          <w:p w14:paraId="2C8633C6" w14:textId="77777777" w:rsidR="00674147" w:rsidRPr="00F21B10" w:rsidRDefault="00674147" w:rsidP="00E90F68">
            <w:pPr>
              <w:pStyle w:val="TableParagraph"/>
              <w:spacing w:before="29"/>
              <w:ind w:left="102"/>
              <w:jc w:val="left"/>
            </w:pPr>
            <w:r w:rsidRPr="00F21B10">
              <w:rPr>
                <w:w w:val="105"/>
              </w:rPr>
              <w:t>2025</w:t>
            </w:r>
          </w:p>
        </w:tc>
        <w:tc>
          <w:tcPr>
            <w:tcW w:w="1219" w:type="dxa"/>
            <w:tcBorders>
              <w:top w:val="single" w:sz="6" w:space="0" w:color="000000"/>
            </w:tcBorders>
          </w:tcPr>
          <w:p w14:paraId="337CFD69" w14:textId="2B78EE0C" w:rsidR="00674147" w:rsidRPr="00F21B10" w:rsidRDefault="00674147" w:rsidP="00E90F68">
            <w:pPr>
              <w:pStyle w:val="TableParagraph"/>
              <w:jc w:val="left"/>
            </w:pPr>
            <w:r w:rsidRPr="00F21B10">
              <w:t>260</w:t>
            </w:r>
          </w:p>
        </w:tc>
        <w:tc>
          <w:tcPr>
            <w:tcW w:w="1281" w:type="dxa"/>
            <w:tcBorders>
              <w:top w:val="single" w:sz="6" w:space="0" w:color="000000"/>
            </w:tcBorders>
          </w:tcPr>
          <w:p w14:paraId="5D126DC0" w14:textId="77777777" w:rsidR="00674147" w:rsidRPr="00F21B10" w:rsidRDefault="00674147" w:rsidP="00E90F68">
            <w:pPr>
              <w:pStyle w:val="TableParagraph"/>
              <w:jc w:val="left"/>
            </w:pPr>
            <w:r w:rsidRPr="00F21B10">
              <w:t>119</w:t>
            </w:r>
          </w:p>
        </w:tc>
        <w:tc>
          <w:tcPr>
            <w:tcW w:w="1365" w:type="dxa"/>
            <w:tcBorders>
              <w:top w:val="single" w:sz="6" w:space="0" w:color="000000"/>
              <w:right w:val="single" w:sz="6" w:space="0" w:color="000000"/>
            </w:tcBorders>
          </w:tcPr>
          <w:p w14:paraId="270938F7" w14:textId="77777777" w:rsidR="00674147" w:rsidRPr="00F21B10" w:rsidRDefault="00674147" w:rsidP="00E90F68">
            <w:pPr>
              <w:pStyle w:val="TableParagraph"/>
              <w:jc w:val="left"/>
            </w:pPr>
            <w:r w:rsidRPr="00F21B10">
              <w:t>130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</w:tcBorders>
          </w:tcPr>
          <w:p w14:paraId="27DB29E2" w14:textId="77777777" w:rsidR="00674147" w:rsidRPr="00F21B10" w:rsidRDefault="00674147" w:rsidP="00E90F68">
            <w:pPr>
              <w:pStyle w:val="TableParagraph"/>
              <w:jc w:val="left"/>
            </w:pPr>
            <w:r w:rsidRPr="00F21B10">
              <w:t>920,000</w:t>
            </w:r>
          </w:p>
        </w:tc>
        <w:tc>
          <w:tcPr>
            <w:tcW w:w="1789" w:type="dxa"/>
            <w:tcBorders>
              <w:top w:val="single" w:sz="6" w:space="0" w:color="000000"/>
            </w:tcBorders>
          </w:tcPr>
          <w:p w14:paraId="1DE287E3" w14:textId="77777777" w:rsidR="00674147" w:rsidRPr="00F21B10" w:rsidRDefault="00674147" w:rsidP="00E90F68">
            <w:pPr>
              <w:pStyle w:val="TableParagraph"/>
              <w:jc w:val="left"/>
            </w:pPr>
            <w:r w:rsidRPr="00F21B10">
              <w:t>1,252,712</w:t>
            </w:r>
          </w:p>
        </w:tc>
      </w:tr>
      <w:tr w:rsidR="00674147" w:rsidRPr="00F21B10" w14:paraId="200D4B80" w14:textId="77777777" w:rsidTr="00E90F68">
        <w:trPr>
          <w:trHeight w:val="517"/>
        </w:trPr>
        <w:tc>
          <w:tcPr>
            <w:tcW w:w="1855" w:type="dxa"/>
            <w:tcBorders>
              <w:left w:val="single" w:sz="6" w:space="0" w:color="000000"/>
            </w:tcBorders>
          </w:tcPr>
          <w:p w14:paraId="5C2477D2" w14:textId="77777777" w:rsidR="00674147" w:rsidRPr="00F21B10" w:rsidRDefault="00674147" w:rsidP="00E90F68">
            <w:pPr>
              <w:pStyle w:val="TableParagraph"/>
              <w:tabs>
                <w:tab w:val="left" w:pos="1461"/>
              </w:tabs>
              <w:ind w:left="102"/>
              <w:jc w:val="left"/>
            </w:pPr>
            <w:r w:rsidRPr="00F21B10">
              <w:rPr>
                <w:w w:val="105"/>
              </w:rPr>
              <w:t>Planifikimi</w:t>
            </w:r>
            <w:r w:rsidRPr="00F21B10">
              <w:rPr>
                <w:w w:val="105"/>
              </w:rPr>
              <w:tab/>
              <w:t>për</w:t>
            </w:r>
          </w:p>
          <w:p w14:paraId="7E158B54" w14:textId="77777777" w:rsidR="00674147" w:rsidRPr="00F21B10" w:rsidRDefault="00674147" w:rsidP="00E90F68">
            <w:pPr>
              <w:pStyle w:val="TableParagraph"/>
              <w:spacing w:before="6" w:line="238" w:lineRule="exact"/>
              <w:ind w:left="102"/>
              <w:jc w:val="left"/>
            </w:pPr>
            <w:r w:rsidRPr="00F21B10">
              <w:rPr>
                <w:w w:val="105"/>
              </w:rPr>
              <w:t>2026</w:t>
            </w:r>
          </w:p>
        </w:tc>
        <w:tc>
          <w:tcPr>
            <w:tcW w:w="1219" w:type="dxa"/>
          </w:tcPr>
          <w:p w14:paraId="1B8EFFC4" w14:textId="1DF6F562" w:rsidR="00674147" w:rsidRPr="00F21B10" w:rsidRDefault="00674147" w:rsidP="00E90F68">
            <w:pPr>
              <w:pStyle w:val="TableParagraph"/>
              <w:jc w:val="left"/>
            </w:pPr>
            <w:r w:rsidRPr="00F21B10">
              <w:t>280</w:t>
            </w:r>
          </w:p>
        </w:tc>
        <w:tc>
          <w:tcPr>
            <w:tcW w:w="1281" w:type="dxa"/>
          </w:tcPr>
          <w:p w14:paraId="57F6CB8F" w14:textId="178E43E2" w:rsidR="00674147" w:rsidRPr="00F21B10" w:rsidRDefault="00674147" w:rsidP="00E90F68">
            <w:pPr>
              <w:pStyle w:val="TableParagraph"/>
              <w:jc w:val="left"/>
            </w:pPr>
            <w:r w:rsidRPr="00F21B10">
              <w:t>137</w:t>
            </w:r>
          </w:p>
        </w:tc>
        <w:tc>
          <w:tcPr>
            <w:tcW w:w="1365" w:type="dxa"/>
            <w:tcBorders>
              <w:right w:val="single" w:sz="6" w:space="0" w:color="000000"/>
            </w:tcBorders>
          </w:tcPr>
          <w:p w14:paraId="31EC001F" w14:textId="77777777" w:rsidR="00674147" w:rsidRPr="00F21B10" w:rsidRDefault="00674147" w:rsidP="00E90F68">
            <w:pPr>
              <w:pStyle w:val="TableParagraph"/>
              <w:jc w:val="left"/>
            </w:pPr>
            <w:r w:rsidRPr="00F21B10">
              <w:t>143</w:t>
            </w:r>
          </w:p>
        </w:tc>
        <w:tc>
          <w:tcPr>
            <w:tcW w:w="1787" w:type="dxa"/>
            <w:tcBorders>
              <w:left w:val="single" w:sz="6" w:space="0" w:color="000000"/>
            </w:tcBorders>
          </w:tcPr>
          <w:p w14:paraId="45CD7091" w14:textId="77777777" w:rsidR="00674147" w:rsidRPr="00F21B10" w:rsidRDefault="00674147" w:rsidP="00E90F68">
            <w:pPr>
              <w:pStyle w:val="TableParagraph"/>
              <w:jc w:val="left"/>
            </w:pPr>
            <w:r w:rsidRPr="00F21B10">
              <w:t>1,200,000.00</w:t>
            </w:r>
          </w:p>
        </w:tc>
        <w:tc>
          <w:tcPr>
            <w:tcW w:w="1789" w:type="dxa"/>
          </w:tcPr>
          <w:p w14:paraId="75643334" w14:textId="77777777" w:rsidR="00674147" w:rsidRPr="00F21B10" w:rsidRDefault="00674147" w:rsidP="00E90F68">
            <w:pPr>
              <w:pStyle w:val="TableParagraph"/>
              <w:jc w:val="left"/>
            </w:pPr>
            <w:r w:rsidRPr="00F21B10">
              <w:t>1,289,562</w:t>
            </w:r>
          </w:p>
        </w:tc>
      </w:tr>
    </w:tbl>
    <w:p w14:paraId="39163FD9" w14:textId="77777777" w:rsidR="00674147" w:rsidRPr="00F21B10" w:rsidRDefault="00674147" w:rsidP="00674147">
      <w:pPr>
        <w:pStyle w:val="BodyText"/>
      </w:pPr>
    </w:p>
    <w:p w14:paraId="259C3336" w14:textId="77777777" w:rsidR="00674147" w:rsidRPr="00F21B10" w:rsidRDefault="00674147" w:rsidP="00674147">
      <w:pPr>
        <w:pStyle w:val="BodyText"/>
        <w:spacing w:before="1"/>
      </w:pPr>
    </w:p>
    <w:p w14:paraId="74656E1D" w14:textId="77777777" w:rsidR="00674147" w:rsidRPr="00F21B10" w:rsidRDefault="00674147" w:rsidP="00674147">
      <w:pPr>
        <w:pStyle w:val="BodyText"/>
        <w:spacing w:before="1" w:line="244" w:lineRule="auto"/>
        <w:ind w:left="215" w:right="1671"/>
        <w:rPr>
          <w:w w:val="105"/>
        </w:rPr>
      </w:pPr>
      <w:r w:rsidRPr="00F21B10">
        <w:t>Tabela</w:t>
      </w:r>
      <w:r w:rsidRPr="00F21B10">
        <w:rPr>
          <w:spacing w:val="9"/>
        </w:rPr>
        <w:t xml:space="preserve"> </w:t>
      </w:r>
      <w:r w:rsidRPr="00F21B10">
        <w:t>2.</w:t>
      </w:r>
      <w:r w:rsidRPr="00F21B10">
        <w:rPr>
          <w:spacing w:val="8"/>
        </w:rPr>
        <w:t xml:space="preserve"> </w:t>
      </w:r>
      <w:r w:rsidRPr="00F21B10">
        <w:t>Planifikimi</w:t>
      </w:r>
      <w:r w:rsidRPr="00F21B10">
        <w:rPr>
          <w:spacing w:val="10"/>
        </w:rPr>
        <w:t xml:space="preserve"> </w:t>
      </w:r>
      <w:r w:rsidRPr="00F21B10">
        <w:t>për</w:t>
      </w:r>
      <w:r w:rsidRPr="00F21B10">
        <w:rPr>
          <w:spacing w:val="16"/>
        </w:rPr>
        <w:t xml:space="preserve"> </w:t>
      </w:r>
      <w:r w:rsidRPr="00F21B10">
        <w:t>vitin</w:t>
      </w:r>
      <w:r w:rsidRPr="00F21B10">
        <w:rPr>
          <w:spacing w:val="10"/>
        </w:rPr>
        <w:t xml:space="preserve"> </w:t>
      </w:r>
      <w:r w:rsidRPr="00F21B10">
        <w:t>2025-</w:t>
      </w:r>
      <w:r w:rsidRPr="00F21B10">
        <w:rPr>
          <w:spacing w:val="17"/>
        </w:rPr>
        <w:t xml:space="preserve"> </w:t>
      </w:r>
      <w:r w:rsidRPr="00F21B10">
        <w:t>Nivelet</w:t>
      </w:r>
      <w:r w:rsidRPr="00F21B10">
        <w:rPr>
          <w:spacing w:val="17"/>
        </w:rPr>
        <w:t xml:space="preserve"> </w:t>
      </w:r>
      <w:r w:rsidRPr="00F21B10">
        <w:t>e</w:t>
      </w:r>
      <w:r w:rsidRPr="00F21B10">
        <w:rPr>
          <w:spacing w:val="17"/>
        </w:rPr>
        <w:t xml:space="preserve"> </w:t>
      </w:r>
      <w:r w:rsidRPr="00F21B10">
        <w:t>pagave</w:t>
      </w:r>
      <w:r w:rsidRPr="00F21B10">
        <w:rPr>
          <w:spacing w:val="19"/>
        </w:rPr>
        <w:t xml:space="preserve"> </w:t>
      </w:r>
      <w:r w:rsidRPr="00F21B10">
        <w:t>në</w:t>
      </w:r>
      <w:r w:rsidRPr="00F21B10">
        <w:rPr>
          <w:spacing w:val="13"/>
        </w:rPr>
        <w:t xml:space="preserve"> </w:t>
      </w:r>
      <w:r w:rsidRPr="00F21B10">
        <w:t>Organizatën</w:t>
      </w:r>
      <w:r w:rsidRPr="00F21B10">
        <w:rPr>
          <w:spacing w:val="12"/>
        </w:rPr>
        <w:t xml:space="preserve"> </w:t>
      </w:r>
      <w:r w:rsidRPr="00F21B10">
        <w:t>Buxhetore</w:t>
      </w:r>
      <w:r w:rsidRPr="00F21B10">
        <w:rPr>
          <w:spacing w:val="-52"/>
        </w:rPr>
        <w:t xml:space="preserve"> </w:t>
      </w:r>
    </w:p>
    <w:p w14:paraId="723E4405" w14:textId="77777777" w:rsidR="00674147" w:rsidRPr="00F21B10" w:rsidRDefault="00674147" w:rsidP="00674147">
      <w:pPr>
        <w:pStyle w:val="BodyText"/>
        <w:spacing w:before="1" w:line="244" w:lineRule="auto"/>
        <w:ind w:left="215" w:right="1671"/>
      </w:pPr>
      <w:r w:rsidRPr="00F21B10">
        <w:rPr>
          <w:w w:val="105"/>
        </w:rPr>
        <w:t>Komuna Hani i Elezit</w:t>
      </w:r>
    </w:p>
    <w:tbl>
      <w:tblPr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9"/>
        <w:gridCol w:w="1313"/>
        <w:gridCol w:w="1390"/>
        <w:gridCol w:w="1503"/>
        <w:gridCol w:w="1565"/>
        <w:gridCol w:w="1483"/>
      </w:tblGrid>
      <w:tr w:rsidR="00674147" w:rsidRPr="00F21B10" w14:paraId="0117CEFA" w14:textId="77777777" w:rsidTr="00E90F68">
        <w:trPr>
          <w:trHeight w:val="1036"/>
        </w:trPr>
        <w:tc>
          <w:tcPr>
            <w:tcW w:w="2009" w:type="dxa"/>
            <w:tcBorders>
              <w:left w:val="single" w:sz="6" w:space="0" w:color="000000"/>
            </w:tcBorders>
          </w:tcPr>
          <w:p w14:paraId="59C46CD3" w14:textId="77777777" w:rsidR="00674147" w:rsidRPr="00F21B10" w:rsidRDefault="00674147" w:rsidP="00E90F68">
            <w:pPr>
              <w:pStyle w:val="TableParagraph"/>
              <w:spacing w:before="10"/>
              <w:jc w:val="left"/>
            </w:pPr>
          </w:p>
          <w:p w14:paraId="5F8FC1FA" w14:textId="77777777" w:rsidR="00674147" w:rsidRPr="00F21B10" w:rsidRDefault="00674147" w:rsidP="00E90F68">
            <w:pPr>
              <w:pStyle w:val="TableParagraph"/>
              <w:ind w:left="102"/>
              <w:jc w:val="left"/>
            </w:pPr>
            <w:r w:rsidRPr="00F21B10">
              <w:rPr>
                <w:spacing w:val="-1"/>
                <w:w w:val="105"/>
              </w:rPr>
              <w:t>Niveli</w:t>
            </w:r>
            <w:r w:rsidRPr="00F21B10">
              <w:rPr>
                <w:spacing w:val="-13"/>
                <w:w w:val="105"/>
              </w:rPr>
              <w:t xml:space="preserve"> </w:t>
            </w:r>
            <w:r w:rsidRPr="00F21B10">
              <w:rPr>
                <w:spacing w:val="-1"/>
                <w:w w:val="105"/>
              </w:rPr>
              <w:t>i</w:t>
            </w:r>
            <w:r w:rsidRPr="00F21B10">
              <w:rPr>
                <w:spacing w:val="-13"/>
                <w:w w:val="105"/>
              </w:rPr>
              <w:t xml:space="preserve"> </w:t>
            </w:r>
            <w:r w:rsidRPr="00F21B10">
              <w:rPr>
                <w:spacing w:val="-1"/>
                <w:w w:val="105"/>
              </w:rPr>
              <w:t>pagave</w:t>
            </w:r>
          </w:p>
        </w:tc>
        <w:tc>
          <w:tcPr>
            <w:tcW w:w="1313" w:type="dxa"/>
            <w:tcBorders>
              <w:right w:val="single" w:sz="6" w:space="0" w:color="000000"/>
            </w:tcBorders>
          </w:tcPr>
          <w:p w14:paraId="2911802B" w14:textId="77777777" w:rsidR="00674147" w:rsidRPr="00F21B10" w:rsidRDefault="00674147" w:rsidP="00E90F68">
            <w:pPr>
              <w:pStyle w:val="TableParagraph"/>
              <w:spacing w:line="244" w:lineRule="auto"/>
              <w:ind w:left="102" w:right="88" w:firstLine="6"/>
              <w:jc w:val="center"/>
            </w:pPr>
            <w:r w:rsidRPr="00F21B10">
              <w:t>Numri</w:t>
            </w:r>
            <w:r w:rsidRPr="00F21B10">
              <w:rPr>
                <w:spacing w:val="14"/>
              </w:rPr>
              <w:t xml:space="preserve"> </w:t>
            </w:r>
            <w:r w:rsidRPr="00F21B10">
              <w:t>total</w:t>
            </w:r>
            <w:r w:rsidRPr="00F21B10">
              <w:rPr>
                <w:spacing w:val="1"/>
              </w:rPr>
              <w:t xml:space="preserve"> </w:t>
            </w:r>
            <w:r w:rsidRPr="00F21B10">
              <w:rPr>
                <w:w w:val="105"/>
              </w:rPr>
              <w:t>i stafit në</w:t>
            </w:r>
            <w:r w:rsidRPr="00F21B10">
              <w:rPr>
                <w:spacing w:val="1"/>
                <w:w w:val="105"/>
              </w:rPr>
              <w:t xml:space="preserve"> </w:t>
            </w:r>
            <w:r w:rsidRPr="00F21B10">
              <w:rPr>
                <w:spacing w:val="-2"/>
                <w:w w:val="105"/>
              </w:rPr>
              <w:t>këtë</w:t>
            </w:r>
            <w:r w:rsidRPr="00F21B10">
              <w:rPr>
                <w:spacing w:val="-9"/>
                <w:w w:val="105"/>
              </w:rPr>
              <w:t xml:space="preserve"> </w:t>
            </w:r>
            <w:r w:rsidRPr="00F21B10">
              <w:rPr>
                <w:spacing w:val="-2"/>
                <w:w w:val="105"/>
              </w:rPr>
              <w:t>nivel</w:t>
            </w:r>
            <w:r w:rsidRPr="00F21B10">
              <w:rPr>
                <w:spacing w:val="-11"/>
                <w:w w:val="105"/>
              </w:rPr>
              <w:t xml:space="preserve"> </w:t>
            </w:r>
            <w:r w:rsidRPr="00F21B10">
              <w:rPr>
                <w:spacing w:val="-1"/>
                <w:w w:val="105"/>
              </w:rPr>
              <w:t>të</w:t>
            </w:r>
          </w:p>
          <w:p w14:paraId="1F6EBE20" w14:textId="77777777" w:rsidR="00674147" w:rsidRPr="00F21B10" w:rsidRDefault="00674147" w:rsidP="00E90F68">
            <w:pPr>
              <w:pStyle w:val="TableParagraph"/>
              <w:spacing w:before="9" w:line="233" w:lineRule="exact"/>
              <w:ind w:left="304" w:right="296"/>
              <w:jc w:val="center"/>
            </w:pPr>
            <w:r w:rsidRPr="00F21B10">
              <w:rPr>
                <w:w w:val="105"/>
              </w:rPr>
              <w:t>pagave</w:t>
            </w:r>
          </w:p>
        </w:tc>
        <w:tc>
          <w:tcPr>
            <w:tcW w:w="1390" w:type="dxa"/>
            <w:tcBorders>
              <w:left w:val="single" w:sz="6" w:space="0" w:color="000000"/>
            </w:tcBorders>
          </w:tcPr>
          <w:p w14:paraId="7680968E" w14:textId="77777777" w:rsidR="00674147" w:rsidRPr="00F21B10" w:rsidRDefault="00674147" w:rsidP="00E90F68">
            <w:pPr>
              <w:pStyle w:val="TableParagraph"/>
              <w:spacing w:before="130" w:line="244" w:lineRule="auto"/>
              <w:ind w:left="217" w:right="203" w:hanging="1"/>
              <w:jc w:val="center"/>
            </w:pPr>
            <w:r w:rsidRPr="00F21B10">
              <w:rPr>
                <w:w w:val="105"/>
              </w:rPr>
              <w:t>Numri i</w:t>
            </w:r>
            <w:r w:rsidRPr="00F21B10">
              <w:rPr>
                <w:spacing w:val="1"/>
                <w:w w:val="105"/>
              </w:rPr>
              <w:t xml:space="preserve"> </w:t>
            </w:r>
            <w:r w:rsidRPr="00F21B10">
              <w:rPr>
                <w:spacing w:val="-4"/>
                <w:w w:val="105"/>
              </w:rPr>
              <w:t>burrave në</w:t>
            </w:r>
            <w:r w:rsidRPr="00F21B10">
              <w:rPr>
                <w:spacing w:val="-55"/>
                <w:w w:val="105"/>
              </w:rPr>
              <w:t xml:space="preserve"> </w:t>
            </w:r>
            <w:r w:rsidRPr="00F21B10">
              <w:rPr>
                <w:w w:val="105"/>
              </w:rPr>
              <w:t>këtë</w:t>
            </w:r>
            <w:r w:rsidRPr="00F21B10">
              <w:rPr>
                <w:spacing w:val="-9"/>
                <w:w w:val="105"/>
              </w:rPr>
              <w:t xml:space="preserve"> </w:t>
            </w:r>
            <w:r w:rsidRPr="00F21B10">
              <w:rPr>
                <w:w w:val="105"/>
              </w:rPr>
              <w:t>nivel</w:t>
            </w:r>
          </w:p>
        </w:tc>
        <w:tc>
          <w:tcPr>
            <w:tcW w:w="1503" w:type="dxa"/>
          </w:tcPr>
          <w:p w14:paraId="3E1CC9FC" w14:textId="77777777" w:rsidR="00674147" w:rsidRPr="00F21B10" w:rsidRDefault="00674147" w:rsidP="00E90F68">
            <w:pPr>
              <w:pStyle w:val="TableParagraph"/>
              <w:spacing w:line="244" w:lineRule="auto"/>
              <w:ind w:left="116" w:right="99" w:hanging="10"/>
              <w:jc w:val="center"/>
            </w:pPr>
            <w:r w:rsidRPr="00F21B10">
              <w:rPr>
                <w:w w:val="105"/>
              </w:rPr>
              <w:t>Shuma e</w:t>
            </w:r>
            <w:r w:rsidRPr="00F21B10">
              <w:rPr>
                <w:spacing w:val="1"/>
                <w:w w:val="105"/>
              </w:rPr>
              <w:t xml:space="preserve"> </w:t>
            </w:r>
            <w:r w:rsidRPr="00F21B10">
              <w:t>shpenzuar</w:t>
            </w:r>
            <w:r w:rsidRPr="00F21B10">
              <w:rPr>
                <w:spacing w:val="15"/>
              </w:rPr>
              <w:t xml:space="preserve"> </w:t>
            </w:r>
            <w:r w:rsidRPr="00F21B10">
              <w:t>për</w:t>
            </w:r>
            <w:r w:rsidRPr="00F21B10">
              <w:rPr>
                <w:spacing w:val="-52"/>
              </w:rPr>
              <w:t xml:space="preserve"> </w:t>
            </w:r>
            <w:r w:rsidRPr="00F21B10">
              <w:rPr>
                <w:w w:val="105"/>
              </w:rPr>
              <w:t>burra</w:t>
            </w:r>
            <w:r w:rsidRPr="00F21B10">
              <w:rPr>
                <w:spacing w:val="-9"/>
                <w:w w:val="105"/>
              </w:rPr>
              <w:t xml:space="preserve"> </w:t>
            </w:r>
            <w:r w:rsidRPr="00F21B10">
              <w:rPr>
                <w:w w:val="105"/>
              </w:rPr>
              <w:t>në</w:t>
            </w:r>
            <w:r w:rsidRPr="00F21B10">
              <w:rPr>
                <w:spacing w:val="-11"/>
                <w:w w:val="105"/>
              </w:rPr>
              <w:t xml:space="preserve"> </w:t>
            </w:r>
            <w:r w:rsidRPr="00F21B10">
              <w:rPr>
                <w:w w:val="105"/>
              </w:rPr>
              <w:t>këtë</w:t>
            </w:r>
          </w:p>
          <w:p w14:paraId="717DA0E2" w14:textId="77777777" w:rsidR="00674147" w:rsidRPr="00F21B10" w:rsidRDefault="00674147" w:rsidP="00E90F68">
            <w:pPr>
              <w:pStyle w:val="TableParagraph"/>
              <w:spacing w:before="9" w:line="233" w:lineRule="exact"/>
              <w:ind w:left="494" w:right="487"/>
              <w:jc w:val="center"/>
            </w:pPr>
            <w:r w:rsidRPr="00F21B10">
              <w:rPr>
                <w:w w:val="105"/>
              </w:rPr>
              <w:t>nivel</w:t>
            </w:r>
          </w:p>
        </w:tc>
        <w:tc>
          <w:tcPr>
            <w:tcW w:w="1565" w:type="dxa"/>
          </w:tcPr>
          <w:p w14:paraId="7B920438" w14:textId="77777777" w:rsidR="00674147" w:rsidRPr="00F21B10" w:rsidRDefault="00674147" w:rsidP="00E90F68">
            <w:pPr>
              <w:pStyle w:val="TableParagraph"/>
              <w:jc w:val="left"/>
            </w:pPr>
          </w:p>
          <w:p w14:paraId="2BB8DDF1" w14:textId="77777777" w:rsidR="00674147" w:rsidRPr="00F21B10" w:rsidRDefault="00674147" w:rsidP="00E90F68">
            <w:pPr>
              <w:pStyle w:val="TableParagraph"/>
              <w:ind w:left="178" w:right="132" w:hanging="29"/>
              <w:jc w:val="left"/>
            </w:pPr>
            <w:r w:rsidRPr="00F21B10">
              <w:rPr>
                <w:spacing w:val="-4"/>
                <w:w w:val="105"/>
              </w:rPr>
              <w:t>Numri i grave</w:t>
            </w:r>
            <w:r w:rsidRPr="00F21B10">
              <w:rPr>
                <w:spacing w:val="-55"/>
                <w:w w:val="105"/>
              </w:rPr>
              <w:t xml:space="preserve"> </w:t>
            </w:r>
            <w:r w:rsidRPr="00F21B10">
              <w:rPr>
                <w:spacing w:val="-2"/>
                <w:w w:val="105"/>
              </w:rPr>
              <w:t>në</w:t>
            </w:r>
            <w:r w:rsidRPr="00F21B10">
              <w:rPr>
                <w:spacing w:val="-8"/>
                <w:w w:val="105"/>
              </w:rPr>
              <w:t xml:space="preserve"> </w:t>
            </w:r>
            <w:r w:rsidRPr="00F21B10">
              <w:rPr>
                <w:spacing w:val="-1"/>
                <w:w w:val="105"/>
              </w:rPr>
              <w:t>këtë</w:t>
            </w:r>
            <w:r w:rsidRPr="00F21B10">
              <w:rPr>
                <w:spacing w:val="-14"/>
                <w:w w:val="105"/>
              </w:rPr>
              <w:t xml:space="preserve"> </w:t>
            </w:r>
            <w:r w:rsidRPr="00F21B10">
              <w:rPr>
                <w:spacing w:val="-1"/>
                <w:w w:val="105"/>
              </w:rPr>
              <w:t>nivel.</w:t>
            </w:r>
          </w:p>
        </w:tc>
        <w:tc>
          <w:tcPr>
            <w:tcW w:w="1483" w:type="dxa"/>
          </w:tcPr>
          <w:p w14:paraId="6E273B4B" w14:textId="77777777" w:rsidR="00674147" w:rsidRPr="00F21B10" w:rsidRDefault="00674147" w:rsidP="00E90F68">
            <w:pPr>
              <w:pStyle w:val="TableParagraph"/>
              <w:spacing w:line="244" w:lineRule="auto"/>
              <w:ind w:left="105" w:right="94" w:hanging="6"/>
              <w:jc w:val="center"/>
            </w:pPr>
            <w:r w:rsidRPr="00F21B10">
              <w:rPr>
                <w:w w:val="105"/>
              </w:rPr>
              <w:t>Shuma e</w:t>
            </w:r>
            <w:r w:rsidRPr="00F21B10">
              <w:rPr>
                <w:spacing w:val="1"/>
                <w:w w:val="105"/>
              </w:rPr>
              <w:t xml:space="preserve"> </w:t>
            </w:r>
            <w:r w:rsidRPr="00F21B10">
              <w:t>shpenzuar</w:t>
            </w:r>
            <w:r w:rsidRPr="00F21B10">
              <w:rPr>
                <w:spacing w:val="13"/>
              </w:rPr>
              <w:t xml:space="preserve"> </w:t>
            </w:r>
            <w:r w:rsidRPr="00F21B10">
              <w:t>për</w:t>
            </w:r>
            <w:r w:rsidRPr="00F21B10">
              <w:rPr>
                <w:spacing w:val="-52"/>
              </w:rPr>
              <w:t xml:space="preserve"> </w:t>
            </w:r>
            <w:r w:rsidRPr="00F21B10">
              <w:rPr>
                <w:w w:val="105"/>
              </w:rPr>
              <w:t>gra</w:t>
            </w:r>
            <w:r w:rsidRPr="00F21B10">
              <w:rPr>
                <w:spacing w:val="-5"/>
                <w:w w:val="105"/>
              </w:rPr>
              <w:t xml:space="preserve"> </w:t>
            </w:r>
            <w:r w:rsidRPr="00F21B10">
              <w:rPr>
                <w:w w:val="105"/>
              </w:rPr>
              <w:t>në</w:t>
            </w:r>
            <w:r w:rsidRPr="00F21B10">
              <w:rPr>
                <w:spacing w:val="-3"/>
                <w:w w:val="105"/>
              </w:rPr>
              <w:t xml:space="preserve"> </w:t>
            </w:r>
            <w:r w:rsidRPr="00F21B10">
              <w:rPr>
                <w:w w:val="105"/>
              </w:rPr>
              <w:t>këtë</w:t>
            </w:r>
          </w:p>
          <w:p w14:paraId="721A96CB" w14:textId="77777777" w:rsidR="00674147" w:rsidRPr="00F21B10" w:rsidRDefault="00674147" w:rsidP="00E90F68">
            <w:pPr>
              <w:pStyle w:val="TableParagraph"/>
              <w:spacing w:before="9" w:line="233" w:lineRule="exact"/>
              <w:ind w:left="483" w:right="477"/>
              <w:jc w:val="center"/>
            </w:pPr>
            <w:r w:rsidRPr="00F21B10">
              <w:rPr>
                <w:w w:val="105"/>
              </w:rPr>
              <w:t>nivel</w:t>
            </w:r>
          </w:p>
        </w:tc>
      </w:tr>
      <w:tr w:rsidR="00674147" w:rsidRPr="00F21B10" w14:paraId="1D148268" w14:textId="77777777" w:rsidTr="00E90F68">
        <w:trPr>
          <w:trHeight w:val="301"/>
        </w:trPr>
        <w:tc>
          <w:tcPr>
            <w:tcW w:w="2009" w:type="dxa"/>
            <w:tcBorders>
              <w:left w:val="single" w:sz="6" w:space="0" w:color="000000"/>
              <w:bottom w:val="single" w:sz="6" w:space="0" w:color="000000"/>
            </w:tcBorders>
          </w:tcPr>
          <w:p w14:paraId="096C0F96" w14:textId="77777777" w:rsidR="00674147" w:rsidRPr="00F21B10" w:rsidRDefault="00674147" w:rsidP="00E90F68">
            <w:pPr>
              <w:pStyle w:val="TableParagraph"/>
              <w:spacing w:before="24"/>
              <w:ind w:left="102"/>
              <w:jc w:val="left"/>
            </w:pPr>
            <w:r w:rsidRPr="00F21B10">
              <w:rPr>
                <w:w w:val="105"/>
              </w:rPr>
              <w:t>201-400</w:t>
            </w:r>
          </w:p>
        </w:tc>
        <w:tc>
          <w:tcPr>
            <w:tcW w:w="1313" w:type="dxa"/>
            <w:tcBorders>
              <w:bottom w:val="single" w:sz="6" w:space="0" w:color="000000"/>
              <w:right w:val="single" w:sz="6" w:space="0" w:color="000000"/>
            </w:tcBorders>
          </w:tcPr>
          <w:p w14:paraId="119E9AE7" w14:textId="77777777" w:rsidR="00674147" w:rsidRPr="00F21B10" w:rsidRDefault="00674147" w:rsidP="00E90F68">
            <w:pPr>
              <w:pStyle w:val="TableParagraph"/>
              <w:jc w:val="left"/>
            </w:pPr>
          </w:p>
        </w:tc>
        <w:tc>
          <w:tcPr>
            <w:tcW w:w="1390" w:type="dxa"/>
            <w:tcBorders>
              <w:left w:val="single" w:sz="6" w:space="0" w:color="000000"/>
              <w:bottom w:val="single" w:sz="6" w:space="0" w:color="000000"/>
            </w:tcBorders>
          </w:tcPr>
          <w:p w14:paraId="0CA951BF" w14:textId="77777777" w:rsidR="00674147" w:rsidRPr="00F21B10" w:rsidRDefault="00674147" w:rsidP="00E90F68">
            <w:pPr>
              <w:pStyle w:val="TableParagraph"/>
              <w:jc w:val="left"/>
            </w:pPr>
          </w:p>
        </w:tc>
        <w:tc>
          <w:tcPr>
            <w:tcW w:w="1503" w:type="dxa"/>
            <w:tcBorders>
              <w:bottom w:val="single" w:sz="6" w:space="0" w:color="000000"/>
            </w:tcBorders>
          </w:tcPr>
          <w:p w14:paraId="56B1C299" w14:textId="77777777" w:rsidR="00674147" w:rsidRPr="00F21B10" w:rsidRDefault="00674147" w:rsidP="00E90F68">
            <w:pPr>
              <w:pStyle w:val="TableParagraph"/>
              <w:jc w:val="left"/>
            </w:pPr>
          </w:p>
        </w:tc>
        <w:tc>
          <w:tcPr>
            <w:tcW w:w="1565" w:type="dxa"/>
            <w:tcBorders>
              <w:bottom w:val="single" w:sz="6" w:space="0" w:color="000000"/>
            </w:tcBorders>
          </w:tcPr>
          <w:p w14:paraId="7C833E3C" w14:textId="77777777" w:rsidR="00674147" w:rsidRPr="00F21B10" w:rsidRDefault="00674147" w:rsidP="00E90F68">
            <w:pPr>
              <w:pStyle w:val="TableParagraph"/>
              <w:jc w:val="left"/>
            </w:pPr>
          </w:p>
        </w:tc>
        <w:tc>
          <w:tcPr>
            <w:tcW w:w="1483" w:type="dxa"/>
            <w:tcBorders>
              <w:bottom w:val="single" w:sz="6" w:space="0" w:color="000000"/>
            </w:tcBorders>
          </w:tcPr>
          <w:p w14:paraId="51F77370" w14:textId="77777777" w:rsidR="00674147" w:rsidRPr="00F21B10" w:rsidRDefault="00674147" w:rsidP="00E90F68">
            <w:pPr>
              <w:pStyle w:val="TableParagraph"/>
              <w:jc w:val="left"/>
            </w:pPr>
          </w:p>
        </w:tc>
      </w:tr>
      <w:tr w:rsidR="00674147" w:rsidRPr="00F21B10" w14:paraId="32482AD8" w14:textId="77777777" w:rsidTr="00E90F68">
        <w:trPr>
          <w:trHeight w:val="306"/>
        </w:trPr>
        <w:tc>
          <w:tcPr>
            <w:tcW w:w="2009" w:type="dxa"/>
            <w:tcBorders>
              <w:top w:val="single" w:sz="6" w:space="0" w:color="000000"/>
              <w:left w:val="single" w:sz="6" w:space="0" w:color="000000"/>
            </w:tcBorders>
          </w:tcPr>
          <w:p w14:paraId="36DB86C8" w14:textId="77777777" w:rsidR="00674147" w:rsidRPr="00F21B10" w:rsidRDefault="00674147" w:rsidP="00E90F68">
            <w:pPr>
              <w:pStyle w:val="TableParagraph"/>
              <w:spacing w:before="24"/>
              <w:ind w:left="102"/>
              <w:jc w:val="left"/>
            </w:pPr>
            <w:r w:rsidRPr="00F21B10">
              <w:rPr>
                <w:w w:val="105"/>
              </w:rPr>
              <w:t>401-600</w:t>
            </w:r>
          </w:p>
        </w:tc>
        <w:tc>
          <w:tcPr>
            <w:tcW w:w="1313" w:type="dxa"/>
            <w:tcBorders>
              <w:top w:val="single" w:sz="6" w:space="0" w:color="000000"/>
              <w:right w:val="single" w:sz="6" w:space="0" w:color="000000"/>
            </w:tcBorders>
          </w:tcPr>
          <w:p w14:paraId="1ECE6693" w14:textId="77777777" w:rsidR="00674147" w:rsidRPr="00F21B10" w:rsidRDefault="00674147" w:rsidP="00E90F68">
            <w:pPr>
              <w:pStyle w:val="TableParagraph"/>
              <w:jc w:val="left"/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</w:tcBorders>
          </w:tcPr>
          <w:p w14:paraId="6F41C68E" w14:textId="77777777" w:rsidR="00674147" w:rsidRPr="00F21B10" w:rsidRDefault="00674147" w:rsidP="00E90F68">
            <w:pPr>
              <w:pStyle w:val="TableParagraph"/>
              <w:jc w:val="left"/>
            </w:pPr>
          </w:p>
        </w:tc>
        <w:tc>
          <w:tcPr>
            <w:tcW w:w="1503" w:type="dxa"/>
            <w:tcBorders>
              <w:top w:val="single" w:sz="6" w:space="0" w:color="000000"/>
            </w:tcBorders>
          </w:tcPr>
          <w:p w14:paraId="496B156B" w14:textId="77777777" w:rsidR="00674147" w:rsidRPr="00F21B10" w:rsidRDefault="00674147" w:rsidP="00E90F68">
            <w:pPr>
              <w:pStyle w:val="TableParagraph"/>
              <w:jc w:val="left"/>
            </w:pPr>
          </w:p>
        </w:tc>
        <w:tc>
          <w:tcPr>
            <w:tcW w:w="1565" w:type="dxa"/>
            <w:tcBorders>
              <w:top w:val="single" w:sz="6" w:space="0" w:color="000000"/>
            </w:tcBorders>
          </w:tcPr>
          <w:p w14:paraId="2C219000" w14:textId="77777777" w:rsidR="00674147" w:rsidRPr="00F21B10" w:rsidRDefault="00674147" w:rsidP="00E90F68">
            <w:pPr>
              <w:pStyle w:val="TableParagraph"/>
              <w:jc w:val="left"/>
            </w:pPr>
          </w:p>
        </w:tc>
        <w:tc>
          <w:tcPr>
            <w:tcW w:w="1483" w:type="dxa"/>
            <w:tcBorders>
              <w:top w:val="single" w:sz="6" w:space="0" w:color="000000"/>
            </w:tcBorders>
          </w:tcPr>
          <w:p w14:paraId="1E9E1995" w14:textId="77777777" w:rsidR="00674147" w:rsidRPr="00F21B10" w:rsidRDefault="00674147" w:rsidP="00E90F68">
            <w:pPr>
              <w:pStyle w:val="TableParagraph"/>
              <w:jc w:val="left"/>
            </w:pPr>
          </w:p>
        </w:tc>
      </w:tr>
      <w:tr w:rsidR="00674147" w:rsidRPr="00F21B10" w14:paraId="7F171C66" w14:textId="77777777" w:rsidTr="00E90F68">
        <w:trPr>
          <w:trHeight w:val="301"/>
        </w:trPr>
        <w:tc>
          <w:tcPr>
            <w:tcW w:w="2009" w:type="dxa"/>
            <w:tcBorders>
              <w:left w:val="single" w:sz="6" w:space="0" w:color="000000"/>
            </w:tcBorders>
          </w:tcPr>
          <w:p w14:paraId="15A05F69" w14:textId="77777777" w:rsidR="00674147" w:rsidRPr="00F21B10" w:rsidRDefault="00674147" w:rsidP="00E90F68">
            <w:pPr>
              <w:pStyle w:val="TableParagraph"/>
              <w:spacing w:before="24"/>
              <w:ind w:left="102"/>
              <w:jc w:val="left"/>
            </w:pPr>
            <w:r w:rsidRPr="00F21B10">
              <w:rPr>
                <w:w w:val="105"/>
              </w:rPr>
              <w:t>600+</w:t>
            </w:r>
          </w:p>
        </w:tc>
        <w:tc>
          <w:tcPr>
            <w:tcW w:w="1313" w:type="dxa"/>
            <w:tcBorders>
              <w:right w:val="single" w:sz="6" w:space="0" w:color="000000"/>
            </w:tcBorders>
          </w:tcPr>
          <w:p w14:paraId="447908CD" w14:textId="77777777" w:rsidR="00674147" w:rsidRPr="00F21B10" w:rsidRDefault="00674147" w:rsidP="00E90F68">
            <w:pPr>
              <w:pStyle w:val="TableParagraph"/>
              <w:jc w:val="left"/>
            </w:pPr>
          </w:p>
        </w:tc>
        <w:tc>
          <w:tcPr>
            <w:tcW w:w="1390" w:type="dxa"/>
            <w:tcBorders>
              <w:left w:val="single" w:sz="6" w:space="0" w:color="000000"/>
            </w:tcBorders>
          </w:tcPr>
          <w:p w14:paraId="72536926" w14:textId="77777777" w:rsidR="00674147" w:rsidRPr="00F21B10" w:rsidRDefault="00674147" w:rsidP="00E90F68">
            <w:pPr>
              <w:pStyle w:val="TableParagraph"/>
              <w:jc w:val="left"/>
            </w:pPr>
          </w:p>
        </w:tc>
        <w:tc>
          <w:tcPr>
            <w:tcW w:w="1503" w:type="dxa"/>
          </w:tcPr>
          <w:p w14:paraId="04F5DE5B" w14:textId="77777777" w:rsidR="00674147" w:rsidRPr="00F21B10" w:rsidRDefault="00674147" w:rsidP="00E90F68">
            <w:pPr>
              <w:pStyle w:val="TableParagraph"/>
              <w:jc w:val="left"/>
            </w:pPr>
          </w:p>
        </w:tc>
        <w:tc>
          <w:tcPr>
            <w:tcW w:w="1565" w:type="dxa"/>
          </w:tcPr>
          <w:p w14:paraId="675FECCC" w14:textId="77777777" w:rsidR="00674147" w:rsidRPr="00F21B10" w:rsidRDefault="00674147" w:rsidP="00E90F68">
            <w:pPr>
              <w:pStyle w:val="TableParagraph"/>
              <w:jc w:val="left"/>
            </w:pPr>
          </w:p>
        </w:tc>
        <w:tc>
          <w:tcPr>
            <w:tcW w:w="1483" w:type="dxa"/>
          </w:tcPr>
          <w:p w14:paraId="660C4099" w14:textId="77777777" w:rsidR="00674147" w:rsidRPr="00F21B10" w:rsidRDefault="00674147" w:rsidP="00E90F68">
            <w:pPr>
              <w:pStyle w:val="TableParagraph"/>
              <w:jc w:val="left"/>
            </w:pPr>
          </w:p>
        </w:tc>
      </w:tr>
    </w:tbl>
    <w:p w14:paraId="34A967B2" w14:textId="77777777" w:rsidR="00674147" w:rsidRPr="00F21B10" w:rsidRDefault="00674147" w:rsidP="00674147">
      <w:pPr>
        <w:pStyle w:val="BodyText"/>
      </w:pPr>
    </w:p>
    <w:p w14:paraId="61FBEE34" w14:textId="77777777" w:rsidR="00674147" w:rsidRPr="00F21B10" w:rsidRDefault="00674147" w:rsidP="00674147">
      <w:pPr>
        <w:pStyle w:val="BodyText"/>
        <w:spacing w:before="2"/>
      </w:pPr>
    </w:p>
    <w:p w14:paraId="18EE393A" w14:textId="77777777" w:rsidR="00674147" w:rsidRPr="00F21B10" w:rsidRDefault="00674147" w:rsidP="00674147">
      <w:pPr>
        <w:pStyle w:val="BodyText"/>
        <w:spacing w:line="244" w:lineRule="auto"/>
        <w:ind w:left="215"/>
      </w:pPr>
      <w:r w:rsidRPr="00F21B10">
        <w:rPr>
          <w:w w:val="105"/>
        </w:rPr>
        <w:t>Tabela</w:t>
      </w:r>
      <w:r w:rsidRPr="00F21B10">
        <w:rPr>
          <w:spacing w:val="37"/>
          <w:w w:val="105"/>
        </w:rPr>
        <w:t xml:space="preserve"> </w:t>
      </w:r>
      <w:r w:rsidRPr="00F21B10">
        <w:rPr>
          <w:w w:val="105"/>
        </w:rPr>
        <w:t>3.</w:t>
      </w:r>
      <w:r w:rsidRPr="00F21B10">
        <w:rPr>
          <w:spacing w:val="36"/>
          <w:w w:val="105"/>
        </w:rPr>
        <w:t xml:space="preserve"> </w:t>
      </w:r>
      <w:r w:rsidRPr="00F21B10">
        <w:rPr>
          <w:w w:val="105"/>
        </w:rPr>
        <w:t>Numri</w:t>
      </w:r>
      <w:r w:rsidRPr="00F21B10">
        <w:rPr>
          <w:spacing w:val="33"/>
          <w:w w:val="105"/>
        </w:rPr>
        <w:t xml:space="preserve"> </w:t>
      </w:r>
      <w:r w:rsidRPr="00F21B10">
        <w:rPr>
          <w:w w:val="105"/>
        </w:rPr>
        <w:t>i</w:t>
      </w:r>
      <w:r w:rsidRPr="00F21B10">
        <w:rPr>
          <w:spacing w:val="29"/>
          <w:w w:val="105"/>
        </w:rPr>
        <w:t xml:space="preserve"> </w:t>
      </w:r>
      <w:r w:rsidRPr="00F21B10">
        <w:rPr>
          <w:w w:val="105"/>
        </w:rPr>
        <w:t>përfituesve</w:t>
      </w:r>
      <w:r w:rsidRPr="00F21B10">
        <w:rPr>
          <w:spacing w:val="37"/>
          <w:w w:val="105"/>
        </w:rPr>
        <w:t xml:space="preserve"> </w:t>
      </w:r>
      <w:r w:rsidRPr="00F21B10">
        <w:rPr>
          <w:w w:val="105"/>
        </w:rPr>
        <w:t>të</w:t>
      </w:r>
      <w:r w:rsidRPr="00F21B10">
        <w:rPr>
          <w:spacing w:val="33"/>
          <w:w w:val="105"/>
        </w:rPr>
        <w:t xml:space="preserve"> </w:t>
      </w:r>
      <w:r w:rsidRPr="00F21B10">
        <w:rPr>
          <w:w w:val="105"/>
          <w:u w:val="single"/>
        </w:rPr>
        <w:t>subvencioneve</w:t>
      </w:r>
      <w:r w:rsidRPr="00F21B10">
        <w:rPr>
          <w:spacing w:val="35"/>
          <w:w w:val="105"/>
        </w:rPr>
        <w:t xml:space="preserve"> </w:t>
      </w:r>
      <w:r w:rsidRPr="00F21B10">
        <w:rPr>
          <w:w w:val="105"/>
        </w:rPr>
        <w:t>apo</w:t>
      </w:r>
      <w:r w:rsidRPr="00F21B10">
        <w:rPr>
          <w:spacing w:val="41"/>
          <w:w w:val="105"/>
        </w:rPr>
        <w:t xml:space="preserve"> </w:t>
      </w:r>
      <w:r w:rsidRPr="00F21B10">
        <w:rPr>
          <w:w w:val="105"/>
        </w:rPr>
        <w:t>edhe</w:t>
      </w:r>
      <w:r w:rsidRPr="00F21B10">
        <w:rPr>
          <w:spacing w:val="33"/>
          <w:w w:val="105"/>
        </w:rPr>
        <w:t xml:space="preserve"> </w:t>
      </w:r>
      <w:r w:rsidRPr="00F21B10">
        <w:rPr>
          <w:w w:val="105"/>
        </w:rPr>
        <w:t>të</w:t>
      </w:r>
      <w:r w:rsidRPr="00F21B10">
        <w:rPr>
          <w:spacing w:val="32"/>
          <w:w w:val="105"/>
        </w:rPr>
        <w:t xml:space="preserve"> </w:t>
      </w:r>
      <w:r w:rsidRPr="00F21B10">
        <w:rPr>
          <w:w w:val="105"/>
          <w:u w:val="single"/>
        </w:rPr>
        <w:t>shërbimeve</w:t>
      </w:r>
      <w:r w:rsidRPr="00F21B10">
        <w:rPr>
          <w:spacing w:val="31"/>
          <w:w w:val="105"/>
          <w:u w:val="single"/>
        </w:rPr>
        <w:t xml:space="preserve"> </w:t>
      </w:r>
      <w:r w:rsidRPr="00F21B10">
        <w:rPr>
          <w:w w:val="105"/>
          <w:u w:val="single"/>
        </w:rPr>
        <w:t>ofruara</w:t>
      </w:r>
      <w:r w:rsidRPr="00F21B10">
        <w:rPr>
          <w:spacing w:val="35"/>
          <w:w w:val="105"/>
        </w:rPr>
        <w:t xml:space="preserve"> </w:t>
      </w:r>
      <w:r w:rsidRPr="00F21B10">
        <w:rPr>
          <w:w w:val="105"/>
        </w:rPr>
        <w:t>nga</w:t>
      </w:r>
      <w:r w:rsidRPr="00F21B10">
        <w:rPr>
          <w:spacing w:val="31"/>
          <w:w w:val="105"/>
        </w:rPr>
        <w:t xml:space="preserve"> </w:t>
      </w:r>
      <w:r w:rsidRPr="00F21B10">
        <w:rPr>
          <w:w w:val="105"/>
        </w:rPr>
        <w:t>organizata</w:t>
      </w:r>
      <w:r w:rsidRPr="00F21B10">
        <w:rPr>
          <w:spacing w:val="-55"/>
          <w:w w:val="105"/>
        </w:rPr>
        <w:t xml:space="preserve">            </w:t>
      </w:r>
      <w:r w:rsidRPr="00F21B10">
        <w:rPr>
          <w:w w:val="105"/>
        </w:rPr>
        <w:t>buxhetore</w:t>
      </w:r>
      <w:r w:rsidRPr="00F21B10">
        <w:rPr>
          <w:spacing w:val="-1"/>
          <w:w w:val="105"/>
        </w:rPr>
        <w:t xml:space="preserve"> </w:t>
      </w:r>
      <w:r w:rsidRPr="00F21B10">
        <w:rPr>
          <w:w w:val="105"/>
        </w:rPr>
        <w:t>të</w:t>
      </w:r>
      <w:r w:rsidRPr="00F21B10">
        <w:rPr>
          <w:spacing w:val="-11"/>
          <w:w w:val="105"/>
        </w:rPr>
        <w:t xml:space="preserve"> </w:t>
      </w:r>
      <w:r w:rsidRPr="00F21B10">
        <w:rPr>
          <w:w w:val="105"/>
        </w:rPr>
        <w:t>drejtorive</w:t>
      </w:r>
      <w:r w:rsidRPr="00F21B10">
        <w:rPr>
          <w:spacing w:val="-4"/>
          <w:w w:val="105"/>
        </w:rPr>
        <w:t xml:space="preserve"> </w:t>
      </w:r>
      <w:r w:rsidRPr="00F21B10">
        <w:rPr>
          <w:w w:val="105"/>
        </w:rPr>
        <w:t>përkatëse</w:t>
      </w:r>
      <w:r w:rsidRPr="00F21B10">
        <w:rPr>
          <w:spacing w:val="-3"/>
          <w:w w:val="105"/>
        </w:rPr>
        <w:t xml:space="preserve"> </w:t>
      </w:r>
      <w:r w:rsidRPr="00F21B10">
        <w:rPr>
          <w:w w:val="105"/>
        </w:rPr>
        <w:t>(ku</w:t>
      </w:r>
      <w:r w:rsidRPr="00F21B10">
        <w:rPr>
          <w:spacing w:val="-4"/>
          <w:w w:val="105"/>
        </w:rPr>
        <w:t xml:space="preserve"> </w:t>
      </w:r>
      <w:r w:rsidRPr="00F21B10">
        <w:rPr>
          <w:w w:val="105"/>
        </w:rPr>
        <w:t>është</w:t>
      </w:r>
      <w:r w:rsidRPr="00F21B10">
        <w:rPr>
          <w:spacing w:val="-3"/>
          <w:w w:val="105"/>
        </w:rPr>
        <w:t xml:space="preserve"> </w:t>
      </w:r>
      <w:r w:rsidRPr="00F21B10">
        <w:rPr>
          <w:w w:val="105"/>
        </w:rPr>
        <w:t>e</w:t>
      </w:r>
      <w:r w:rsidRPr="00F21B10">
        <w:rPr>
          <w:spacing w:val="-1"/>
          <w:w w:val="105"/>
        </w:rPr>
        <w:t xml:space="preserve"> </w:t>
      </w:r>
      <w:r w:rsidRPr="00F21B10">
        <w:rPr>
          <w:w w:val="105"/>
        </w:rPr>
        <w:t>aplikueshme)</w:t>
      </w:r>
    </w:p>
    <w:p w14:paraId="061634F9" w14:textId="77777777" w:rsidR="00674147" w:rsidRPr="00F21B10" w:rsidRDefault="00674147" w:rsidP="00674147">
      <w:pPr>
        <w:pStyle w:val="BodyText"/>
        <w:spacing w:before="8"/>
      </w:pPr>
      <w:r w:rsidRPr="00F21B10">
        <w:t>Komuna Hani i Elezit</w:t>
      </w:r>
    </w:p>
    <w:p w14:paraId="1CFAF233" w14:textId="77777777" w:rsidR="00674147" w:rsidRPr="00F21B10" w:rsidRDefault="00674147" w:rsidP="00674147">
      <w:pPr>
        <w:pStyle w:val="BodyText"/>
        <w:spacing w:after="6"/>
        <w:ind w:left="215"/>
      </w:pPr>
    </w:p>
    <w:tbl>
      <w:tblPr>
        <w:tblW w:w="9254" w:type="dxa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1507"/>
        <w:gridCol w:w="1435"/>
        <w:gridCol w:w="1344"/>
        <w:gridCol w:w="1253"/>
        <w:gridCol w:w="1075"/>
        <w:gridCol w:w="929"/>
      </w:tblGrid>
      <w:tr w:rsidR="00674147" w:rsidRPr="00F21B10" w14:paraId="5139CA3B" w14:textId="77777777" w:rsidTr="00F21B10">
        <w:trPr>
          <w:trHeight w:val="1117"/>
        </w:trPr>
        <w:tc>
          <w:tcPr>
            <w:tcW w:w="1711" w:type="dxa"/>
            <w:tcBorders>
              <w:left w:val="single" w:sz="6" w:space="0" w:color="000000"/>
            </w:tcBorders>
          </w:tcPr>
          <w:p w14:paraId="622A5BC7" w14:textId="77777777" w:rsidR="00674147" w:rsidRPr="00F21B10" w:rsidRDefault="00674147" w:rsidP="00E90F68">
            <w:pPr>
              <w:pStyle w:val="TableParagraph"/>
              <w:jc w:val="left"/>
            </w:pPr>
          </w:p>
          <w:p w14:paraId="0E0FC58D" w14:textId="77777777" w:rsidR="00674147" w:rsidRPr="00F21B10" w:rsidRDefault="00674147" w:rsidP="00E90F68">
            <w:pPr>
              <w:pStyle w:val="TableParagraph"/>
              <w:spacing w:before="156"/>
              <w:ind w:left="102"/>
              <w:jc w:val="left"/>
            </w:pPr>
            <w:r w:rsidRPr="00F21B10">
              <w:rPr>
                <w:w w:val="105"/>
              </w:rPr>
              <w:t>Viti</w:t>
            </w:r>
          </w:p>
        </w:tc>
        <w:tc>
          <w:tcPr>
            <w:tcW w:w="1507" w:type="dxa"/>
          </w:tcPr>
          <w:p w14:paraId="0E1A670D" w14:textId="77777777" w:rsidR="00674147" w:rsidRPr="00F21B10" w:rsidRDefault="00674147" w:rsidP="00E90F68">
            <w:pPr>
              <w:pStyle w:val="TableParagraph"/>
              <w:spacing w:before="44" w:line="244" w:lineRule="auto"/>
              <w:ind w:left="102" w:right="91"/>
              <w:jc w:val="center"/>
            </w:pPr>
            <w:r w:rsidRPr="00F21B10">
              <w:t>Buxheti</w:t>
            </w:r>
            <w:r w:rsidRPr="00F21B10">
              <w:rPr>
                <w:spacing w:val="5"/>
              </w:rPr>
              <w:t xml:space="preserve"> </w:t>
            </w:r>
            <w:r w:rsidRPr="00F21B10">
              <w:t>total</w:t>
            </w:r>
            <w:r w:rsidRPr="00F21B10">
              <w:rPr>
                <w:spacing w:val="6"/>
              </w:rPr>
              <w:t xml:space="preserve"> </w:t>
            </w:r>
            <w:r w:rsidRPr="00F21B10">
              <w:t>i</w:t>
            </w:r>
            <w:r w:rsidRPr="00F21B10">
              <w:rPr>
                <w:spacing w:val="-52"/>
              </w:rPr>
              <w:t xml:space="preserve"> </w:t>
            </w:r>
            <w:r w:rsidRPr="00F21B10">
              <w:rPr>
                <w:w w:val="105"/>
              </w:rPr>
              <w:t>shërbimit/sub</w:t>
            </w:r>
            <w:r w:rsidRPr="00F21B10">
              <w:rPr>
                <w:spacing w:val="-55"/>
                <w:w w:val="105"/>
              </w:rPr>
              <w:t xml:space="preserve"> </w:t>
            </w:r>
            <w:r w:rsidRPr="00F21B10">
              <w:rPr>
                <w:w w:val="105"/>
              </w:rPr>
              <w:t>vencionit të</w:t>
            </w:r>
            <w:r w:rsidRPr="00F21B10">
              <w:rPr>
                <w:spacing w:val="1"/>
                <w:w w:val="105"/>
              </w:rPr>
              <w:t xml:space="preserve"> </w:t>
            </w:r>
            <w:r w:rsidRPr="00F21B10">
              <w:rPr>
                <w:w w:val="105"/>
              </w:rPr>
              <w:t>caktuar</w:t>
            </w:r>
          </w:p>
        </w:tc>
        <w:tc>
          <w:tcPr>
            <w:tcW w:w="1435" w:type="dxa"/>
          </w:tcPr>
          <w:p w14:paraId="25F01360" w14:textId="77777777" w:rsidR="00674147" w:rsidRPr="00F21B10" w:rsidRDefault="00674147" w:rsidP="00E90F68">
            <w:pPr>
              <w:pStyle w:val="TableParagraph"/>
              <w:spacing w:before="4"/>
              <w:jc w:val="left"/>
            </w:pPr>
          </w:p>
          <w:p w14:paraId="0623FF74" w14:textId="77777777" w:rsidR="00674147" w:rsidRPr="00F21B10" w:rsidRDefault="00674147" w:rsidP="00E90F68">
            <w:pPr>
              <w:pStyle w:val="TableParagraph"/>
              <w:spacing w:line="244" w:lineRule="auto"/>
              <w:ind w:left="218" w:right="113" w:hanging="87"/>
              <w:jc w:val="left"/>
            </w:pPr>
            <w:r w:rsidRPr="00F21B10">
              <w:rPr>
                <w:spacing w:val="-2"/>
                <w:w w:val="105"/>
              </w:rPr>
              <w:t>Numri</w:t>
            </w:r>
            <w:r w:rsidRPr="00F21B10">
              <w:rPr>
                <w:spacing w:val="-11"/>
                <w:w w:val="105"/>
              </w:rPr>
              <w:t xml:space="preserve"> </w:t>
            </w:r>
            <w:r w:rsidRPr="00F21B10">
              <w:rPr>
                <w:spacing w:val="-2"/>
                <w:w w:val="105"/>
              </w:rPr>
              <w:t>total</w:t>
            </w:r>
            <w:r w:rsidRPr="00F21B10">
              <w:rPr>
                <w:spacing w:val="-11"/>
                <w:w w:val="105"/>
              </w:rPr>
              <w:t xml:space="preserve"> </w:t>
            </w:r>
            <w:r w:rsidRPr="00F21B10">
              <w:rPr>
                <w:spacing w:val="-1"/>
                <w:w w:val="105"/>
              </w:rPr>
              <w:t>i</w:t>
            </w:r>
            <w:r w:rsidRPr="00F21B10">
              <w:rPr>
                <w:spacing w:val="-55"/>
                <w:w w:val="105"/>
              </w:rPr>
              <w:t xml:space="preserve"> </w:t>
            </w:r>
            <w:r w:rsidRPr="00F21B10">
              <w:rPr>
                <w:w w:val="105"/>
              </w:rPr>
              <w:t>përfituesve</w:t>
            </w:r>
          </w:p>
        </w:tc>
        <w:tc>
          <w:tcPr>
            <w:tcW w:w="1344" w:type="dxa"/>
          </w:tcPr>
          <w:p w14:paraId="2E0BB3BF" w14:textId="77777777" w:rsidR="00674147" w:rsidRPr="00F21B10" w:rsidRDefault="00674147" w:rsidP="00E90F68">
            <w:pPr>
              <w:pStyle w:val="TableParagraph"/>
              <w:spacing w:before="173" w:line="244" w:lineRule="auto"/>
              <w:ind w:left="122" w:right="100"/>
              <w:jc w:val="center"/>
            </w:pPr>
            <w:r w:rsidRPr="00F21B10">
              <w:rPr>
                <w:w w:val="105"/>
              </w:rPr>
              <w:t>Numri i</w:t>
            </w:r>
            <w:r w:rsidRPr="00F21B10">
              <w:rPr>
                <w:spacing w:val="1"/>
                <w:w w:val="105"/>
              </w:rPr>
              <w:t xml:space="preserve"> </w:t>
            </w:r>
            <w:r w:rsidRPr="00F21B10">
              <w:t>përfitueseve</w:t>
            </w:r>
            <w:r w:rsidRPr="00F21B10">
              <w:rPr>
                <w:spacing w:val="-52"/>
              </w:rPr>
              <w:t xml:space="preserve"> </w:t>
            </w:r>
            <w:r w:rsidRPr="00F21B10">
              <w:rPr>
                <w:w w:val="105"/>
              </w:rPr>
              <w:t>gra</w:t>
            </w:r>
          </w:p>
        </w:tc>
        <w:tc>
          <w:tcPr>
            <w:tcW w:w="1253" w:type="dxa"/>
          </w:tcPr>
          <w:p w14:paraId="11FB7F7B" w14:textId="77777777" w:rsidR="00674147" w:rsidRPr="00F21B10" w:rsidRDefault="00674147" w:rsidP="00E90F68">
            <w:pPr>
              <w:pStyle w:val="TableParagraph"/>
              <w:spacing w:before="173" w:line="244" w:lineRule="auto"/>
              <w:ind w:left="122" w:right="110" w:firstLine="6"/>
              <w:jc w:val="center"/>
            </w:pPr>
            <w:r w:rsidRPr="00F21B10">
              <w:rPr>
                <w:w w:val="105"/>
              </w:rPr>
              <w:t>Numri i</w:t>
            </w:r>
            <w:r w:rsidRPr="00F21B10">
              <w:rPr>
                <w:spacing w:val="1"/>
                <w:w w:val="105"/>
              </w:rPr>
              <w:t xml:space="preserve"> </w:t>
            </w:r>
            <w:r w:rsidRPr="00F21B10">
              <w:t>përfituesve</w:t>
            </w:r>
            <w:r w:rsidRPr="00F21B10">
              <w:rPr>
                <w:spacing w:val="-52"/>
              </w:rPr>
              <w:t xml:space="preserve"> </w:t>
            </w:r>
            <w:r w:rsidRPr="00F21B10">
              <w:rPr>
                <w:w w:val="105"/>
              </w:rPr>
              <w:t>burra</w:t>
            </w:r>
          </w:p>
        </w:tc>
        <w:tc>
          <w:tcPr>
            <w:tcW w:w="1075" w:type="dxa"/>
          </w:tcPr>
          <w:p w14:paraId="78564408" w14:textId="77777777" w:rsidR="00674147" w:rsidRPr="00F21B10" w:rsidRDefault="00674147" w:rsidP="00E90F68">
            <w:pPr>
              <w:pStyle w:val="TableParagraph"/>
              <w:spacing w:before="4"/>
              <w:jc w:val="left"/>
            </w:pPr>
          </w:p>
          <w:p w14:paraId="207CE982" w14:textId="77777777" w:rsidR="00674147" w:rsidRPr="00F21B10" w:rsidRDefault="00674147" w:rsidP="00E90F68">
            <w:pPr>
              <w:pStyle w:val="TableParagraph"/>
              <w:spacing w:line="244" w:lineRule="auto"/>
              <w:ind w:left="213" w:right="159" w:hanging="34"/>
              <w:jc w:val="left"/>
            </w:pPr>
            <w:r w:rsidRPr="00F21B10">
              <w:t>Buxheti</w:t>
            </w:r>
            <w:r w:rsidRPr="00F21B10">
              <w:rPr>
                <w:spacing w:val="-52"/>
              </w:rPr>
              <w:t xml:space="preserve"> </w:t>
            </w:r>
            <w:r w:rsidRPr="00F21B10">
              <w:rPr>
                <w:w w:val="105"/>
              </w:rPr>
              <w:t>për</w:t>
            </w:r>
            <w:r w:rsidRPr="00F21B10">
              <w:rPr>
                <w:spacing w:val="-10"/>
                <w:w w:val="105"/>
              </w:rPr>
              <w:t xml:space="preserve"> </w:t>
            </w:r>
            <w:r w:rsidRPr="00F21B10">
              <w:rPr>
                <w:w w:val="105"/>
              </w:rPr>
              <w:t>gra</w:t>
            </w:r>
          </w:p>
        </w:tc>
        <w:tc>
          <w:tcPr>
            <w:tcW w:w="929" w:type="dxa"/>
            <w:tcBorders>
              <w:right w:val="single" w:sz="6" w:space="0" w:color="000000"/>
            </w:tcBorders>
          </w:tcPr>
          <w:p w14:paraId="7316EAC7" w14:textId="77777777" w:rsidR="00674147" w:rsidRPr="00F21B10" w:rsidRDefault="00674147" w:rsidP="00E90F68">
            <w:pPr>
              <w:pStyle w:val="TableParagraph"/>
              <w:spacing w:before="173" w:line="244" w:lineRule="auto"/>
              <w:ind w:left="103" w:right="90"/>
              <w:jc w:val="center"/>
            </w:pPr>
            <w:r w:rsidRPr="00F21B10">
              <w:t>Buxheti</w:t>
            </w:r>
            <w:r w:rsidRPr="00F21B10">
              <w:rPr>
                <w:spacing w:val="-52"/>
              </w:rPr>
              <w:t xml:space="preserve"> </w:t>
            </w:r>
            <w:r w:rsidRPr="00F21B10">
              <w:rPr>
                <w:w w:val="105"/>
              </w:rPr>
              <w:t>për</w:t>
            </w:r>
            <w:r w:rsidRPr="00F21B10">
              <w:rPr>
                <w:spacing w:val="1"/>
                <w:w w:val="105"/>
              </w:rPr>
              <w:t xml:space="preserve"> </w:t>
            </w:r>
            <w:r w:rsidRPr="00F21B10">
              <w:rPr>
                <w:w w:val="105"/>
              </w:rPr>
              <w:t>burra</w:t>
            </w:r>
          </w:p>
        </w:tc>
      </w:tr>
      <w:tr w:rsidR="00674147" w:rsidRPr="00F21B10" w14:paraId="79FBE911" w14:textId="77777777" w:rsidTr="00F21B10">
        <w:trPr>
          <w:trHeight w:val="301"/>
        </w:trPr>
        <w:tc>
          <w:tcPr>
            <w:tcW w:w="1711" w:type="dxa"/>
            <w:tcBorders>
              <w:left w:val="single" w:sz="6" w:space="0" w:color="000000"/>
              <w:bottom w:val="single" w:sz="6" w:space="0" w:color="000000"/>
            </w:tcBorders>
          </w:tcPr>
          <w:p w14:paraId="7554DD26" w14:textId="77777777" w:rsidR="00674147" w:rsidRPr="00F21B10" w:rsidRDefault="00674147" w:rsidP="00E90F68">
            <w:pPr>
              <w:pStyle w:val="TableParagraph"/>
              <w:spacing w:before="24"/>
              <w:ind w:left="102"/>
              <w:jc w:val="left"/>
            </w:pPr>
            <w:r w:rsidRPr="00F21B10">
              <w:rPr>
                <w:w w:val="105"/>
              </w:rPr>
              <w:t>2024</w:t>
            </w:r>
          </w:p>
        </w:tc>
        <w:tc>
          <w:tcPr>
            <w:tcW w:w="1507" w:type="dxa"/>
            <w:tcBorders>
              <w:bottom w:val="single" w:sz="6" w:space="0" w:color="000000"/>
            </w:tcBorders>
          </w:tcPr>
          <w:p w14:paraId="53B4F709" w14:textId="77777777" w:rsidR="00674147" w:rsidRPr="00F21B10" w:rsidRDefault="00674147" w:rsidP="00E90F68">
            <w:pPr>
              <w:pStyle w:val="TableParagraph"/>
              <w:jc w:val="center"/>
            </w:pPr>
            <w:r w:rsidRPr="00F21B10">
              <w:t>113,000</w:t>
            </w:r>
          </w:p>
        </w:tc>
        <w:tc>
          <w:tcPr>
            <w:tcW w:w="1435" w:type="dxa"/>
            <w:tcBorders>
              <w:bottom w:val="single" w:sz="6" w:space="0" w:color="000000"/>
            </w:tcBorders>
          </w:tcPr>
          <w:p w14:paraId="6075F467" w14:textId="77777777" w:rsidR="00674147" w:rsidRPr="00F21B10" w:rsidRDefault="00674147" w:rsidP="00E90F68">
            <w:pPr>
              <w:pStyle w:val="TableParagraph"/>
              <w:jc w:val="center"/>
            </w:pPr>
            <w:r w:rsidRPr="00F21B10">
              <w:t>350</w:t>
            </w:r>
          </w:p>
        </w:tc>
        <w:tc>
          <w:tcPr>
            <w:tcW w:w="1344" w:type="dxa"/>
            <w:tcBorders>
              <w:bottom w:val="single" w:sz="6" w:space="0" w:color="000000"/>
            </w:tcBorders>
          </w:tcPr>
          <w:p w14:paraId="282DEEFB" w14:textId="77777777" w:rsidR="00674147" w:rsidRPr="00F21B10" w:rsidRDefault="00674147" w:rsidP="00E90F68">
            <w:pPr>
              <w:pStyle w:val="TableParagraph"/>
              <w:jc w:val="center"/>
            </w:pPr>
            <w:r w:rsidRPr="00F21B10">
              <w:t>175</w:t>
            </w:r>
          </w:p>
        </w:tc>
        <w:tc>
          <w:tcPr>
            <w:tcW w:w="1253" w:type="dxa"/>
            <w:tcBorders>
              <w:bottom w:val="single" w:sz="6" w:space="0" w:color="000000"/>
            </w:tcBorders>
          </w:tcPr>
          <w:p w14:paraId="0535EBAE" w14:textId="77777777" w:rsidR="00674147" w:rsidRPr="00F21B10" w:rsidRDefault="00674147" w:rsidP="00E90F68">
            <w:pPr>
              <w:pStyle w:val="TableParagraph"/>
              <w:jc w:val="center"/>
            </w:pPr>
            <w:r w:rsidRPr="00F21B10">
              <w:t>175</w:t>
            </w:r>
          </w:p>
        </w:tc>
        <w:tc>
          <w:tcPr>
            <w:tcW w:w="1075" w:type="dxa"/>
            <w:tcBorders>
              <w:bottom w:val="single" w:sz="6" w:space="0" w:color="000000"/>
            </w:tcBorders>
          </w:tcPr>
          <w:p w14:paraId="009F132F" w14:textId="77777777" w:rsidR="00674147" w:rsidRPr="00F21B10" w:rsidRDefault="00674147" w:rsidP="00E90F68">
            <w:pPr>
              <w:pStyle w:val="TableParagraph"/>
              <w:jc w:val="center"/>
            </w:pPr>
            <w:r w:rsidRPr="00F21B10">
              <w:t>56,500</w:t>
            </w:r>
          </w:p>
        </w:tc>
        <w:tc>
          <w:tcPr>
            <w:tcW w:w="929" w:type="dxa"/>
            <w:tcBorders>
              <w:bottom w:val="single" w:sz="6" w:space="0" w:color="000000"/>
              <w:right w:val="single" w:sz="6" w:space="0" w:color="000000"/>
            </w:tcBorders>
          </w:tcPr>
          <w:p w14:paraId="71AFA28D" w14:textId="77777777" w:rsidR="00674147" w:rsidRPr="00F21B10" w:rsidRDefault="00674147" w:rsidP="00E90F68">
            <w:pPr>
              <w:pStyle w:val="TableParagraph"/>
              <w:jc w:val="center"/>
            </w:pPr>
            <w:r w:rsidRPr="00F21B10">
              <w:t>56,500</w:t>
            </w:r>
          </w:p>
        </w:tc>
      </w:tr>
      <w:tr w:rsidR="00674147" w:rsidRPr="00F21B10" w14:paraId="2F27B5D2" w14:textId="77777777" w:rsidTr="00F21B10">
        <w:trPr>
          <w:trHeight w:val="301"/>
        </w:trPr>
        <w:tc>
          <w:tcPr>
            <w:tcW w:w="1711" w:type="dxa"/>
            <w:tcBorders>
              <w:top w:val="single" w:sz="6" w:space="0" w:color="000000"/>
              <w:left w:val="single" w:sz="6" w:space="0" w:color="000000"/>
            </w:tcBorders>
          </w:tcPr>
          <w:p w14:paraId="5029217E" w14:textId="77777777" w:rsidR="00674147" w:rsidRPr="00F21B10" w:rsidRDefault="00674147" w:rsidP="00E90F68">
            <w:pPr>
              <w:pStyle w:val="TableParagraph"/>
              <w:spacing w:before="24"/>
              <w:ind w:left="102"/>
              <w:jc w:val="left"/>
            </w:pPr>
            <w:r w:rsidRPr="00F21B10">
              <w:t>2025</w:t>
            </w:r>
          </w:p>
        </w:tc>
        <w:tc>
          <w:tcPr>
            <w:tcW w:w="1507" w:type="dxa"/>
            <w:tcBorders>
              <w:top w:val="single" w:sz="6" w:space="0" w:color="000000"/>
            </w:tcBorders>
          </w:tcPr>
          <w:p w14:paraId="54F6C367" w14:textId="77777777" w:rsidR="00674147" w:rsidRPr="00F21B10" w:rsidRDefault="00674147" w:rsidP="00E90F68">
            <w:pPr>
              <w:pStyle w:val="TableParagraph"/>
              <w:jc w:val="center"/>
            </w:pPr>
            <w:r w:rsidRPr="00F21B10">
              <w:t>143,000</w:t>
            </w:r>
          </w:p>
        </w:tc>
        <w:tc>
          <w:tcPr>
            <w:tcW w:w="1435" w:type="dxa"/>
            <w:tcBorders>
              <w:top w:val="single" w:sz="6" w:space="0" w:color="000000"/>
            </w:tcBorders>
          </w:tcPr>
          <w:p w14:paraId="19B31E16" w14:textId="77777777" w:rsidR="00674147" w:rsidRPr="00F21B10" w:rsidRDefault="00674147" w:rsidP="00E90F68">
            <w:pPr>
              <w:pStyle w:val="TableParagraph"/>
              <w:jc w:val="center"/>
            </w:pPr>
            <w:r w:rsidRPr="00F21B10">
              <w:t>350</w:t>
            </w:r>
          </w:p>
        </w:tc>
        <w:tc>
          <w:tcPr>
            <w:tcW w:w="1344" w:type="dxa"/>
            <w:tcBorders>
              <w:top w:val="single" w:sz="6" w:space="0" w:color="000000"/>
            </w:tcBorders>
          </w:tcPr>
          <w:p w14:paraId="0795F967" w14:textId="77777777" w:rsidR="00674147" w:rsidRPr="00F21B10" w:rsidRDefault="00674147" w:rsidP="00E90F68">
            <w:pPr>
              <w:pStyle w:val="TableParagraph"/>
              <w:jc w:val="center"/>
            </w:pPr>
            <w:r w:rsidRPr="00F21B10">
              <w:t>175</w:t>
            </w:r>
          </w:p>
        </w:tc>
        <w:tc>
          <w:tcPr>
            <w:tcW w:w="1253" w:type="dxa"/>
            <w:tcBorders>
              <w:top w:val="single" w:sz="6" w:space="0" w:color="000000"/>
            </w:tcBorders>
          </w:tcPr>
          <w:p w14:paraId="1F8D9BDE" w14:textId="77777777" w:rsidR="00674147" w:rsidRPr="00F21B10" w:rsidRDefault="00674147" w:rsidP="00E90F68">
            <w:pPr>
              <w:pStyle w:val="TableParagraph"/>
              <w:jc w:val="center"/>
            </w:pPr>
            <w:r w:rsidRPr="00F21B10">
              <w:t>175</w:t>
            </w:r>
          </w:p>
        </w:tc>
        <w:tc>
          <w:tcPr>
            <w:tcW w:w="1075" w:type="dxa"/>
            <w:tcBorders>
              <w:top w:val="single" w:sz="6" w:space="0" w:color="000000"/>
            </w:tcBorders>
          </w:tcPr>
          <w:p w14:paraId="16A15703" w14:textId="77777777" w:rsidR="00674147" w:rsidRPr="00F21B10" w:rsidRDefault="00674147" w:rsidP="00E90F68">
            <w:pPr>
              <w:pStyle w:val="TableParagraph"/>
              <w:jc w:val="center"/>
            </w:pPr>
            <w:r w:rsidRPr="00F21B10">
              <w:t>71,500</w:t>
            </w:r>
          </w:p>
        </w:tc>
        <w:tc>
          <w:tcPr>
            <w:tcW w:w="929" w:type="dxa"/>
            <w:tcBorders>
              <w:top w:val="single" w:sz="6" w:space="0" w:color="000000"/>
              <w:right w:val="single" w:sz="6" w:space="0" w:color="000000"/>
            </w:tcBorders>
          </w:tcPr>
          <w:p w14:paraId="4693CCE1" w14:textId="77777777" w:rsidR="00674147" w:rsidRPr="00F21B10" w:rsidRDefault="00674147" w:rsidP="00E90F68">
            <w:pPr>
              <w:pStyle w:val="TableParagraph"/>
              <w:jc w:val="center"/>
            </w:pPr>
            <w:r w:rsidRPr="00F21B10">
              <w:t>71,500</w:t>
            </w:r>
          </w:p>
        </w:tc>
      </w:tr>
      <w:tr w:rsidR="00674147" w:rsidRPr="00F21B10" w14:paraId="5528580C" w14:textId="77777777" w:rsidTr="00F21B10">
        <w:trPr>
          <w:trHeight w:val="517"/>
        </w:trPr>
        <w:tc>
          <w:tcPr>
            <w:tcW w:w="1711" w:type="dxa"/>
            <w:tcBorders>
              <w:left w:val="single" w:sz="6" w:space="0" w:color="000000"/>
            </w:tcBorders>
          </w:tcPr>
          <w:p w14:paraId="21770A37" w14:textId="77777777" w:rsidR="00674147" w:rsidRPr="00F21B10" w:rsidRDefault="00674147" w:rsidP="00E90F68">
            <w:pPr>
              <w:pStyle w:val="TableParagraph"/>
              <w:tabs>
                <w:tab w:val="left" w:pos="1317"/>
              </w:tabs>
              <w:ind w:left="102"/>
              <w:jc w:val="left"/>
            </w:pPr>
            <w:r w:rsidRPr="00F21B10">
              <w:rPr>
                <w:w w:val="105"/>
              </w:rPr>
              <w:t>Planifikimi</w:t>
            </w:r>
            <w:r w:rsidRPr="00F21B10">
              <w:rPr>
                <w:w w:val="105"/>
              </w:rPr>
              <w:tab/>
              <w:t>për</w:t>
            </w:r>
          </w:p>
          <w:p w14:paraId="6ECF9A0C" w14:textId="77777777" w:rsidR="00674147" w:rsidRPr="00F21B10" w:rsidRDefault="00674147" w:rsidP="00E90F68">
            <w:pPr>
              <w:pStyle w:val="TableParagraph"/>
              <w:spacing w:before="6" w:line="238" w:lineRule="exact"/>
              <w:ind w:left="102"/>
              <w:jc w:val="left"/>
            </w:pPr>
            <w:r w:rsidRPr="00F21B10">
              <w:rPr>
                <w:w w:val="105"/>
              </w:rPr>
              <w:t>2026</w:t>
            </w:r>
          </w:p>
        </w:tc>
        <w:tc>
          <w:tcPr>
            <w:tcW w:w="1507" w:type="dxa"/>
          </w:tcPr>
          <w:p w14:paraId="2D55B5CC" w14:textId="77777777" w:rsidR="00674147" w:rsidRPr="00F21B10" w:rsidRDefault="00674147" w:rsidP="00E90F68">
            <w:pPr>
              <w:pStyle w:val="TableParagraph"/>
              <w:jc w:val="center"/>
            </w:pPr>
            <w:r w:rsidRPr="00F21B10">
              <w:t>185,000</w:t>
            </w:r>
          </w:p>
        </w:tc>
        <w:tc>
          <w:tcPr>
            <w:tcW w:w="1435" w:type="dxa"/>
          </w:tcPr>
          <w:p w14:paraId="4C2C1B44" w14:textId="77777777" w:rsidR="00674147" w:rsidRPr="00F21B10" w:rsidRDefault="00674147" w:rsidP="00E90F68">
            <w:pPr>
              <w:pStyle w:val="TableParagraph"/>
              <w:jc w:val="center"/>
            </w:pPr>
            <w:r w:rsidRPr="00F21B10">
              <w:t>350</w:t>
            </w:r>
          </w:p>
        </w:tc>
        <w:tc>
          <w:tcPr>
            <w:tcW w:w="1344" w:type="dxa"/>
          </w:tcPr>
          <w:p w14:paraId="531ED678" w14:textId="77777777" w:rsidR="00674147" w:rsidRPr="00F21B10" w:rsidRDefault="00674147" w:rsidP="00E90F68">
            <w:pPr>
              <w:pStyle w:val="TableParagraph"/>
              <w:jc w:val="center"/>
            </w:pPr>
            <w:r w:rsidRPr="00F21B10">
              <w:t>175</w:t>
            </w:r>
          </w:p>
        </w:tc>
        <w:tc>
          <w:tcPr>
            <w:tcW w:w="1253" w:type="dxa"/>
          </w:tcPr>
          <w:p w14:paraId="6116A078" w14:textId="77777777" w:rsidR="00674147" w:rsidRPr="00F21B10" w:rsidRDefault="00674147" w:rsidP="00E90F68">
            <w:pPr>
              <w:pStyle w:val="TableParagraph"/>
              <w:jc w:val="center"/>
            </w:pPr>
            <w:r w:rsidRPr="00F21B10">
              <w:t>175</w:t>
            </w:r>
          </w:p>
        </w:tc>
        <w:tc>
          <w:tcPr>
            <w:tcW w:w="1075" w:type="dxa"/>
          </w:tcPr>
          <w:p w14:paraId="3C17047E" w14:textId="77777777" w:rsidR="00674147" w:rsidRPr="00F21B10" w:rsidRDefault="00674147" w:rsidP="00E90F68">
            <w:pPr>
              <w:pStyle w:val="TableParagraph"/>
              <w:jc w:val="center"/>
            </w:pPr>
            <w:r w:rsidRPr="00F21B10">
              <w:t>92,500</w:t>
            </w:r>
          </w:p>
        </w:tc>
        <w:tc>
          <w:tcPr>
            <w:tcW w:w="929" w:type="dxa"/>
            <w:tcBorders>
              <w:right w:val="single" w:sz="6" w:space="0" w:color="000000"/>
            </w:tcBorders>
          </w:tcPr>
          <w:p w14:paraId="5A143B00" w14:textId="77777777" w:rsidR="00674147" w:rsidRPr="00F21B10" w:rsidRDefault="00674147" w:rsidP="00E90F68">
            <w:pPr>
              <w:pStyle w:val="TableParagraph"/>
              <w:jc w:val="center"/>
            </w:pPr>
            <w:r w:rsidRPr="00F21B10">
              <w:t>92,500</w:t>
            </w:r>
          </w:p>
        </w:tc>
      </w:tr>
    </w:tbl>
    <w:p w14:paraId="07C6B787" w14:textId="77777777" w:rsidR="00674147" w:rsidRPr="00F21B10" w:rsidRDefault="00674147" w:rsidP="00674147">
      <w:pPr>
        <w:tabs>
          <w:tab w:val="left" w:pos="1176"/>
        </w:tabs>
        <w:jc w:val="both"/>
        <w:rPr>
          <w:rFonts w:ascii="Times New Roman" w:hAnsi="Times New Roman" w:cs="Times New Roman"/>
          <w:b/>
          <w:i/>
        </w:rPr>
      </w:pPr>
      <w:r w:rsidRPr="00F21B10">
        <w:rPr>
          <w:rFonts w:ascii="Times New Roman" w:hAnsi="Times New Roman" w:cs="Times New Roman"/>
          <w:b/>
          <w:i/>
        </w:rPr>
        <w:t xml:space="preserve">Sqarim: Numri i përfituesve dhe shumat nuk janë definitive për vitin 2025 pasi që ende nuk është shpenzuar totalisht kategoria e Subvencioneve. </w:t>
      </w:r>
    </w:p>
    <w:p w14:paraId="6D7B707C" w14:textId="77777777" w:rsidR="00674147" w:rsidRPr="00F21B10" w:rsidRDefault="00674147" w:rsidP="00674147">
      <w:pPr>
        <w:tabs>
          <w:tab w:val="left" w:pos="1176"/>
        </w:tabs>
        <w:jc w:val="both"/>
        <w:rPr>
          <w:rFonts w:ascii="Times New Roman" w:hAnsi="Times New Roman" w:cs="Times New Roman"/>
          <w:b/>
          <w:i/>
        </w:rPr>
      </w:pPr>
    </w:p>
    <w:p w14:paraId="0826819E" w14:textId="47CEF757" w:rsidR="006C186D" w:rsidRPr="00F21B10" w:rsidRDefault="006C186D" w:rsidP="006C186D">
      <w:pPr>
        <w:rPr>
          <w:rFonts w:ascii="Times New Roman" w:hAnsi="Times New Roman" w:cs="Times New Roman"/>
          <w:b/>
          <w:bCs/>
        </w:rPr>
      </w:pPr>
    </w:p>
    <w:sectPr w:rsidR="006C186D" w:rsidRPr="00F21B10" w:rsidSect="00FD3939">
      <w:footerReference w:type="defaul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71D60" w14:textId="77777777" w:rsidR="00C04995" w:rsidRDefault="00C04995" w:rsidP="003C7571">
      <w:pPr>
        <w:spacing w:after="0" w:line="240" w:lineRule="auto"/>
      </w:pPr>
      <w:r>
        <w:separator/>
      </w:r>
    </w:p>
  </w:endnote>
  <w:endnote w:type="continuationSeparator" w:id="0">
    <w:p w14:paraId="211DADFE" w14:textId="77777777" w:rsidR="00C04995" w:rsidRDefault="00C04995" w:rsidP="003C7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863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D59375" w14:textId="0138DF8C" w:rsidR="00FD3939" w:rsidRDefault="00FD39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6E75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2EB5B80A" w14:textId="77777777" w:rsidR="00FD3939" w:rsidRDefault="00FD39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55672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5D8EFF" w14:textId="77777777" w:rsidR="00FD3939" w:rsidRDefault="00FD3939">
        <w:pPr>
          <w:pStyle w:val="Footer"/>
          <w:jc w:val="right"/>
        </w:pPr>
      </w:p>
      <w:p w14:paraId="7231827B" w14:textId="2638D559" w:rsidR="00FD3939" w:rsidRDefault="00FD3939">
        <w:pPr>
          <w:pStyle w:val="Footer"/>
          <w:jc w:val="right"/>
        </w:pPr>
      </w:p>
    </w:sdtContent>
  </w:sdt>
  <w:p w14:paraId="44F47B78" w14:textId="77777777" w:rsidR="00FD3939" w:rsidRDefault="00FD39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24542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236830" w14:textId="527B0557" w:rsidR="00FD3939" w:rsidRDefault="00FD39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6E75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1A3DA0B7" w14:textId="77777777" w:rsidR="00E90F68" w:rsidRDefault="00E90F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78DE1" w14:textId="77777777" w:rsidR="00C04995" w:rsidRDefault="00C04995" w:rsidP="003C7571">
      <w:pPr>
        <w:spacing w:after="0" w:line="240" w:lineRule="auto"/>
      </w:pPr>
      <w:r>
        <w:separator/>
      </w:r>
    </w:p>
  </w:footnote>
  <w:footnote w:type="continuationSeparator" w:id="0">
    <w:p w14:paraId="57F2EC3E" w14:textId="77777777" w:rsidR="00C04995" w:rsidRDefault="00C04995" w:rsidP="003C7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4B83"/>
    <w:multiLevelType w:val="hybridMultilevel"/>
    <w:tmpl w:val="19ECE46A"/>
    <w:lvl w:ilvl="0" w:tplc="55E4A3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0EE6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DA9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681A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669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243C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6082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B66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8C7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A0D1FE7"/>
    <w:multiLevelType w:val="hybridMultilevel"/>
    <w:tmpl w:val="342A8112"/>
    <w:lvl w:ilvl="0" w:tplc="55E4A3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2A09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26D3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6256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FAAB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E6B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2661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DA11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8671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0AF78CA"/>
    <w:multiLevelType w:val="hybridMultilevel"/>
    <w:tmpl w:val="4F5AA2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F56A1"/>
    <w:multiLevelType w:val="hybridMultilevel"/>
    <w:tmpl w:val="BF582C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02999"/>
    <w:multiLevelType w:val="hybridMultilevel"/>
    <w:tmpl w:val="2F2E6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24080"/>
    <w:multiLevelType w:val="hybridMultilevel"/>
    <w:tmpl w:val="6EF64BDC"/>
    <w:lvl w:ilvl="0" w:tplc="FDF4100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85CD5"/>
    <w:multiLevelType w:val="hybridMultilevel"/>
    <w:tmpl w:val="A05461D4"/>
    <w:lvl w:ilvl="0" w:tplc="55E4A3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C09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B2F2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CA97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205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32B4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04DA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8434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D0E4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9B5068A"/>
    <w:multiLevelType w:val="hybridMultilevel"/>
    <w:tmpl w:val="3760E23C"/>
    <w:lvl w:ilvl="0" w:tplc="55E4A3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72D1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C450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E2A2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D8E0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5AF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68FA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FE0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B256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3B94CCA"/>
    <w:multiLevelType w:val="hybridMultilevel"/>
    <w:tmpl w:val="3430A54C"/>
    <w:lvl w:ilvl="0" w:tplc="55E4A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61B8C"/>
    <w:multiLevelType w:val="hybridMultilevel"/>
    <w:tmpl w:val="20BAF886"/>
    <w:lvl w:ilvl="0" w:tplc="55E4A3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7ED8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9C2F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2031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CAF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AA78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B8A0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58C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E4F9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4C31E3D"/>
    <w:multiLevelType w:val="hybridMultilevel"/>
    <w:tmpl w:val="7292B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9"/>
  </w:num>
  <w:num w:numId="8">
    <w:abstractNumId w:val="0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663"/>
    <w:rsid w:val="000033AB"/>
    <w:rsid w:val="00020F91"/>
    <w:rsid w:val="0003560F"/>
    <w:rsid w:val="00050E4F"/>
    <w:rsid w:val="00094158"/>
    <w:rsid w:val="000A5A85"/>
    <w:rsid w:val="000D7DCF"/>
    <w:rsid w:val="000E2C53"/>
    <w:rsid w:val="00106CFD"/>
    <w:rsid w:val="00126E75"/>
    <w:rsid w:val="00130377"/>
    <w:rsid w:val="00147B77"/>
    <w:rsid w:val="00150ABE"/>
    <w:rsid w:val="00152751"/>
    <w:rsid w:val="001607A7"/>
    <w:rsid w:val="001638C0"/>
    <w:rsid w:val="001660F0"/>
    <w:rsid w:val="0016667D"/>
    <w:rsid w:val="0017191C"/>
    <w:rsid w:val="001903B4"/>
    <w:rsid w:val="001924F8"/>
    <w:rsid w:val="001A3816"/>
    <w:rsid w:val="001B2A8C"/>
    <w:rsid w:val="001B660A"/>
    <w:rsid w:val="001D3508"/>
    <w:rsid w:val="001D4D62"/>
    <w:rsid w:val="001F3CEC"/>
    <w:rsid w:val="00203558"/>
    <w:rsid w:val="00213BFA"/>
    <w:rsid w:val="0022095B"/>
    <w:rsid w:val="0024794E"/>
    <w:rsid w:val="002545D6"/>
    <w:rsid w:val="00263E82"/>
    <w:rsid w:val="0027660F"/>
    <w:rsid w:val="0028513F"/>
    <w:rsid w:val="00296020"/>
    <w:rsid w:val="002D0F12"/>
    <w:rsid w:val="002E3F8A"/>
    <w:rsid w:val="002E671F"/>
    <w:rsid w:val="002E6C94"/>
    <w:rsid w:val="00303AB7"/>
    <w:rsid w:val="00311BE9"/>
    <w:rsid w:val="003164D7"/>
    <w:rsid w:val="00326E4B"/>
    <w:rsid w:val="003470CB"/>
    <w:rsid w:val="00355201"/>
    <w:rsid w:val="00374BD8"/>
    <w:rsid w:val="00382F4A"/>
    <w:rsid w:val="00392B16"/>
    <w:rsid w:val="00397B0D"/>
    <w:rsid w:val="00397EEB"/>
    <w:rsid w:val="003A5401"/>
    <w:rsid w:val="003C01BF"/>
    <w:rsid w:val="003C7571"/>
    <w:rsid w:val="003E1C7D"/>
    <w:rsid w:val="0040062B"/>
    <w:rsid w:val="00401B44"/>
    <w:rsid w:val="004123CF"/>
    <w:rsid w:val="00440A36"/>
    <w:rsid w:val="004421B8"/>
    <w:rsid w:val="00450714"/>
    <w:rsid w:val="00456FD3"/>
    <w:rsid w:val="004759E7"/>
    <w:rsid w:val="00475C78"/>
    <w:rsid w:val="00476A77"/>
    <w:rsid w:val="004B1477"/>
    <w:rsid w:val="004B6332"/>
    <w:rsid w:val="004E4DEE"/>
    <w:rsid w:val="00515A73"/>
    <w:rsid w:val="005207B7"/>
    <w:rsid w:val="00531580"/>
    <w:rsid w:val="00570DB1"/>
    <w:rsid w:val="00582E75"/>
    <w:rsid w:val="00590D27"/>
    <w:rsid w:val="00595ABF"/>
    <w:rsid w:val="005B50B4"/>
    <w:rsid w:val="005F5B5C"/>
    <w:rsid w:val="005F6E75"/>
    <w:rsid w:val="005F6FB7"/>
    <w:rsid w:val="00603337"/>
    <w:rsid w:val="0065442A"/>
    <w:rsid w:val="006605BC"/>
    <w:rsid w:val="006644CE"/>
    <w:rsid w:val="00674147"/>
    <w:rsid w:val="00681CDB"/>
    <w:rsid w:val="00682B08"/>
    <w:rsid w:val="006B2CEA"/>
    <w:rsid w:val="006C0218"/>
    <w:rsid w:val="006C15BB"/>
    <w:rsid w:val="006C186D"/>
    <w:rsid w:val="00715268"/>
    <w:rsid w:val="00715663"/>
    <w:rsid w:val="0072673F"/>
    <w:rsid w:val="00757574"/>
    <w:rsid w:val="0076106C"/>
    <w:rsid w:val="007635FA"/>
    <w:rsid w:val="00774D49"/>
    <w:rsid w:val="007839B0"/>
    <w:rsid w:val="007D6132"/>
    <w:rsid w:val="007E4109"/>
    <w:rsid w:val="007F281E"/>
    <w:rsid w:val="008007C9"/>
    <w:rsid w:val="00830C1A"/>
    <w:rsid w:val="00870FED"/>
    <w:rsid w:val="00894796"/>
    <w:rsid w:val="008C3D63"/>
    <w:rsid w:val="008F4E33"/>
    <w:rsid w:val="008F69D6"/>
    <w:rsid w:val="0093384F"/>
    <w:rsid w:val="00975553"/>
    <w:rsid w:val="00985F80"/>
    <w:rsid w:val="009866A5"/>
    <w:rsid w:val="009A2C16"/>
    <w:rsid w:val="009A2C66"/>
    <w:rsid w:val="009A56C6"/>
    <w:rsid w:val="009B652B"/>
    <w:rsid w:val="009B6E2A"/>
    <w:rsid w:val="009C187B"/>
    <w:rsid w:val="009C2388"/>
    <w:rsid w:val="009E6A41"/>
    <w:rsid w:val="009F163F"/>
    <w:rsid w:val="00A126ED"/>
    <w:rsid w:val="00A2269C"/>
    <w:rsid w:val="00A40B12"/>
    <w:rsid w:val="00A5375F"/>
    <w:rsid w:val="00A55FDE"/>
    <w:rsid w:val="00A560A5"/>
    <w:rsid w:val="00A67A0F"/>
    <w:rsid w:val="00A7081C"/>
    <w:rsid w:val="00A819B9"/>
    <w:rsid w:val="00AC01B6"/>
    <w:rsid w:val="00AC03BF"/>
    <w:rsid w:val="00AC3890"/>
    <w:rsid w:val="00AD03AF"/>
    <w:rsid w:val="00AD0512"/>
    <w:rsid w:val="00AD616B"/>
    <w:rsid w:val="00AE20DF"/>
    <w:rsid w:val="00AE385A"/>
    <w:rsid w:val="00B06081"/>
    <w:rsid w:val="00B07E80"/>
    <w:rsid w:val="00B11D42"/>
    <w:rsid w:val="00B124CC"/>
    <w:rsid w:val="00B23BB8"/>
    <w:rsid w:val="00B251B2"/>
    <w:rsid w:val="00B440EA"/>
    <w:rsid w:val="00B873CD"/>
    <w:rsid w:val="00B904C9"/>
    <w:rsid w:val="00B92791"/>
    <w:rsid w:val="00B97E72"/>
    <w:rsid w:val="00BB254F"/>
    <w:rsid w:val="00BC63E0"/>
    <w:rsid w:val="00BE434F"/>
    <w:rsid w:val="00BF757B"/>
    <w:rsid w:val="00C04995"/>
    <w:rsid w:val="00C10B6B"/>
    <w:rsid w:val="00C1764D"/>
    <w:rsid w:val="00C25AAC"/>
    <w:rsid w:val="00C52ED0"/>
    <w:rsid w:val="00CA2423"/>
    <w:rsid w:val="00CA53B5"/>
    <w:rsid w:val="00CA7980"/>
    <w:rsid w:val="00CB4313"/>
    <w:rsid w:val="00CC06DA"/>
    <w:rsid w:val="00CC68FA"/>
    <w:rsid w:val="00CD0C1F"/>
    <w:rsid w:val="00CF327A"/>
    <w:rsid w:val="00D039F2"/>
    <w:rsid w:val="00D05321"/>
    <w:rsid w:val="00D2604A"/>
    <w:rsid w:val="00D62FD3"/>
    <w:rsid w:val="00D66C83"/>
    <w:rsid w:val="00DA16FF"/>
    <w:rsid w:val="00DB1387"/>
    <w:rsid w:val="00DC116B"/>
    <w:rsid w:val="00DC2441"/>
    <w:rsid w:val="00E46178"/>
    <w:rsid w:val="00E46ADA"/>
    <w:rsid w:val="00E622E5"/>
    <w:rsid w:val="00E628B0"/>
    <w:rsid w:val="00E66016"/>
    <w:rsid w:val="00E86B55"/>
    <w:rsid w:val="00E90F68"/>
    <w:rsid w:val="00EA0001"/>
    <w:rsid w:val="00EB01AE"/>
    <w:rsid w:val="00EC6F33"/>
    <w:rsid w:val="00ED16A8"/>
    <w:rsid w:val="00F137E0"/>
    <w:rsid w:val="00F13FE6"/>
    <w:rsid w:val="00F20F6A"/>
    <w:rsid w:val="00F21059"/>
    <w:rsid w:val="00F21B10"/>
    <w:rsid w:val="00F27679"/>
    <w:rsid w:val="00F37906"/>
    <w:rsid w:val="00F44C61"/>
    <w:rsid w:val="00F4799C"/>
    <w:rsid w:val="00F60081"/>
    <w:rsid w:val="00F62668"/>
    <w:rsid w:val="00F766FA"/>
    <w:rsid w:val="00F8484C"/>
    <w:rsid w:val="00F92952"/>
    <w:rsid w:val="00F958CF"/>
    <w:rsid w:val="00F97FA3"/>
    <w:rsid w:val="00FC1288"/>
    <w:rsid w:val="00FC1F5C"/>
    <w:rsid w:val="00FD0A5A"/>
    <w:rsid w:val="00FD3939"/>
    <w:rsid w:val="00FD7A57"/>
    <w:rsid w:val="00FE3A91"/>
    <w:rsid w:val="00FE7F25"/>
    <w:rsid w:val="00FF1980"/>
    <w:rsid w:val="00FF4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6E01D"/>
  <w15:docId w15:val="{2B71B17D-6593-442B-9A7B-71BC892C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FB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5663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15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15663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</w:rPr>
  </w:style>
  <w:style w:type="paragraph" w:styleId="ListParagraph">
    <w:name w:val="List Paragraph"/>
    <w:basedOn w:val="Normal"/>
    <w:uiPriority w:val="34"/>
    <w:qFormat/>
    <w:rsid w:val="00147B77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</w:rPr>
  </w:style>
  <w:style w:type="paragraph" w:styleId="NoSpacing">
    <w:name w:val="No Spacing"/>
    <w:uiPriority w:val="1"/>
    <w:qFormat/>
    <w:rsid w:val="00147B77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5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C7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571"/>
  </w:style>
  <w:style w:type="paragraph" w:styleId="Footer">
    <w:name w:val="footer"/>
    <w:basedOn w:val="Normal"/>
    <w:link w:val="FooterChar"/>
    <w:uiPriority w:val="99"/>
    <w:unhideWhenUsed/>
    <w:rsid w:val="003C7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571"/>
  </w:style>
  <w:style w:type="table" w:customStyle="1" w:styleId="PlainTable11">
    <w:name w:val="Plain Table 11"/>
    <w:basedOn w:val="TableNormal"/>
    <w:uiPriority w:val="41"/>
    <w:rsid w:val="00020F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4-Accent51">
    <w:name w:val="Grid Table 4 - Accent 51"/>
    <w:basedOn w:val="TableNormal"/>
    <w:uiPriority w:val="49"/>
    <w:rsid w:val="00020F9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5Dark-Accent51">
    <w:name w:val="Grid Table 5 Dark - Accent 51"/>
    <w:basedOn w:val="TableNormal"/>
    <w:uiPriority w:val="50"/>
    <w:rsid w:val="00220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eGrid">
    <w:name w:val="Table Grid"/>
    <w:basedOn w:val="TableNormal"/>
    <w:uiPriority w:val="39"/>
    <w:rsid w:val="00A56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82E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2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B08"/>
    <w:rPr>
      <w:rFonts w:ascii="Tahoma" w:hAnsi="Tahoma" w:cs="Tahoma"/>
      <w:sz w:val="16"/>
      <w:szCs w:val="16"/>
    </w:rPr>
  </w:style>
  <w:style w:type="table" w:styleId="TableGridLight">
    <w:name w:val="Grid Table Light"/>
    <w:basedOn w:val="TableNormal"/>
    <w:uiPriority w:val="40"/>
    <w:rsid w:val="00B0608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3-Accent1">
    <w:name w:val="List Table 3 Accent 1"/>
    <w:basedOn w:val="TableNormal"/>
    <w:uiPriority w:val="48"/>
    <w:rsid w:val="0016667D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6667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GridTable6Colorful">
    <w:name w:val="Grid Table 6 Colorful"/>
    <w:basedOn w:val="TableNormal"/>
    <w:uiPriority w:val="51"/>
    <w:rsid w:val="001666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6667D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674147"/>
    <w:pPr>
      <w:widowControl w:val="0"/>
      <w:autoSpaceDE w:val="0"/>
      <w:autoSpaceDN w:val="0"/>
      <w:spacing w:after="0" w:line="240" w:lineRule="auto"/>
      <w:jc w:val="right"/>
    </w:pPr>
    <w:rPr>
      <w:rFonts w:ascii="Times New Roman" w:eastAsia="Times New Roman" w:hAnsi="Times New Roman" w:cs="Times New Roman"/>
      <w:kern w:val="0"/>
      <w:lang w:val="sq-AL"/>
    </w:rPr>
  </w:style>
  <w:style w:type="paragraph" w:styleId="BodyText">
    <w:name w:val="Body Text"/>
    <w:basedOn w:val="Normal"/>
    <w:link w:val="BodyTextChar"/>
    <w:uiPriority w:val="1"/>
    <w:qFormat/>
    <w:rsid w:val="006741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674147"/>
    <w:rPr>
      <w:rFonts w:ascii="Times New Roman" w:eastAsia="Times New Roman" w:hAnsi="Times New Roman" w:cs="Times New Roman"/>
      <w:kern w:val="0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Buxheti aktual 2025 dhe parashikimet 2026-2028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Granti i Përgjithshëm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tint val="58000"/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tint val="58000"/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tint val="58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Viti 2025</c:v>
                </c:pt>
                <c:pt idx="1">
                  <c:v>Viti 2026</c:v>
                </c:pt>
                <c:pt idx="2">
                  <c:v>Viti 2027</c:v>
                </c:pt>
                <c:pt idx="3">
                  <c:v>Viti 2028</c:v>
                </c:pt>
              </c:strCache>
            </c:strRef>
          </c:cat>
          <c:val>
            <c:numRef>
              <c:f>Sheet1!$B$2:$B$5</c:f>
              <c:numCache>
                <c:formatCode>#,##0.00</c:formatCode>
                <c:ptCount val="4"/>
                <c:pt idx="0">
                  <c:v>1701892</c:v>
                </c:pt>
                <c:pt idx="1">
                  <c:v>1872179</c:v>
                </c:pt>
                <c:pt idx="2">
                  <c:v>2007285</c:v>
                </c:pt>
                <c:pt idx="3">
                  <c:v>2158835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EF-494C-BF98-A1A0F646DD0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Granti Specifik i Arsimit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tint val="86000"/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tint val="86000"/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tint val="86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Viti 2025</c:v>
                </c:pt>
                <c:pt idx="1">
                  <c:v>Viti 2026</c:v>
                </c:pt>
                <c:pt idx="2">
                  <c:v>Viti 2027</c:v>
                </c:pt>
                <c:pt idx="3">
                  <c:v>Viti 2028</c:v>
                </c:pt>
              </c:strCache>
            </c:strRef>
          </c:cat>
          <c:val>
            <c:numRef>
              <c:f>Sheet1!$C$2:$C$5</c:f>
              <c:numCache>
                <c:formatCode>#,##0.00</c:formatCode>
                <c:ptCount val="4"/>
                <c:pt idx="0">
                  <c:v>1167634</c:v>
                </c:pt>
                <c:pt idx="1">
                  <c:v>1429646</c:v>
                </c:pt>
                <c:pt idx="2">
                  <c:v>1472535</c:v>
                </c:pt>
                <c:pt idx="3">
                  <c:v>1516712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0EF-494C-BF98-A1A0F646DD0E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Granti Specifik i Shëndetësisë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86000"/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hade val="86000"/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shade val="86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Viti 2025</c:v>
                </c:pt>
                <c:pt idx="1">
                  <c:v>Viti 2026</c:v>
                </c:pt>
                <c:pt idx="2">
                  <c:v>Viti 2027</c:v>
                </c:pt>
                <c:pt idx="3">
                  <c:v>Viti 2028</c:v>
                </c:pt>
              </c:strCache>
            </c:strRef>
          </c:cat>
          <c:val>
            <c:numRef>
              <c:f>Sheet1!$D$2:$D$5</c:f>
              <c:numCache>
                <c:formatCode>#,##0.00</c:formatCode>
                <c:ptCount val="4"/>
                <c:pt idx="0">
                  <c:v>406212</c:v>
                </c:pt>
                <c:pt idx="1">
                  <c:v>576137</c:v>
                </c:pt>
                <c:pt idx="2">
                  <c:v>593421</c:v>
                </c:pt>
                <c:pt idx="3">
                  <c:v>611223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0EF-494C-BF98-A1A0F646DD0E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Të Hyrat Vetanake 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58000"/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hade val="58000"/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shade val="58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Viti 2025</c:v>
                </c:pt>
                <c:pt idx="1">
                  <c:v>Viti 2026</c:v>
                </c:pt>
                <c:pt idx="2">
                  <c:v>Viti 2027</c:v>
                </c:pt>
                <c:pt idx="3">
                  <c:v>Viti 2028</c:v>
                </c:pt>
              </c:strCache>
            </c:strRef>
          </c:cat>
          <c:val>
            <c:numRef>
              <c:f>Sheet1!$E$2:$E$5</c:f>
              <c:numCache>
                <c:formatCode>#,##0.00</c:formatCode>
                <c:ptCount val="4"/>
                <c:pt idx="0">
                  <c:v>339719</c:v>
                </c:pt>
                <c:pt idx="1">
                  <c:v>356720</c:v>
                </c:pt>
                <c:pt idx="2">
                  <c:v>383895</c:v>
                </c:pt>
                <c:pt idx="3">
                  <c:v>385721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0EF-494C-BF98-A1A0F646DD0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209887232"/>
        <c:axId val="209888768"/>
      </c:barChart>
      <c:catAx>
        <c:axId val="2098872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9888768"/>
        <c:crosses val="autoZero"/>
        <c:auto val="1"/>
        <c:lblAlgn val="ctr"/>
        <c:lblOffset val="100"/>
        <c:noMultiLvlLbl val="0"/>
      </c:catAx>
      <c:valAx>
        <c:axId val="2098887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9887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Të hyrat për vitin 2024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Pt>
            <c:idx val="0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39BB-42F7-864F-E336E51939F0}"/>
              </c:ext>
            </c:extLst>
          </c:dPt>
          <c:dPt>
            <c:idx val="1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39BB-42F7-864F-E336E51939F0}"/>
              </c:ext>
            </c:extLst>
          </c:dPt>
          <c:dPt>
            <c:idx val="2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39BB-42F7-864F-E336E51939F0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2DAF96EB-4F4E-4878-B39A-94F4A722D512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, 186,537.00 €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39BB-42F7-864F-E336E51939F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31EFB27A-E187-42F0-B1CC-A37C92912457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, </a:t>
                    </a:r>
                    <a:fld id="{5F19F592-50AD-4D04-A365-F82DF1B298D3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.00€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39BB-42F7-864F-E336E51939F0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2E39B969-5B84-4346-8B38-39B853BA32E5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, 85,183.00 €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39BB-42F7-864F-E336E51939F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Tatimi në pronë dhe tokë</c:v>
                </c:pt>
                <c:pt idx="1">
                  <c:v>Taksa për ushtrim të veprimtarisë</c:v>
                </c:pt>
                <c:pt idx="2">
                  <c:v>Të hyra tjera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167878</c:v>
                </c:pt>
                <c:pt idx="1">
                  <c:v>85000</c:v>
                </c:pt>
                <c:pt idx="2">
                  <c:v>86841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C1-4588-9062-A817BC708E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99250912"/>
        <c:axId val="499252576"/>
        <c:axId val="0"/>
      </c:bar3DChart>
      <c:catAx>
        <c:axId val="499250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9252576"/>
        <c:crosses val="autoZero"/>
        <c:auto val="1"/>
        <c:lblAlgn val="ctr"/>
        <c:lblOffset val="100"/>
        <c:noMultiLvlLbl val="0"/>
      </c:catAx>
      <c:valAx>
        <c:axId val="499252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9250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US"/>
              <a:t>Ndarja Buxhetore në bazë të kategorive buxhetore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Kategoritë Buxhetore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4.1666666666666664E-2"/>
                  <c:y val="-7.8762029746283213E-3"/>
                </c:manualLayout>
              </c:layout>
              <c:tx>
                <c:rich>
                  <a:bodyPr/>
                  <a:lstStyle/>
                  <a:p>
                    <a:fld id="{80A92B28-D42B-46F6-8ED2-6FEBE0BAC269}" type="VALUE">
                      <a:rPr lang="en-US">
                        <a:solidFill>
                          <a:sysClr val="windowText" lastClr="000000"/>
                        </a:solidFill>
                      </a:rPr>
                      <a:pPr/>
                      <a:t>[VALUE]</a:t>
                    </a:fld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8-1631-43B4-9639-35EEC3BE1079}"/>
                </c:ext>
              </c:extLst>
            </c:dLbl>
            <c:dLbl>
              <c:idx val="1"/>
              <c:layout>
                <c:manualLayout>
                  <c:x val="-2.121889068003337E-17"/>
                  <c:y val="-4.0276215473065867E-3"/>
                </c:manualLayout>
              </c:layout>
              <c:tx>
                <c:rich>
                  <a:bodyPr/>
                  <a:lstStyle/>
                  <a:p>
                    <a:fld id="{08F3BD35-9C57-43AC-A564-26BA16201477}" type="VALUE">
                      <a:rPr lang="en-US">
                        <a:solidFill>
                          <a:sysClr val="windowText" lastClr="000000"/>
                        </a:solidFill>
                      </a:rPr>
                      <a:pPr/>
                      <a:t>[VALUE]</a:t>
                    </a:fld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1631-43B4-9639-35EEC3BE1079}"/>
                </c:ext>
              </c:extLst>
            </c:dLbl>
            <c:dLbl>
              <c:idx val="2"/>
              <c:layout>
                <c:manualLayout>
                  <c:x val="4.6296296296296311E-3"/>
                  <c:y val="-1.5932383452068564E-2"/>
                </c:manualLayout>
              </c:layout>
              <c:tx>
                <c:rich>
                  <a:bodyPr/>
                  <a:lstStyle/>
                  <a:p>
                    <a:fld id="{727D6B6F-0AF5-446D-A5C2-06969043EF27}" type="VALUE">
                      <a:rPr lang="en-US">
                        <a:solidFill>
                          <a:sysClr val="windowText" lastClr="000000"/>
                        </a:solidFill>
                      </a:rPr>
                      <a:pPr/>
                      <a:t>[VALUE]</a:t>
                    </a:fld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1631-43B4-9639-35EEC3BE1079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D72AB97E-32B9-475B-9EC6-2F30F6999694}" type="VALUE">
                      <a:rPr lang="en-US">
                        <a:solidFill>
                          <a:sysClr val="windowText" lastClr="000000"/>
                        </a:solidFill>
                      </a:rPr>
                      <a:pPr/>
                      <a:t>[VALUE]</a:t>
                    </a:fld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1631-43B4-9639-35EEC3BE1079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BE86A0B4-8603-4E0E-8418-FE8C55902645}" type="VALUE">
                      <a:rPr lang="en-US">
                        <a:solidFill>
                          <a:sysClr val="windowText" lastClr="000000"/>
                        </a:solidFill>
                      </a:rPr>
                      <a:pPr/>
                      <a:t>[VALUE]</a:t>
                    </a:fld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1631-43B4-9639-35EEC3BE1079}"/>
                </c:ext>
              </c:extLst>
            </c:dLbl>
            <c:dLbl>
              <c:idx val="5"/>
              <c:layout>
                <c:manualLayout>
                  <c:x val="-1.6975112544026684E-16"/>
                  <c:y val="1.184539432570929E-2"/>
                </c:manualLayout>
              </c:layout>
              <c:tx>
                <c:rich>
                  <a:bodyPr/>
                  <a:lstStyle/>
                  <a:p>
                    <a:fld id="{C7B2761D-3F6A-49FB-AA03-572481E097CE}" type="VALUE">
                      <a:rPr lang="en-US">
                        <a:solidFill>
                          <a:sysClr val="windowText" lastClr="000000"/>
                        </a:solidFill>
                      </a:rPr>
                      <a:pPr/>
                      <a:t>[VALUE]</a:t>
                    </a:fld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1631-43B4-9639-35EEC3BE107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Stafi</c:v>
                </c:pt>
                <c:pt idx="1">
                  <c:v>Paga dhe Shtesa</c:v>
                </c:pt>
                <c:pt idx="2">
                  <c:v>Mallra dhe Shërbime</c:v>
                </c:pt>
                <c:pt idx="3">
                  <c:v>Shpenzime Komunale</c:v>
                </c:pt>
                <c:pt idx="4">
                  <c:v>Subvencione dhe Transfere</c:v>
                </c:pt>
                <c:pt idx="5">
                  <c:v>Investime Kapitale</c:v>
                </c:pt>
              </c:strCache>
            </c:strRef>
          </c:cat>
          <c:val>
            <c:numRef>
              <c:f>Sheet1!$B$2:$B$7</c:f>
              <c:numCache>
                <c:formatCode>#,##0</c:formatCode>
                <c:ptCount val="6"/>
                <c:pt idx="0" formatCode="General">
                  <c:v>280</c:v>
                </c:pt>
                <c:pt idx="1">
                  <c:v>2505202</c:v>
                </c:pt>
                <c:pt idx="2">
                  <c:v>571000</c:v>
                </c:pt>
                <c:pt idx="3">
                  <c:v>111000</c:v>
                </c:pt>
                <c:pt idx="4">
                  <c:v>185000</c:v>
                </c:pt>
                <c:pt idx="5">
                  <c:v>862480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31-43B4-9639-35EEC3BE107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Column2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Stafi</c:v>
                </c:pt>
                <c:pt idx="1">
                  <c:v>Paga dhe Shtesa</c:v>
                </c:pt>
                <c:pt idx="2">
                  <c:v>Mallra dhe Shërbime</c:v>
                </c:pt>
                <c:pt idx="3">
                  <c:v>Shpenzime Komunale</c:v>
                </c:pt>
                <c:pt idx="4">
                  <c:v>Subvencione dhe Transfere</c:v>
                </c:pt>
                <c:pt idx="5">
                  <c:v>Investime Kapitale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1-1631-43B4-9639-35EEC3BE1079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chemeClr val="accent3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Stafi</c:v>
                </c:pt>
                <c:pt idx="1">
                  <c:v>Paga dhe Shtesa</c:v>
                </c:pt>
                <c:pt idx="2">
                  <c:v>Mallra dhe Shërbime</c:v>
                </c:pt>
                <c:pt idx="3">
                  <c:v>Shpenzime Komunale</c:v>
                </c:pt>
                <c:pt idx="4">
                  <c:v>Subvencione dhe Transfere</c:v>
                </c:pt>
                <c:pt idx="5">
                  <c:v>Investime Kapitale</c:v>
                </c:pt>
              </c:strCache>
            </c:strRef>
          </c:cat>
          <c:val>
            <c:numRef>
              <c:f>Sheet1!$D$2:$D$7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2-1631-43B4-9639-35EEC3BE107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25"/>
        <c:axId val="155435776"/>
        <c:axId val="155437312"/>
      </c:barChart>
      <c:catAx>
        <c:axId val="155435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5437312"/>
        <c:crosses val="autoZero"/>
        <c:auto val="1"/>
        <c:lblAlgn val="ctr"/>
        <c:lblOffset val="100"/>
        <c:noMultiLvlLbl val="0"/>
      </c:catAx>
      <c:valAx>
        <c:axId val="155437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5435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55DFA-ED52-4422-A12D-3CABBB843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3746</Words>
  <Characters>21353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NB</cp:lastModifiedBy>
  <cp:revision>2</cp:revision>
  <dcterms:created xsi:type="dcterms:W3CDTF">2025-12-22T12:32:00Z</dcterms:created>
  <dcterms:modified xsi:type="dcterms:W3CDTF">2025-12-22T12:32:00Z</dcterms:modified>
</cp:coreProperties>
</file>