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FA8" w:rsidRPr="00855FA8" w:rsidRDefault="00855FA8" w:rsidP="00855FA8">
      <w:pPr>
        <w:keepNext/>
        <w:keepLines/>
        <w:spacing w:before="87" w:after="0" w:line="276" w:lineRule="auto"/>
        <w:ind w:right="2389"/>
        <w:jc w:val="both"/>
        <w:outlineLvl w:val="0"/>
        <w:rPr>
          <w:rFonts w:ascii="Times New Roman" w:eastAsiaTheme="majorEastAsia" w:hAnsi="Times New Roman" w:cs="Times New Roman"/>
          <w:sz w:val="28"/>
          <w:szCs w:val="28"/>
          <w:lang w:val="sq-AL"/>
        </w:rPr>
      </w:pPr>
      <w:bookmarkStart w:id="0" w:name="_GoBack"/>
      <w:bookmarkEnd w:id="0"/>
      <w:r w:rsidRPr="00855FA8">
        <w:rPr>
          <w:rFonts w:asciiTheme="majorHAnsi" w:eastAsiaTheme="majorEastAsia" w:hAnsiTheme="majorHAnsi" w:cstheme="majorBidi"/>
          <w:noProof/>
          <w:color w:val="2E74B5" w:themeColor="accent1" w:themeShade="BF"/>
          <w:sz w:val="32"/>
          <w:szCs w:val="32"/>
          <w:lang w:val="sq-AL" w:eastAsia="sq-AL"/>
        </w:rPr>
        <w:drawing>
          <wp:anchor distT="36576" distB="36576" distL="36576" distR="36576" simplePos="0" relativeHeight="251659264" behindDoc="0" locked="0" layoutInCell="1" allowOverlap="1" wp14:anchorId="57D9AAA1" wp14:editId="5473CD09">
            <wp:simplePos x="0" y="0"/>
            <wp:positionH relativeFrom="column">
              <wp:posOffset>5151896</wp:posOffset>
            </wp:positionH>
            <wp:positionV relativeFrom="paragraph">
              <wp:posOffset>146120</wp:posOffset>
            </wp:positionV>
            <wp:extent cx="990600" cy="904875"/>
            <wp:effectExtent l="19050" t="0" r="0" b="0"/>
            <wp:wrapNone/>
            <wp:docPr id="1" name="Picture 2" descr="Description: Description: 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TEMA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990600" cy="904875"/>
                    </a:xfrm>
                    <a:prstGeom prst="rect">
                      <a:avLst/>
                    </a:prstGeom>
                    <a:noFill/>
                    <a:ln w="9525">
                      <a:noFill/>
                      <a:miter lim="800000"/>
                      <a:headEnd/>
                      <a:tailEnd/>
                    </a:ln>
                  </pic:spPr>
                </pic:pic>
              </a:graphicData>
            </a:graphic>
          </wp:anchor>
        </w:drawing>
      </w:r>
      <w:r w:rsidRPr="00855FA8">
        <w:rPr>
          <w:rFonts w:asciiTheme="majorHAnsi" w:eastAsiaTheme="majorEastAsia" w:hAnsiTheme="majorHAnsi" w:cstheme="majorBidi"/>
          <w:noProof/>
          <w:color w:val="2E74B5" w:themeColor="accent1" w:themeShade="BF"/>
          <w:sz w:val="32"/>
          <w:szCs w:val="32"/>
          <w:lang w:val="sq-AL" w:eastAsia="sq-AL"/>
        </w:rPr>
        <w:drawing>
          <wp:anchor distT="0" distB="0" distL="114300" distR="114300" simplePos="0" relativeHeight="251660288" behindDoc="0" locked="0" layoutInCell="1" allowOverlap="1" wp14:anchorId="798DB758" wp14:editId="4CBFAC72">
            <wp:simplePos x="0" y="0"/>
            <wp:positionH relativeFrom="column">
              <wp:posOffset>-153246</wp:posOffset>
            </wp:positionH>
            <wp:positionV relativeFrom="paragraph">
              <wp:posOffset>33867</wp:posOffset>
            </wp:positionV>
            <wp:extent cx="771525" cy="847725"/>
            <wp:effectExtent l="19050" t="0" r="9525" b="0"/>
            <wp:wrapSquare wrapText="left"/>
            <wp:docPr id="3"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JPG"/>
                    <pic:cNvPicPr>
                      <a:picLocks noChangeAspect="1" noChangeArrowheads="1"/>
                    </pic:cNvPicPr>
                  </pic:nvPicPr>
                  <pic:blipFill>
                    <a:blip r:embed="rId9" cstate="print"/>
                    <a:srcRect/>
                    <a:stretch>
                      <a:fillRect/>
                    </a:stretch>
                  </pic:blipFill>
                  <pic:spPr bwMode="auto">
                    <a:xfrm>
                      <a:off x="0" y="0"/>
                      <a:ext cx="771525" cy="847725"/>
                    </a:xfrm>
                    <a:prstGeom prst="rect">
                      <a:avLst/>
                    </a:prstGeom>
                    <a:noFill/>
                    <a:ln w="9525">
                      <a:noFill/>
                      <a:miter lim="800000"/>
                      <a:headEnd/>
                      <a:tailEnd/>
                    </a:ln>
                  </pic:spPr>
                </pic:pic>
              </a:graphicData>
            </a:graphic>
          </wp:anchor>
        </w:drawing>
      </w:r>
      <w:r>
        <w:rPr>
          <w:rFonts w:ascii="Times New Roman" w:eastAsiaTheme="majorEastAsia" w:hAnsi="Times New Roman" w:cs="Times New Roman"/>
          <w:sz w:val="26"/>
          <w:szCs w:val="26"/>
          <w:lang w:val="sq-AL"/>
        </w:rPr>
        <w:t xml:space="preserve">                                 </w:t>
      </w:r>
      <w:r w:rsidRPr="00855FA8">
        <w:rPr>
          <w:rFonts w:ascii="Times New Roman" w:eastAsiaTheme="majorEastAsia" w:hAnsi="Times New Roman" w:cs="Times New Roman"/>
          <w:sz w:val="26"/>
          <w:szCs w:val="26"/>
          <w:lang w:val="sq-AL"/>
        </w:rPr>
        <w:t xml:space="preserve"> Republika</w:t>
      </w:r>
      <w:r w:rsidRPr="00855FA8">
        <w:rPr>
          <w:rFonts w:ascii="Times New Roman" w:eastAsiaTheme="majorEastAsia" w:hAnsi="Times New Roman" w:cs="Times New Roman"/>
          <w:spacing w:val="-5"/>
          <w:sz w:val="26"/>
          <w:szCs w:val="26"/>
          <w:lang w:val="sq-AL"/>
        </w:rPr>
        <w:t xml:space="preserve"> </w:t>
      </w:r>
      <w:r w:rsidRPr="00855FA8">
        <w:rPr>
          <w:rFonts w:ascii="Times New Roman" w:eastAsiaTheme="majorEastAsia" w:hAnsi="Times New Roman" w:cs="Times New Roman"/>
          <w:sz w:val="26"/>
          <w:szCs w:val="26"/>
          <w:lang w:val="sq-AL"/>
        </w:rPr>
        <w:t>e</w:t>
      </w:r>
      <w:r w:rsidRPr="00855FA8">
        <w:rPr>
          <w:rFonts w:ascii="Times New Roman" w:eastAsiaTheme="majorEastAsia" w:hAnsi="Times New Roman" w:cs="Times New Roman"/>
          <w:spacing w:val="-3"/>
          <w:sz w:val="26"/>
          <w:szCs w:val="26"/>
          <w:lang w:val="sq-AL"/>
        </w:rPr>
        <w:t xml:space="preserve"> </w:t>
      </w:r>
      <w:r w:rsidRPr="00855FA8">
        <w:rPr>
          <w:rFonts w:ascii="Times New Roman" w:eastAsiaTheme="majorEastAsia" w:hAnsi="Times New Roman" w:cs="Times New Roman"/>
          <w:sz w:val="26"/>
          <w:szCs w:val="26"/>
          <w:lang w:val="sq-AL"/>
        </w:rPr>
        <w:t>Kosovës</w:t>
      </w:r>
      <w:r w:rsidRPr="00855FA8">
        <w:rPr>
          <w:rFonts w:ascii="Times New Roman" w:eastAsiaTheme="majorEastAsia" w:hAnsi="Times New Roman" w:cs="Times New Roman"/>
          <w:spacing w:val="66"/>
          <w:sz w:val="26"/>
          <w:szCs w:val="26"/>
          <w:lang w:val="sq-AL"/>
        </w:rPr>
        <w:t xml:space="preserve"> </w:t>
      </w:r>
      <w:r w:rsidRPr="00855FA8">
        <w:rPr>
          <w:rFonts w:ascii="Times New Roman" w:eastAsiaTheme="majorEastAsia" w:hAnsi="Times New Roman" w:cs="Times New Roman"/>
          <w:sz w:val="26"/>
          <w:szCs w:val="26"/>
          <w:lang w:val="sq-AL"/>
        </w:rPr>
        <w:t>-</w:t>
      </w:r>
      <w:r w:rsidRPr="00855FA8">
        <w:rPr>
          <w:rFonts w:ascii="Times New Roman" w:eastAsiaTheme="majorEastAsia" w:hAnsi="Times New Roman" w:cs="Times New Roman"/>
          <w:spacing w:val="60"/>
          <w:sz w:val="26"/>
          <w:szCs w:val="26"/>
          <w:lang w:val="sq-AL"/>
        </w:rPr>
        <w:t xml:space="preserve"> </w:t>
      </w:r>
      <w:r w:rsidRPr="00855FA8">
        <w:rPr>
          <w:rFonts w:ascii="Times New Roman" w:eastAsiaTheme="majorEastAsia" w:hAnsi="Times New Roman" w:cs="Times New Roman"/>
          <w:sz w:val="26"/>
          <w:szCs w:val="26"/>
          <w:lang w:val="sq-AL"/>
        </w:rPr>
        <w:t>Republic</w:t>
      </w:r>
      <w:r w:rsidRPr="00855FA8">
        <w:rPr>
          <w:rFonts w:ascii="Times New Roman" w:eastAsiaTheme="majorEastAsia" w:hAnsi="Times New Roman" w:cs="Times New Roman"/>
          <w:spacing w:val="-2"/>
          <w:sz w:val="26"/>
          <w:szCs w:val="26"/>
          <w:lang w:val="sq-AL"/>
        </w:rPr>
        <w:t xml:space="preserve"> </w:t>
      </w:r>
      <w:r w:rsidRPr="00855FA8">
        <w:rPr>
          <w:rFonts w:ascii="Times New Roman" w:eastAsiaTheme="majorEastAsia" w:hAnsi="Times New Roman" w:cs="Times New Roman"/>
          <w:sz w:val="26"/>
          <w:szCs w:val="26"/>
          <w:lang w:val="sq-AL"/>
        </w:rPr>
        <w:t>of</w:t>
      </w:r>
      <w:r w:rsidRPr="00855FA8">
        <w:rPr>
          <w:rFonts w:ascii="Times New Roman" w:eastAsiaTheme="majorEastAsia" w:hAnsi="Times New Roman" w:cs="Times New Roman"/>
          <w:spacing w:val="65"/>
          <w:sz w:val="26"/>
          <w:szCs w:val="26"/>
          <w:lang w:val="sq-AL"/>
        </w:rPr>
        <w:t xml:space="preserve"> </w:t>
      </w:r>
      <w:r w:rsidRPr="00855FA8">
        <w:rPr>
          <w:rFonts w:ascii="Times New Roman" w:eastAsiaTheme="majorEastAsia" w:hAnsi="Times New Roman" w:cs="Times New Roman"/>
          <w:sz w:val="26"/>
          <w:szCs w:val="26"/>
          <w:lang w:val="sq-AL"/>
        </w:rPr>
        <w:t>Kosovo</w:t>
      </w:r>
    </w:p>
    <w:p w:rsidR="00855FA8" w:rsidRPr="00855FA8" w:rsidRDefault="00855FA8" w:rsidP="00855FA8">
      <w:pPr>
        <w:keepNext/>
        <w:keepLines/>
        <w:tabs>
          <w:tab w:val="left" w:pos="2082"/>
          <w:tab w:val="center" w:pos="3656"/>
        </w:tabs>
        <w:spacing w:before="87" w:after="0" w:line="276" w:lineRule="auto"/>
        <w:ind w:left="1360" w:right="2389" w:hanging="1018"/>
        <w:jc w:val="both"/>
        <w:outlineLvl w:val="0"/>
        <w:rPr>
          <w:rFonts w:ascii="Times New Roman" w:eastAsiaTheme="majorEastAsia" w:hAnsi="Times New Roman" w:cs="Times New Roman"/>
          <w:sz w:val="26"/>
          <w:szCs w:val="26"/>
          <w:lang w:val="sq-AL"/>
        </w:rPr>
      </w:pPr>
      <w:r w:rsidRPr="00855FA8">
        <w:rPr>
          <w:rFonts w:ascii="Times New Roman" w:eastAsiaTheme="majorEastAsia" w:hAnsi="Times New Roman" w:cs="Times New Roman"/>
          <w:sz w:val="26"/>
          <w:szCs w:val="26"/>
          <w:lang w:val="sq-AL"/>
        </w:rPr>
        <w:t xml:space="preserve">                                      </w:t>
      </w:r>
      <w:r>
        <w:rPr>
          <w:rFonts w:ascii="Times New Roman" w:eastAsiaTheme="majorEastAsia" w:hAnsi="Times New Roman" w:cs="Times New Roman"/>
          <w:sz w:val="26"/>
          <w:szCs w:val="26"/>
          <w:lang w:val="sq-AL"/>
        </w:rPr>
        <w:t xml:space="preserve">  </w:t>
      </w:r>
      <w:r w:rsidRPr="00855FA8">
        <w:rPr>
          <w:rFonts w:ascii="Times New Roman" w:eastAsiaTheme="majorEastAsia" w:hAnsi="Times New Roman" w:cs="Times New Roman"/>
          <w:sz w:val="26"/>
          <w:szCs w:val="26"/>
          <w:lang w:val="sq-AL"/>
        </w:rPr>
        <w:t xml:space="preserve">    Komuna</w:t>
      </w:r>
      <w:r w:rsidRPr="00855FA8">
        <w:rPr>
          <w:rFonts w:ascii="Times New Roman" w:eastAsiaTheme="majorEastAsia" w:hAnsi="Times New Roman" w:cs="Times New Roman"/>
          <w:spacing w:val="-1"/>
          <w:sz w:val="26"/>
          <w:szCs w:val="26"/>
          <w:lang w:val="sq-AL"/>
        </w:rPr>
        <w:t xml:space="preserve"> </w:t>
      </w:r>
      <w:r w:rsidRPr="00855FA8">
        <w:rPr>
          <w:rFonts w:ascii="Times New Roman" w:eastAsiaTheme="majorEastAsia" w:hAnsi="Times New Roman" w:cs="Times New Roman"/>
          <w:sz w:val="26"/>
          <w:szCs w:val="26"/>
          <w:lang w:val="sq-AL"/>
        </w:rPr>
        <w:t>–</w:t>
      </w:r>
      <w:r w:rsidRPr="00855FA8">
        <w:rPr>
          <w:rFonts w:ascii="Times New Roman" w:eastAsiaTheme="majorEastAsia" w:hAnsi="Times New Roman" w:cs="Times New Roman"/>
          <w:spacing w:val="1"/>
          <w:sz w:val="26"/>
          <w:szCs w:val="26"/>
          <w:lang w:val="sq-AL"/>
        </w:rPr>
        <w:t xml:space="preserve"> </w:t>
      </w:r>
      <w:r w:rsidRPr="00855FA8">
        <w:rPr>
          <w:rFonts w:ascii="Times New Roman" w:eastAsiaTheme="majorEastAsia" w:hAnsi="Times New Roman" w:cs="Times New Roman"/>
          <w:sz w:val="26"/>
          <w:szCs w:val="26"/>
          <w:lang w:val="sq-AL"/>
        </w:rPr>
        <w:t>Municipality</w:t>
      </w:r>
    </w:p>
    <w:p w:rsidR="00855FA8" w:rsidRPr="00855FA8" w:rsidRDefault="00855FA8" w:rsidP="00855FA8">
      <w:pPr>
        <w:spacing w:before="4" w:after="200" w:line="276" w:lineRule="auto"/>
        <w:jc w:val="both"/>
        <w:rPr>
          <w:rFonts w:ascii="Times New Roman" w:eastAsia="Calibri" w:hAnsi="Times New Roman" w:cs="Times New Roman"/>
          <w:sz w:val="26"/>
          <w:szCs w:val="26"/>
          <w:lang w:val="sq-AL"/>
        </w:rPr>
      </w:pPr>
      <w:r w:rsidRPr="00855FA8">
        <w:rPr>
          <w:rFonts w:ascii="Times New Roman" w:eastAsia="Calibri" w:hAnsi="Times New Roman" w:cs="Times New Roman"/>
          <w:sz w:val="26"/>
          <w:szCs w:val="26"/>
          <w:lang w:val="sq-AL"/>
        </w:rPr>
        <w:t xml:space="preserve">                                                  </w:t>
      </w:r>
      <w:r>
        <w:rPr>
          <w:rFonts w:ascii="Times New Roman" w:eastAsia="Calibri" w:hAnsi="Times New Roman" w:cs="Times New Roman"/>
          <w:sz w:val="26"/>
          <w:szCs w:val="26"/>
          <w:lang w:val="sq-AL"/>
        </w:rPr>
        <w:t xml:space="preserve">    </w:t>
      </w:r>
      <w:r w:rsidRPr="00855FA8">
        <w:rPr>
          <w:rFonts w:ascii="Times New Roman" w:eastAsia="Calibri" w:hAnsi="Times New Roman" w:cs="Times New Roman"/>
          <w:sz w:val="26"/>
          <w:szCs w:val="26"/>
          <w:lang w:val="sq-AL"/>
        </w:rPr>
        <w:t xml:space="preserve">  Hani i Elezi                                                                                                                                                              </w:t>
      </w:r>
    </w:p>
    <w:p w:rsidR="00855FA8" w:rsidRPr="00855FA8" w:rsidRDefault="00855FA8" w:rsidP="00855FA8">
      <w:pPr>
        <w:spacing w:before="4" w:after="200" w:line="276" w:lineRule="auto"/>
        <w:jc w:val="both"/>
        <w:rPr>
          <w:rFonts w:ascii="Times New Roman" w:eastAsia="Calibri" w:hAnsi="Times New Roman" w:cs="Times New Roman"/>
          <w:sz w:val="26"/>
          <w:szCs w:val="26"/>
          <w:lang w:val="sq-AL"/>
        </w:rPr>
      </w:pPr>
      <w:r w:rsidRPr="00855FA8">
        <w:rPr>
          <w:rFonts w:ascii="Times New Roman" w:eastAsia="Calibri" w:hAnsi="Times New Roman" w:cs="Times New Roman"/>
          <w:sz w:val="26"/>
          <w:szCs w:val="26"/>
          <w:lang w:val="sq-AL"/>
        </w:rPr>
        <w:t>_____________________________________________________________________</w:t>
      </w:r>
    </w:p>
    <w:p w:rsidR="00855FA8" w:rsidRPr="00855FA8" w:rsidRDefault="00855FA8" w:rsidP="00855FA8">
      <w:pPr>
        <w:keepNext/>
        <w:keepLines/>
        <w:spacing w:before="87" w:after="0" w:line="276" w:lineRule="auto"/>
        <w:ind w:right="2389"/>
        <w:outlineLvl w:val="0"/>
        <w:rPr>
          <w:rFonts w:ascii="Times New Roman" w:eastAsia="Calibri" w:hAnsi="Times New Roman" w:cs="Times New Roman"/>
          <w:sz w:val="26"/>
          <w:szCs w:val="26"/>
          <w:lang w:val="sq-AL"/>
        </w:rPr>
      </w:pPr>
      <w:r w:rsidRPr="00855FA8">
        <w:rPr>
          <w:rFonts w:ascii="Times New Roman" w:eastAsiaTheme="majorEastAsia" w:hAnsi="Times New Roman" w:cs="Times New Roman"/>
          <w:sz w:val="28"/>
          <w:szCs w:val="28"/>
          <w:lang w:val="sq-AL"/>
        </w:rPr>
        <w:t xml:space="preserve">  </w:t>
      </w:r>
    </w:p>
    <w:p w:rsidR="00855FA8" w:rsidRPr="00855FA8" w:rsidRDefault="00855FA8" w:rsidP="00855FA8">
      <w:pPr>
        <w:tabs>
          <w:tab w:val="left" w:pos="3720"/>
          <w:tab w:val="left" w:pos="7725"/>
          <w:tab w:val="left" w:pos="8640"/>
        </w:tabs>
        <w:spacing w:after="200" w:line="276" w:lineRule="auto"/>
        <w:jc w:val="right"/>
        <w:rPr>
          <w:rFonts w:ascii="Times New Roman" w:eastAsia="Calibri" w:hAnsi="Times New Roman" w:cs="Times New Roman"/>
          <w:b/>
          <w:sz w:val="24"/>
          <w:szCs w:val="24"/>
          <w:lang w:val="sq-AL"/>
        </w:rPr>
      </w:pPr>
      <w:r w:rsidRPr="00855FA8">
        <w:rPr>
          <w:rFonts w:ascii="Calibri" w:eastAsia="Calibri" w:hAnsi="Calibri" w:cs="Calibri"/>
          <w:noProof/>
        </w:rPr>
        <w:tab/>
        <w:t xml:space="preserve">             </w:t>
      </w:r>
      <w:r>
        <w:rPr>
          <w:rFonts w:ascii="Times New Roman" w:eastAsia="Calibri" w:hAnsi="Times New Roman" w:cs="Times New Roman"/>
          <w:b/>
          <w:sz w:val="24"/>
          <w:szCs w:val="24"/>
          <w:lang w:val="sq-AL"/>
        </w:rPr>
        <w:t>07/</w:t>
      </w:r>
      <w:r w:rsidR="0088158D">
        <w:rPr>
          <w:rFonts w:ascii="Times New Roman" w:eastAsia="Calibri" w:hAnsi="Times New Roman" w:cs="Times New Roman"/>
          <w:b/>
          <w:sz w:val="24"/>
          <w:szCs w:val="24"/>
          <w:lang w:val="sq-AL"/>
        </w:rPr>
        <w:t xml:space="preserve">  7426 </w:t>
      </w:r>
      <w:r>
        <w:rPr>
          <w:rFonts w:ascii="Times New Roman" w:eastAsia="Calibri" w:hAnsi="Times New Roman" w:cs="Times New Roman"/>
          <w:b/>
          <w:sz w:val="24"/>
          <w:szCs w:val="24"/>
          <w:lang w:val="sq-AL"/>
        </w:rPr>
        <w:t xml:space="preserve"> /2025</w:t>
      </w:r>
    </w:p>
    <w:p w:rsidR="00855FA8" w:rsidRPr="00855FA8" w:rsidRDefault="00855FA8" w:rsidP="00855FA8">
      <w:pPr>
        <w:spacing w:after="200" w:line="276" w:lineRule="auto"/>
        <w:rPr>
          <w:rFonts w:ascii="Calibri" w:eastAsia="Calibri" w:hAnsi="Calibri" w:cs="Calibri"/>
          <w:lang w:val="sq-AL"/>
        </w:rPr>
      </w:pPr>
    </w:p>
    <w:p w:rsidR="00855FA8" w:rsidRPr="00855FA8" w:rsidRDefault="00855FA8" w:rsidP="00855FA8">
      <w:pPr>
        <w:spacing w:after="200" w:line="276" w:lineRule="auto"/>
        <w:jc w:val="center"/>
        <w:rPr>
          <w:rFonts w:ascii="Times New Roman" w:eastAsia="Calibri" w:hAnsi="Times New Roman" w:cs="Times New Roman"/>
          <w:sz w:val="48"/>
          <w:szCs w:val="24"/>
          <w:lang w:val="sq-AL"/>
        </w:rPr>
      </w:pPr>
      <w:r w:rsidRPr="00855FA8">
        <w:rPr>
          <w:rFonts w:ascii="Calibri" w:eastAsia="Calibri" w:hAnsi="Calibri" w:cs="Calibri"/>
          <w:lang w:val="sq-AL"/>
        </w:rPr>
        <w:tab/>
      </w:r>
      <w:r w:rsidRPr="00855FA8">
        <w:rPr>
          <w:rFonts w:ascii="Times New Roman" w:eastAsia="Calibri" w:hAnsi="Times New Roman" w:cs="Times New Roman"/>
          <w:sz w:val="48"/>
          <w:szCs w:val="24"/>
          <w:lang w:val="sq-AL"/>
        </w:rPr>
        <w:t>DREJTORIA PËR SHËNDETËSI DHE MIRËQENIE SOCIALE</w:t>
      </w:r>
    </w:p>
    <w:p w:rsidR="00855FA8" w:rsidRPr="00855FA8" w:rsidRDefault="00855FA8" w:rsidP="00855FA8">
      <w:pPr>
        <w:spacing w:after="200" w:line="276" w:lineRule="auto"/>
        <w:rPr>
          <w:rFonts w:ascii="Times New Roman" w:eastAsia="Calibri" w:hAnsi="Times New Roman" w:cs="Times New Roman"/>
          <w:sz w:val="72"/>
          <w:szCs w:val="24"/>
          <w:lang w:val="sq-AL"/>
        </w:rPr>
      </w:pPr>
    </w:p>
    <w:p w:rsidR="00855FA8" w:rsidRPr="00855FA8" w:rsidRDefault="00855FA8" w:rsidP="00855FA8">
      <w:pPr>
        <w:spacing w:after="200" w:line="276" w:lineRule="auto"/>
        <w:jc w:val="center"/>
        <w:rPr>
          <w:rFonts w:ascii="Times New Roman" w:eastAsia="Calibri" w:hAnsi="Times New Roman" w:cs="Times New Roman"/>
          <w:sz w:val="40"/>
          <w:szCs w:val="40"/>
          <w:lang w:val="sq-AL"/>
        </w:rPr>
      </w:pPr>
    </w:p>
    <w:p w:rsidR="00855FA8" w:rsidRPr="00855FA8" w:rsidRDefault="00855FA8" w:rsidP="00855FA8">
      <w:pPr>
        <w:spacing w:after="200" w:line="276" w:lineRule="auto"/>
        <w:jc w:val="center"/>
        <w:rPr>
          <w:rFonts w:ascii="Times New Roman" w:eastAsia="Calibri" w:hAnsi="Times New Roman" w:cs="Times New Roman"/>
          <w:sz w:val="40"/>
          <w:szCs w:val="40"/>
          <w:lang w:val="sq-AL"/>
        </w:rPr>
      </w:pPr>
      <w:r w:rsidRPr="00855FA8">
        <w:rPr>
          <w:rFonts w:ascii="Times New Roman" w:eastAsia="Calibri" w:hAnsi="Times New Roman" w:cs="Times New Roman"/>
          <w:sz w:val="40"/>
          <w:szCs w:val="40"/>
          <w:lang w:val="sq-AL"/>
        </w:rPr>
        <w:t>RAPORTI GJASHTË MUJOR I PUNËS DHE AKTIVITETEVE JANAR-QERSHOR 2025</w:t>
      </w:r>
    </w:p>
    <w:p w:rsidR="00855FA8" w:rsidRPr="00855FA8" w:rsidRDefault="00855FA8" w:rsidP="00855FA8">
      <w:pPr>
        <w:spacing w:after="200" w:line="276" w:lineRule="auto"/>
        <w:rPr>
          <w:rFonts w:ascii="Times New Roman" w:eastAsia="Calibri" w:hAnsi="Times New Roman" w:cs="Times New Roman"/>
          <w:i/>
          <w:sz w:val="56"/>
          <w:szCs w:val="24"/>
          <w:lang w:val="sq-AL"/>
        </w:rPr>
      </w:pPr>
    </w:p>
    <w:p w:rsidR="00855FA8" w:rsidRPr="00855FA8" w:rsidRDefault="00855FA8" w:rsidP="00855FA8">
      <w:pPr>
        <w:spacing w:after="200" w:line="276" w:lineRule="auto"/>
        <w:jc w:val="right"/>
        <w:rPr>
          <w:rFonts w:ascii="Times New Roman" w:eastAsia="Calibri" w:hAnsi="Times New Roman" w:cs="Times New Roman"/>
          <w:i/>
          <w:sz w:val="40"/>
          <w:szCs w:val="24"/>
          <w:lang w:val="sq-AL"/>
        </w:rPr>
      </w:pPr>
    </w:p>
    <w:p w:rsidR="00855FA8" w:rsidRPr="00855FA8" w:rsidRDefault="00855FA8" w:rsidP="00855FA8">
      <w:pPr>
        <w:spacing w:after="200" w:line="276" w:lineRule="auto"/>
        <w:rPr>
          <w:rFonts w:ascii="Times New Roman" w:eastAsia="Calibri" w:hAnsi="Times New Roman" w:cs="Times New Roman"/>
          <w:sz w:val="28"/>
          <w:szCs w:val="32"/>
          <w:lang w:val="sq-AL"/>
        </w:rPr>
      </w:pPr>
    </w:p>
    <w:p w:rsidR="00855FA8" w:rsidRPr="00855FA8" w:rsidRDefault="00855FA8" w:rsidP="00855FA8">
      <w:pPr>
        <w:spacing w:after="200" w:line="276" w:lineRule="auto"/>
        <w:rPr>
          <w:rFonts w:ascii="Times New Roman" w:eastAsia="Calibri" w:hAnsi="Times New Roman" w:cs="Times New Roman"/>
          <w:sz w:val="28"/>
          <w:szCs w:val="32"/>
          <w:lang w:val="sq-AL"/>
        </w:rPr>
      </w:pPr>
    </w:p>
    <w:p w:rsidR="00855FA8" w:rsidRPr="00855FA8" w:rsidRDefault="00855FA8" w:rsidP="00855FA8">
      <w:pPr>
        <w:spacing w:after="200" w:line="276" w:lineRule="auto"/>
        <w:jc w:val="center"/>
        <w:rPr>
          <w:rFonts w:ascii="Times New Roman" w:eastAsia="Calibri" w:hAnsi="Times New Roman" w:cs="Times New Roman"/>
          <w:sz w:val="28"/>
          <w:szCs w:val="32"/>
          <w:lang w:val="sq-AL"/>
        </w:rPr>
      </w:pPr>
      <w:r w:rsidRPr="00855FA8">
        <w:rPr>
          <w:rFonts w:ascii="Times New Roman" w:eastAsia="Calibri" w:hAnsi="Times New Roman" w:cs="Times New Roman"/>
          <w:sz w:val="28"/>
          <w:szCs w:val="32"/>
          <w:lang w:val="sq-AL"/>
        </w:rPr>
        <w:t>Hani i Elezit, 2025</w:t>
      </w:r>
    </w:p>
    <w:p w:rsidR="00000307" w:rsidRDefault="003A1566" w:rsidP="00000307">
      <w:pPr>
        <w:pStyle w:val="NormalWeb"/>
        <w:shd w:val="clear" w:color="auto" w:fill="FFFFFF"/>
        <w:rPr>
          <w:b/>
          <w:color w:val="212121"/>
          <w:shd w:val="clear" w:color="auto" w:fill="FFFFFF"/>
        </w:rPr>
      </w:pPr>
      <w:r w:rsidRPr="003A1566">
        <w:rPr>
          <w:b/>
          <w:color w:val="212121"/>
          <w:shd w:val="clear" w:color="auto" w:fill="FFFFFF"/>
        </w:rPr>
        <w:lastRenderedPageBreak/>
        <w:t>RAPORT GJASHTËMUJOR (Janar – Qershor 2025)</w:t>
      </w:r>
    </w:p>
    <w:p w:rsidR="00000307" w:rsidRPr="00000307" w:rsidRDefault="003A1566" w:rsidP="00000307">
      <w:pPr>
        <w:pStyle w:val="NormalWeb"/>
        <w:shd w:val="clear" w:color="auto" w:fill="FFFFFF"/>
        <w:rPr>
          <w:b/>
          <w:color w:val="212121"/>
        </w:rPr>
      </w:pPr>
      <w:r w:rsidRPr="003A1566">
        <w:rPr>
          <w:b/>
          <w:color w:val="212121"/>
        </w:rPr>
        <w:br/>
      </w:r>
      <w:r w:rsidR="00000307">
        <w:rPr>
          <w:b/>
          <w:color w:val="212121"/>
        </w:rPr>
        <w:t xml:space="preserve">Drejtoria e Shëndetësisë dhe Mirëqenies Sociale </w:t>
      </w:r>
      <w:r w:rsidR="00000307" w:rsidRPr="00000307">
        <w:rPr>
          <w:b/>
          <w:color w:val="212121"/>
        </w:rPr>
        <w:t xml:space="preserve">, duke e pasur prioritet shëndetin dhe mirëqenien e qytetarëve, gjatë këtij gjashtëmujori ka zhvilluar veprimtari të vazhdueshme në të dy qendrat nën menaxhim. Ky raport përmbledh punën, sfidat dhe të arriturat në ofrimin e shërbimeve cilësore dhe të </w:t>
      </w:r>
      <w:r w:rsidR="00000307">
        <w:rPr>
          <w:b/>
          <w:color w:val="212121"/>
        </w:rPr>
        <w:t>qasshme për të gjithë qytetarët.</w:t>
      </w:r>
    </w:p>
    <w:p w:rsidR="003A1566" w:rsidRPr="00DE6B4D" w:rsidRDefault="003A1566" w:rsidP="00000307">
      <w:pPr>
        <w:spacing w:line="276" w:lineRule="auto"/>
        <w:rPr>
          <w:rFonts w:ascii="Times New Roman" w:hAnsi="Times New Roman" w:cs="Times New Roman"/>
          <w:b/>
          <w:color w:val="212121"/>
          <w:sz w:val="24"/>
          <w:szCs w:val="24"/>
          <w:shd w:val="clear" w:color="auto" w:fill="FFFFFF"/>
        </w:rPr>
      </w:pPr>
      <w:r w:rsidRPr="00DE6B4D">
        <w:rPr>
          <w:rFonts w:ascii="Times New Roman" w:hAnsi="Times New Roman" w:cs="Times New Roman"/>
          <w:b/>
          <w:color w:val="212121"/>
          <w:sz w:val="24"/>
          <w:szCs w:val="24"/>
        </w:rPr>
        <w:br/>
      </w:r>
      <w:r w:rsidRPr="00DE6B4D">
        <w:rPr>
          <w:rFonts w:ascii="Times New Roman" w:hAnsi="Times New Roman" w:cs="Times New Roman"/>
          <w:b/>
          <w:color w:val="212121"/>
          <w:sz w:val="24"/>
          <w:szCs w:val="24"/>
          <w:shd w:val="clear" w:color="auto" w:fill="FFFFFF"/>
        </w:rPr>
        <w:t>1. Shtimi i Shërbimeve Specialistike në QKMF</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 Shërbimet Kardiologjike janë ofruar falas për qytetarët e Komunës sonë, falë mbështetjes nga kompania SharrCem.</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 Shërbimet e Pulmologjisë janë realizuar në mënyrë vullnetare nga ordinanca “Pleura”, duke rritur kështu qasjen e qytetarëve në diagnostikim dhe trajtim profesional.</w:t>
      </w:r>
      <w:r w:rsidRPr="00DE6B4D">
        <w:rPr>
          <w:rFonts w:ascii="Times New Roman" w:hAnsi="Times New Roman" w:cs="Times New Roman"/>
          <w:color w:val="212121"/>
          <w:sz w:val="24"/>
          <w:szCs w:val="24"/>
        </w:rPr>
        <w:br/>
      </w:r>
      <w:r w:rsidRPr="00DE6B4D">
        <w:rPr>
          <w:rFonts w:ascii="Times New Roman" w:hAnsi="Times New Roman" w:cs="Times New Roman"/>
          <w:b/>
          <w:color w:val="212121"/>
          <w:sz w:val="24"/>
          <w:szCs w:val="24"/>
          <w:shd w:val="clear" w:color="auto" w:fill="FFFFFF"/>
        </w:rPr>
        <w:t>2. Bashkëpunime dhe Investime në Infrastrukturë</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 Është nënshkruar një marrëveshje me Projektin AQH për rregullimin e dyshemesë në QKMF, projekt i cili është duke u realizuar me bashkëfinancim. Ky investim do të ndikojë direkt në përmirësimin e kushteve të punës dhe shërbimeve.</w:t>
      </w:r>
      <w:r w:rsidRPr="00DE6B4D">
        <w:rPr>
          <w:rFonts w:ascii="Times New Roman" w:hAnsi="Times New Roman" w:cs="Times New Roman"/>
          <w:color w:val="212121"/>
          <w:sz w:val="24"/>
          <w:szCs w:val="24"/>
        </w:rPr>
        <w:br/>
      </w:r>
      <w:r w:rsidRPr="00DE6B4D">
        <w:rPr>
          <w:rFonts w:ascii="Times New Roman" w:hAnsi="Times New Roman" w:cs="Times New Roman"/>
          <w:b/>
          <w:color w:val="212121"/>
          <w:sz w:val="24"/>
          <w:szCs w:val="24"/>
          <w:shd w:val="clear" w:color="auto" w:fill="FFFFFF"/>
        </w:rPr>
        <w:t>3. Lansimi i Programeve të Reja në QKMF</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 “Këshillimorja”: Një dhomë e dedikuar për promovimin dhe edukimin mbi sëmundjet kronike jo ngjitëse, siç janë: diabeti, hipertensioni dhe astma. Kjo iniciativë është mbështetur nga AQH.</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 “Kujdesi në Grup për Prindërim”: Program edukues dhe mbështetës për prindërit, i fokusuar në shëndetin mendor dhe zhvillimin e hershëm të fëmijës.</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rPr>
        <w:br/>
      </w:r>
      <w:r w:rsidRPr="00DE6B4D">
        <w:rPr>
          <w:rFonts w:ascii="Times New Roman" w:hAnsi="Times New Roman" w:cs="Times New Roman"/>
          <w:b/>
          <w:color w:val="212121"/>
          <w:sz w:val="24"/>
          <w:szCs w:val="24"/>
          <w:shd w:val="clear" w:color="auto" w:fill="FFFFFF"/>
        </w:rPr>
        <w:t>II. Aktivitetet dhe Fushatat Sensibilizuese</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1. Aktivitetet për Ditët Ndërkombëtare të Shëndetësisë</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 Janë organizuar aktivitete vetëdijësuese dhe shërbime shëndetësore falas për qytetarët në qendër të qytetit, me pjesëmarrje të gjerë të profesionistëve shëndetësorë.</w:t>
      </w:r>
      <w:r w:rsidRPr="00DE6B4D">
        <w:rPr>
          <w:rFonts w:ascii="Times New Roman" w:hAnsi="Times New Roman" w:cs="Times New Roman"/>
          <w:color w:val="212121"/>
          <w:sz w:val="24"/>
          <w:szCs w:val="24"/>
        </w:rPr>
        <w:br/>
      </w:r>
      <w:r w:rsidRPr="00DE6B4D">
        <w:rPr>
          <w:rFonts w:ascii="Times New Roman" w:hAnsi="Times New Roman" w:cs="Times New Roman"/>
          <w:b/>
          <w:color w:val="212121"/>
          <w:sz w:val="24"/>
          <w:szCs w:val="24"/>
          <w:shd w:val="clear" w:color="auto" w:fill="FFFFFF"/>
        </w:rPr>
        <w:t>2. Vizita Sistemike në Shkolla</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 Është realizuar vizita sistematike në të gjitha shkollat e komunës për klasat e para dhe të pestat. Ekipi profesional përbëhej nga mjeku familjar, stomatologu dhe infermierë, me qëllim të vlerësimit të shëndetit oral dhe fizik të nxënësve.</w:t>
      </w:r>
      <w:r w:rsidRPr="00DE6B4D">
        <w:rPr>
          <w:rFonts w:ascii="Times New Roman" w:hAnsi="Times New Roman" w:cs="Times New Roman"/>
          <w:color w:val="212121"/>
          <w:sz w:val="24"/>
          <w:szCs w:val="24"/>
        </w:rPr>
        <w:br/>
      </w:r>
      <w:r w:rsidRPr="00DE6B4D">
        <w:rPr>
          <w:rFonts w:ascii="Times New Roman" w:hAnsi="Times New Roman" w:cs="Times New Roman"/>
          <w:b/>
          <w:color w:val="212121"/>
          <w:sz w:val="24"/>
          <w:szCs w:val="24"/>
          <w:shd w:val="clear" w:color="auto" w:fill="FFFFFF"/>
        </w:rPr>
        <w:t>3. Java e Dhurimit Vullnetar të Gjakut</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 Është organizuar me sukses një aktivitet i rëndësishëm humanitar, ku 123 qytetarë kanë dhuruar gjak, duke kontribuar në sigurimin e rezervave të nevojshme për raste urgjente.</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rPr>
        <w:br/>
      </w:r>
    </w:p>
    <w:p w:rsidR="003A1566" w:rsidRPr="00DE6B4D" w:rsidRDefault="003A1566" w:rsidP="003A1566">
      <w:pPr>
        <w:spacing w:line="276" w:lineRule="auto"/>
        <w:rPr>
          <w:rFonts w:ascii="Times New Roman" w:hAnsi="Times New Roman" w:cs="Times New Roman"/>
          <w:color w:val="212121"/>
          <w:sz w:val="24"/>
          <w:szCs w:val="24"/>
          <w:shd w:val="clear" w:color="auto" w:fill="FFFFFF"/>
        </w:rPr>
      </w:pPr>
      <w:r w:rsidRPr="00DE6B4D">
        <w:rPr>
          <w:rFonts w:ascii="Times New Roman" w:hAnsi="Times New Roman" w:cs="Times New Roman"/>
          <w:b/>
          <w:color w:val="212121"/>
          <w:sz w:val="24"/>
          <w:szCs w:val="24"/>
          <w:shd w:val="clear" w:color="auto" w:fill="FFFFFF"/>
        </w:rPr>
        <w:t>III. Ndihma Sociale dhe Humanitare</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1. Distribuimi i Ndihmave Ushqimore dhe Veshëmbathjeve</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 Janë shpërndarë gjithsej:</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 562 pako ushqimore për familjet në nevojë</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 300 familje kanë përfituar veshëmbathje</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 830 dhurata për festën e Bajramit për fëmijët nga mosha parashkollore deri në klasën e pestë, të gjitha këto janë mundësuar falë bashkëpunimit me organizata të ndryshme dhe donatorëve vendas (</w:t>
      </w:r>
      <w:r w:rsidRPr="00DE6B4D">
        <w:rPr>
          <w:rFonts w:ascii="Times New Roman" w:hAnsi="Times New Roman" w:cs="Times New Roman"/>
          <w:b/>
          <w:sz w:val="24"/>
          <w:szCs w:val="24"/>
        </w:rPr>
        <w:t>251 pako ushqimore dhe miell</w:t>
      </w:r>
      <w:r w:rsidRPr="00DE6B4D">
        <w:rPr>
          <w:rFonts w:ascii="Times New Roman" w:hAnsi="Times New Roman" w:cs="Times New Roman"/>
          <w:sz w:val="24"/>
          <w:szCs w:val="24"/>
        </w:rPr>
        <w:t xml:space="preserve">- - nga Shteti i Arabisë Saudite përmes shoqates Bereqeti në bashkëpunim me bashkësinë Islame, </w:t>
      </w:r>
      <w:r w:rsidRPr="00DE6B4D">
        <w:rPr>
          <w:rFonts w:ascii="Times New Roman" w:hAnsi="Times New Roman" w:cs="Times New Roman"/>
          <w:b/>
          <w:sz w:val="24"/>
          <w:szCs w:val="24"/>
        </w:rPr>
        <w:t xml:space="preserve">61 pako ushqimore dhe miell –  </w:t>
      </w:r>
      <w:r w:rsidRPr="00DE6B4D">
        <w:rPr>
          <w:rFonts w:ascii="Times New Roman" w:hAnsi="Times New Roman" w:cs="Times New Roman"/>
          <w:sz w:val="24"/>
          <w:szCs w:val="24"/>
        </w:rPr>
        <w:t>nga</w:t>
      </w:r>
      <w:r w:rsidRPr="00DE6B4D">
        <w:rPr>
          <w:rFonts w:ascii="Times New Roman" w:hAnsi="Times New Roman" w:cs="Times New Roman"/>
          <w:b/>
          <w:sz w:val="24"/>
          <w:szCs w:val="24"/>
        </w:rPr>
        <w:t xml:space="preserve"> </w:t>
      </w:r>
      <w:r w:rsidRPr="00DE6B4D">
        <w:rPr>
          <w:rFonts w:ascii="Times New Roman" w:hAnsi="Times New Roman" w:cs="Times New Roman"/>
          <w:sz w:val="24"/>
          <w:szCs w:val="24"/>
        </w:rPr>
        <w:t xml:space="preserve">Relief Kosova, </w:t>
      </w:r>
      <w:r w:rsidRPr="00DE6B4D">
        <w:rPr>
          <w:rFonts w:ascii="Times New Roman" w:hAnsi="Times New Roman" w:cs="Times New Roman"/>
          <w:b/>
          <w:sz w:val="24"/>
          <w:szCs w:val="24"/>
        </w:rPr>
        <w:t xml:space="preserve">100 pako ushqimore dhe miell – </w:t>
      </w:r>
      <w:r w:rsidRPr="00DE6B4D">
        <w:rPr>
          <w:rFonts w:ascii="Times New Roman" w:hAnsi="Times New Roman" w:cs="Times New Roman"/>
          <w:sz w:val="24"/>
          <w:szCs w:val="24"/>
        </w:rPr>
        <w:t xml:space="preserve">nga Ambasada e shteteve Arabe, </w:t>
      </w:r>
      <w:r w:rsidRPr="00DE6B4D">
        <w:rPr>
          <w:rFonts w:ascii="Times New Roman" w:hAnsi="Times New Roman" w:cs="Times New Roman"/>
          <w:b/>
          <w:sz w:val="24"/>
          <w:szCs w:val="24"/>
        </w:rPr>
        <w:t>50 pako me mish</w:t>
      </w:r>
      <w:r w:rsidRPr="00DE6B4D">
        <w:rPr>
          <w:rFonts w:ascii="Times New Roman" w:hAnsi="Times New Roman" w:cs="Times New Roman"/>
          <w:sz w:val="24"/>
          <w:szCs w:val="24"/>
        </w:rPr>
        <w:t xml:space="preserve">- nga HumanityFirst,  </w:t>
      </w:r>
      <w:r w:rsidRPr="00DE6B4D">
        <w:rPr>
          <w:rFonts w:ascii="Times New Roman" w:hAnsi="Times New Roman" w:cs="Times New Roman"/>
          <w:b/>
          <w:sz w:val="24"/>
          <w:szCs w:val="24"/>
        </w:rPr>
        <w:t>300 familje përftuese me veshmbathje (vlerë 9000 euro)</w:t>
      </w:r>
      <w:r w:rsidRPr="00DE6B4D">
        <w:rPr>
          <w:rFonts w:ascii="Times New Roman" w:hAnsi="Times New Roman" w:cs="Times New Roman"/>
          <w:sz w:val="24"/>
          <w:szCs w:val="24"/>
        </w:rPr>
        <w:t xml:space="preserve"> – donator ALBA GROUP,</w:t>
      </w:r>
      <w:r w:rsidRPr="00DE6B4D">
        <w:rPr>
          <w:rFonts w:ascii="Times New Roman" w:hAnsi="Times New Roman" w:cs="Times New Roman"/>
          <w:color w:val="212121"/>
          <w:sz w:val="24"/>
          <w:szCs w:val="24"/>
          <w:shd w:val="clear" w:color="auto" w:fill="FFFFFF"/>
        </w:rPr>
        <w:t xml:space="preserve"> </w:t>
      </w:r>
      <w:r w:rsidRPr="00DE6B4D">
        <w:rPr>
          <w:rFonts w:ascii="Times New Roman" w:hAnsi="Times New Roman" w:cs="Times New Roman"/>
          <w:b/>
          <w:sz w:val="24"/>
          <w:szCs w:val="24"/>
        </w:rPr>
        <w:t xml:space="preserve">50 pako ushqimore dhe higjienike </w:t>
      </w:r>
      <w:r w:rsidRPr="00DE6B4D">
        <w:rPr>
          <w:rFonts w:ascii="Times New Roman" w:hAnsi="Times New Roman" w:cs="Times New Roman"/>
          <w:sz w:val="24"/>
          <w:szCs w:val="24"/>
        </w:rPr>
        <w:t xml:space="preserve">- nga ALBA GROUP, </w:t>
      </w:r>
      <w:r w:rsidRPr="00DE6B4D">
        <w:rPr>
          <w:rFonts w:ascii="Times New Roman" w:hAnsi="Times New Roman" w:cs="Times New Roman"/>
          <w:b/>
          <w:sz w:val="24"/>
          <w:szCs w:val="24"/>
        </w:rPr>
        <w:t>51 pako me mish kurbani – të</w:t>
      </w:r>
      <w:r w:rsidRPr="00DE6B4D">
        <w:rPr>
          <w:rFonts w:ascii="Times New Roman" w:hAnsi="Times New Roman" w:cs="Times New Roman"/>
          <w:sz w:val="24"/>
          <w:szCs w:val="24"/>
        </w:rPr>
        <w:t xml:space="preserve"> dhuruara nga HUMANY FIRST,  </w:t>
      </w:r>
      <w:r w:rsidRPr="00DE6B4D">
        <w:rPr>
          <w:rFonts w:ascii="Times New Roman" w:hAnsi="Times New Roman" w:cs="Times New Roman"/>
          <w:b/>
          <w:sz w:val="24"/>
          <w:szCs w:val="24"/>
        </w:rPr>
        <w:t>830 dhurata për festën e Bajramin të dhuruara nga ALBA)</w:t>
      </w:r>
    </w:p>
    <w:p w:rsidR="003A1566" w:rsidRPr="00DE6B4D" w:rsidRDefault="003A1566" w:rsidP="003A1566">
      <w:pPr>
        <w:spacing w:line="276" w:lineRule="auto"/>
        <w:rPr>
          <w:rFonts w:ascii="Times New Roman" w:hAnsi="Times New Roman" w:cs="Times New Roman"/>
          <w:color w:val="212121"/>
          <w:sz w:val="24"/>
          <w:szCs w:val="24"/>
          <w:shd w:val="clear" w:color="auto" w:fill="FFFFFF"/>
        </w:rPr>
      </w:pPr>
      <w:r w:rsidRPr="00DE6B4D">
        <w:rPr>
          <w:rFonts w:ascii="Times New Roman" w:hAnsi="Times New Roman" w:cs="Times New Roman"/>
          <w:b/>
          <w:color w:val="212121"/>
          <w:sz w:val="24"/>
          <w:szCs w:val="24"/>
          <w:shd w:val="clear" w:color="auto" w:fill="FFFFFF"/>
        </w:rPr>
        <w:t>2. Mbështetje për Persona me Aftësi të Kufizuara</w:t>
      </w:r>
      <w:r w:rsidRPr="00DE6B4D">
        <w:rPr>
          <w:rFonts w:ascii="Times New Roman" w:hAnsi="Times New Roman" w:cs="Times New Roman"/>
          <w:color w:val="212121"/>
          <w:sz w:val="24"/>
          <w:szCs w:val="24"/>
        </w:rPr>
        <w:br/>
      </w:r>
      <w:r w:rsidRPr="00DE6B4D">
        <w:rPr>
          <w:rFonts w:ascii="Times New Roman" w:hAnsi="Times New Roman" w:cs="Times New Roman"/>
          <w:color w:val="212121"/>
          <w:sz w:val="24"/>
          <w:szCs w:val="24"/>
          <w:shd w:val="clear" w:color="auto" w:fill="FFFFFF"/>
        </w:rPr>
        <w:t>• Në bashkëpunim me humanistin Agon Zhinipotoku, është mundësuar blerja e barnave për 15 anëtarë të shoqatës HANDIKOS, duke ndihmuar në përmirësimi</w:t>
      </w:r>
      <w:r w:rsidR="00271E6D">
        <w:rPr>
          <w:rFonts w:ascii="Times New Roman" w:hAnsi="Times New Roman" w:cs="Times New Roman"/>
          <w:color w:val="212121"/>
          <w:sz w:val="24"/>
          <w:szCs w:val="24"/>
          <w:shd w:val="clear" w:color="auto" w:fill="FFFFFF"/>
        </w:rPr>
        <w:t>n e jetës së tyre të përditshme</w:t>
      </w:r>
    </w:p>
    <w:p w:rsidR="003A1566" w:rsidRPr="00DE6B4D" w:rsidRDefault="003A1566" w:rsidP="003A1566">
      <w:pPr>
        <w:spacing w:line="276" w:lineRule="auto"/>
        <w:rPr>
          <w:rFonts w:ascii="Times New Roman" w:hAnsi="Times New Roman" w:cs="Times New Roman"/>
          <w:color w:val="212121"/>
          <w:sz w:val="24"/>
          <w:szCs w:val="24"/>
          <w:shd w:val="clear" w:color="auto" w:fill="FFFFFF"/>
        </w:rPr>
      </w:pPr>
    </w:p>
    <w:p w:rsidR="003A1566" w:rsidRPr="00DE6B4D" w:rsidRDefault="003A1566" w:rsidP="003A1566">
      <w:pPr>
        <w:spacing w:line="276" w:lineRule="auto"/>
        <w:rPr>
          <w:rFonts w:ascii="Times New Roman" w:hAnsi="Times New Roman" w:cs="Times New Roman"/>
          <w:color w:val="212121"/>
          <w:sz w:val="24"/>
          <w:szCs w:val="24"/>
          <w:shd w:val="clear" w:color="auto" w:fill="FFFFFF"/>
        </w:rPr>
      </w:pPr>
    </w:p>
    <w:p w:rsidR="003A1566" w:rsidRPr="00DE6B4D" w:rsidRDefault="003A1566" w:rsidP="003A1566">
      <w:pPr>
        <w:spacing w:line="276" w:lineRule="auto"/>
        <w:ind w:left="2160" w:firstLine="720"/>
        <w:rPr>
          <w:rFonts w:ascii="Times New Roman" w:hAnsi="Times New Roman" w:cs="Times New Roman"/>
          <w:color w:val="000000" w:themeColor="text1"/>
          <w:sz w:val="24"/>
          <w:szCs w:val="24"/>
        </w:rPr>
      </w:pPr>
    </w:p>
    <w:p w:rsidR="003A1566" w:rsidRDefault="003A1566" w:rsidP="003A1566">
      <w:pPr>
        <w:spacing w:line="276" w:lineRule="auto"/>
        <w:ind w:left="2160" w:firstLine="720"/>
        <w:rPr>
          <w:rFonts w:ascii="Times New Roman" w:hAnsi="Times New Roman" w:cs="Times New Roman"/>
          <w:color w:val="000000" w:themeColor="text1"/>
          <w:sz w:val="24"/>
          <w:szCs w:val="24"/>
        </w:rPr>
      </w:pPr>
    </w:p>
    <w:p w:rsidR="003A1566" w:rsidRDefault="003A1566" w:rsidP="003A1566">
      <w:pPr>
        <w:spacing w:line="276" w:lineRule="auto"/>
        <w:ind w:left="2160" w:firstLine="720"/>
        <w:rPr>
          <w:rFonts w:ascii="Times New Roman" w:hAnsi="Times New Roman" w:cs="Times New Roman"/>
          <w:color w:val="000000" w:themeColor="text1"/>
          <w:sz w:val="24"/>
          <w:szCs w:val="24"/>
        </w:rPr>
      </w:pPr>
    </w:p>
    <w:p w:rsidR="003A1566" w:rsidRDefault="003A1566" w:rsidP="003A1566">
      <w:pPr>
        <w:spacing w:line="276" w:lineRule="auto"/>
        <w:ind w:left="2160" w:firstLine="720"/>
        <w:rPr>
          <w:rFonts w:ascii="Times New Roman" w:hAnsi="Times New Roman" w:cs="Times New Roman"/>
          <w:color w:val="000000" w:themeColor="text1"/>
          <w:sz w:val="24"/>
          <w:szCs w:val="24"/>
        </w:rPr>
      </w:pPr>
    </w:p>
    <w:p w:rsidR="003A1566" w:rsidRDefault="003A1566" w:rsidP="003A1566">
      <w:pPr>
        <w:spacing w:line="276" w:lineRule="auto"/>
        <w:ind w:left="2160" w:firstLine="720"/>
        <w:rPr>
          <w:rFonts w:ascii="Times New Roman" w:hAnsi="Times New Roman" w:cs="Times New Roman"/>
          <w:color w:val="000000" w:themeColor="text1"/>
          <w:sz w:val="24"/>
          <w:szCs w:val="24"/>
        </w:rPr>
      </w:pPr>
    </w:p>
    <w:p w:rsidR="003A1566" w:rsidRDefault="003A1566" w:rsidP="003A1566">
      <w:pPr>
        <w:spacing w:line="276" w:lineRule="auto"/>
        <w:ind w:left="2160" w:firstLine="720"/>
        <w:rPr>
          <w:rFonts w:ascii="Times New Roman" w:hAnsi="Times New Roman" w:cs="Times New Roman"/>
          <w:color w:val="000000" w:themeColor="text1"/>
          <w:sz w:val="24"/>
          <w:szCs w:val="24"/>
        </w:rPr>
      </w:pPr>
    </w:p>
    <w:p w:rsidR="003A1566" w:rsidRDefault="003A1566" w:rsidP="003A1566">
      <w:pPr>
        <w:spacing w:line="276" w:lineRule="auto"/>
        <w:ind w:left="2160" w:firstLine="720"/>
        <w:rPr>
          <w:rFonts w:ascii="Times New Roman" w:hAnsi="Times New Roman" w:cs="Times New Roman"/>
          <w:color w:val="000000" w:themeColor="text1"/>
          <w:sz w:val="24"/>
          <w:szCs w:val="24"/>
        </w:rPr>
      </w:pPr>
    </w:p>
    <w:p w:rsidR="003A1566" w:rsidRDefault="003A1566" w:rsidP="003A1566">
      <w:pPr>
        <w:spacing w:line="276" w:lineRule="auto"/>
        <w:ind w:left="2160" w:firstLine="720"/>
        <w:rPr>
          <w:rFonts w:ascii="Times New Roman" w:hAnsi="Times New Roman" w:cs="Times New Roman"/>
          <w:color w:val="000000" w:themeColor="text1"/>
          <w:sz w:val="24"/>
          <w:szCs w:val="24"/>
        </w:rPr>
      </w:pPr>
    </w:p>
    <w:p w:rsidR="003A1566" w:rsidRDefault="003A1566" w:rsidP="003A1566">
      <w:pPr>
        <w:spacing w:line="276" w:lineRule="auto"/>
        <w:ind w:left="2160" w:firstLine="720"/>
        <w:rPr>
          <w:rFonts w:ascii="Times New Roman" w:hAnsi="Times New Roman" w:cs="Times New Roman"/>
          <w:color w:val="000000" w:themeColor="text1"/>
          <w:sz w:val="24"/>
          <w:szCs w:val="24"/>
        </w:rPr>
      </w:pPr>
    </w:p>
    <w:p w:rsidR="003A1566" w:rsidRDefault="003A1566" w:rsidP="003A1566">
      <w:pPr>
        <w:spacing w:line="276" w:lineRule="auto"/>
        <w:ind w:left="2160" w:firstLine="720"/>
        <w:rPr>
          <w:rFonts w:ascii="Times New Roman" w:hAnsi="Times New Roman" w:cs="Times New Roman"/>
          <w:color w:val="000000" w:themeColor="text1"/>
          <w:sz w:val="24"/>
          <w:szCs w:val="24"/>
        </w:rPr>
      </w:pPr>
    </w:p>
    <w:p w:rsidR="003A1566" w:rsidRDefault="003A1566" w:rsidP="003A1566">
      <w:pPr>
        <w:spacing w:line="276" w:lineRule="auto"/>
        <w:ind w:left="2160" w:firstLine="720"/>
        <w:rPr>
          <w:rFonts w:ascii="Times New Roman" w:hAnsi="Times New Roman" w:cs="Times New Roman"/>
          <w:color w:val="000000" w:themeColor="text1"/>
          <w:sz w:val="24"/>
          <w:szCs w:val="24"/>
        </w:rPr>
      </w:pPr>
    </w:p>
    <w:p w:rsidR="003A1566" w:rsidRDefault="003A1566" w:rsidP="003A1566">
      <w:pPr>
        <w:spacing w:line="276" w:lineRule="auto"/>
        <w:ind w:left="2160" w:firstLine="720"/>
        <w:rPr>
          <w:rFonts w:ascii="Times New Roman" w:hAnsi="Times New Roman" w:cs="Times New Roman"/>
          <w:color w:val="000000" w:themeColor="text1"/>
          <w:sz w:val="24"/>
          <w:szCs w:val="24"/>
        </w:rPr>
      </w:pPr>
    </w:p>
    <w:p w:rsidR="003A1566" w:rsidRDefault="003A1566" w:rsidP="003A1566">
      <w:pPr>
        <w:spacing w:line="276" w:lineRule="auto"/>
        <w:ind w:left="2160" w:firstLine="720"/>
        <w:rPr>
          <w:rFonts w:ascii="Times New Roman" w:hAnsi="Times New Roman" w:cs="Times New Roman"/>
          <w:color w:val="000000" w:themeColor="text1"/>
          <w:sz w:val="24"/>
          <w:szCs w:val="24"/>
        </w:rPr>
      </w:pPr>
    </w:p>
    <w:p w:rsidR="003A1566" w:rsidRPr="003A1566" w:rsidRDefault="003A1566" w:rsidP="003A1566">
      <w:pPr>
        <w:spacing w:line="276" w:lineRule="auto"/>
        <w:ind w:left="2160" w:firstLine="720"/>
        <w:rPr>
          <w:rFonts w:ascii="Times New Roman" w:hAnsi="Times New Roman" w:cs="Times New Roman"/>
          <w:color w:val="000000" w:themeColor="text1"/>
          <w:sz w:val="32"/>
          <w:szCs w:val="32"/>
        </w:rPr>
      </w:pPr>
    </w:p>
    <w:p w:rsidR="003A1566" w:rsidRDefault="003A1566" w:rsidP="003A1566">
      <w:pPr>
        <w:spacing w:line="276" w:lineRule="auto"/>
        <w:ind w:left="2160" w:firstLine="72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p>
    <w:p w:rsidR="003A1566" w:rsidRPr="003A1566" w:rsidRDefault="003A1566" w:rsidP="009E42F5">
      <w:pPr>
        <w:pStyle w:val="NormalWeb"/>
        <w:rPr>
          <w:rStyle w:val="Strong"/>
        </w:rPr>
      </w:pPr>
    </w:p>
    <w:p w:rsidR="003A1566" w:rsidRPr="003A1566" w:rsidRDefault="003A1566">
      <w:pPr>
        <w:rPr>
          <w:rStyle w:val="Strong"/>
          <w:rFonts w:ascii="Times New Roman" w:eastAsia="Times New Roman" w:hAnsi="Times New Roman" w:cs="Times New Roman"/>
          <w:sz w:val="24"/>
          <w:szCs w:val="24"/>
        </w:rPr>
      </w:pPr>
      <w:r w:rsidRPr="003A1566">
        <w:rPr>
          <w:rStyle w:val="Strong"/>
          <w:rFonts w:ascii="Times New Roman" w:hAnsi="Times New Roman" w:cs="Times New Roman"/>
          <w:sz w:val="24"/>
          <w:szCs w:val="24"/>
        </w:rPr>
        <w:br w:type="page"/>
      </w:r>
    </w:p>
    <w:p w:rsidR="009E42F5" w:rsidRPr="002B35CA" w:rsidRDefault="009E42F5" w:rsidP="009E42F5">
      <w:pPr>
        <w:pStyle w:val="NormalWeb"/>
        <w:rPr>
          <w:sz w:val="32"/>
          <w:szCs w:val="32"/>
        </w:rPr>
      </w:pPr>
      <w:r w:rsidRPr="002B35CA">
        <w:rPr>
          <w:rStyle w:val="Strong"/>
          <w:sz w:val="32"/>
          <w:szCs w:val="32"/>
        </w:rPr>
        <w:t>Informacion mbi gjendjen në shëndetësi për periudhën Janar – Qershor 2025</w:t>
      </w:r>
    </w:p>
    <w:p w:rsidR="009E42F5" w:rsidRDefault="009E42F5" w:rsidP="009E42F5">
      <w:pPr>
        <w:pStyle w:val="NormalWeb"/>
      </w:pPr>
      <w:r>
        <w:rPr>
          <w:rStyle w:val="Strong"/>
        </w:rPr>
        <w:t>Aktivitetet e planifikuara:</w:t>
      </w:r>
    </w:p>
    <w:p w:rsidR="009E42F5" w:rsidRDefault="009E42F5" w:rsidP="009E42F5">
      <w:pPr>
        <w:pStyle w:val="NormalWeb"/>
        <w:numPr>
          <w:ilvl w:val="0"/>
          <w:numId w:val="1"/>
        </w:numPr>
      </w:pPr>
      <w:r>
        <w:t>Përmirësimi i cilësisë së shërbimeve shëndetësore dhe realizimi i standardeve të cilësisë nga pakoja e standardeve minimale në KPSH.</w:t>
      </w:r>
    </w:p>
    <w:p w:rsidR="009E42F5" w:rsidRDefault="009E42F5" w:rsidP="009E42F5">
      <w:pPr>
        <w:pStyle w:val="NormalWeb"/>
        <w:numPr>
          <w:ilvl w:val="0"/>
          <w:numId w:val="1"/>
        </w:numPr>
      </w:pPr>
      <w:r>
        <w:t>Furnizimi i rregullt me barna dhe material mjekësor nga lista esenciale e Ministrisë së Shëndetësisë.</w:t>
      </w:r>
    </w:p>
    <w:p w:rsidR="009E42F5" w:rsidRDefault="009E42F5" w:rsidP="009E42F5">
      <w:pPr>
        <w:pStyle w:val="NormalWeb"/>
        <w:numPr>
          <w:ilvl w:val="0"/>
          <w:numId w:val="1"/>
        </w:numPr>
      </w:pPr>
      <w:r>
        <w:t>Raportimi i rregullt në IKSHP- rajonale për sëmundjet ngjitëse, tumorët (kancerin) dhe sëmundjet kronike në IKSHP në Prishtinë.</w:t>
      </w:r>
    </w:p>
    <w:p w:rsidR="009E42F5" w:rsidRDefault="009E42F5" w:rsidP="009E42F5">
      <w:pPr>
        <w:pStyle w:val="NormalWeb"/>
        <w:numPr>
          <w:ilvl w:val="0"/>
          <w:numId w:val="1"/>
        </w:numPr>
      </w:pPr>
      <w:r>
        <w:t>Transportimi i pacientëve për Hemodializë në Ferizaj tri herë në javë (e Hënë, e Mërkurë dhe e Premte), me mundësi ndryshimi të orarit në varësi të numrit të pacientëve.</w:t>
      </w:r>
    </w:p>
    <w:p w:rsidR="009E42F5" w:rsidRDefault="009E42F5" w:rsidP="009E42F5">
      <w:pPr>
        <w:pStyle w:val="NormalWeb"/>
        <w:numPr>
          <w:ilvl w:val="0"/>
          <w:numId w:val="1"/>
        </w:numPr>
      </w:pPr>
      <w:r>
        <w:t>Mbajtja e edukimit të vazhdueshëm profesional për infermierët, trajnimi i personelit në mjekësinë familjare dhe mbajtja e ligjëratave të rregullta në procesin e ZHVP.</w:t>
      </w:r>
    </w:p>
    <w:p w:rsidR="009E42F5" w:rsidRDefault="009E42F5" w:rsidP="009E42F5">
      <w:pPr>
        <w:pStyle w:val="NormalWeb"/>
        <w:numPr>
          <w:ilvl w:val="0"/>
          <w:numId w:val="1"/>
        </w:numPr>
      </w:pPr>
      <w:r>
        <w:t>Përcjellja e punës dhe funksionimit dy herë në javë në ambulancën e fshatit Gurane.</w:t>
      </w:r>
    </w:p>
    <w:p w:rsidR="009E42F5" w:rsidRDefault="009E42F5" w:rsidP="009E42F5">
      <w:pPr>
        <w:pStyle w:val="NormalWeb"/>
        <w:numPr>
          <w:ilvl w:val="0"/>
          <w:numId w:val="1"/>
        </w:numPr>
      </w:pPr>
      <w:r>
        <w:t>Sigurimi i shërbimeve shëndetësore 24 orë në QKMF - Hani i Elezit.</w:t>
      </w:r>
    </w:p>
    <w:p w:rsidR="009E42F5" w:rsidRDefault="009E42F5" w:rsidP="009E42F5">
      <w:pPr>
        <w:pStyle w:val="NormalWeb"/>
        <w:numPr>
          <w:ilvl w:val="0"/>
          <w:numId w:val="1"/>
        </w:numPr>
      </w:pPr>
      <w:r>
        <w:t>Mbajtja e takimeve të Këshillit Drejtues dhe atij Profesional.</w:t>
      </w:r>
    </w:p>
    <w:p w:rsidR="009E42F5" w:rsidRDefault="009E42F5" w:rsidP="009E42F5">
      <w:pPr>
        <w:pStyle w:val="NormalWeb"/>
        <w:numPr>
          <w:ilvl w:val="0"/>
          <w:numId w:val="1"/>
        </w:numPr>
      </w:pPr>
      <w:r>
        <w:t>Sigurimi i pastrimit të rregullt dhe krijimi i një ambienti të këndshëm për punë.</w:t>
      </w:r>
    </w:p>
    <w:p w:rsidR="009E42F5" w:rsidRDefault="009E42F5" w:rsidP="009E42F5">
      <w:pPr>
        <w:pStyle w:val="NormalWeb"/>
        <w:numPr>
          <w:ilvl w:val="0"/>
          <w:numId w:val="1"/>
        </w:numPr>
      </w:pPr>
      <w:r>
        <w:t>Mirembajtja dhe ruajtja e automjeteve të QKMF dhe sigurimi i karburantit për automjetet dhe gjeneratorët.</w:t>
      </w:r>
    </w:p>
    <w:p w:rsidR="009E42F5" w:rsidRDefault="009E42F5" w:rsidP="009E42F5">
      <w:pPr>
        <w:pStyle w:val="NormalWeb"/>
        <w:numPr>
          <w:ilvl w:val="0"/>
          <w:numId w:val="1"/>
        </w:numPr>
      </w:pPr>
      <w:r>
        <w:t>Ruajtja e sekretit profesional dhe konfidencialitetit në raportet e pacientëve.</w:t>
      </w:r>
    </w:p>
    <w:p w:rsidR="009E42F5" w:rsidRDefault="009E42F5" w:rsidP="009E42F5">
      <w:pPr>
        <w:pStyle w:val="NormalWeb"/>
        <w:numPr>
          <w:ilvl w:val="0"/>
          <w:numId w:val="1"/>
        </w:numPr>
      </w:pPr>
      <w:r>
        <w:t>Ruajtja dhe sigurimi i dokumentacionit mjekësor nga personat e paautorizuar.</w:t>
      </w:r>
    </w:p>
    <w:p w:rsidR="009E42F5" w:rsidRDefault="009E42F5" w:rsidP="009E42F5">
      <w:pPr>
        <w:pStyle w:val="NormalWeb"/>
        <w:numPr>
          <w:ilvl w:val="0"/>
          <w:numId w:val="1"/>
        </w:numPr>
      </w:pPr>
      <w:r>
        <w:t>Bashkëpunimi me DSHMS-në dhe institucionet tjera komunale.</w:t>
      </w:r>
    </w:p>
    <w:p w:rsidR="009E42F5" w:rsidRDefault="009E42F5" w:rsidP="009E42F5">
      <w:pPr>
        <w:pStyle w:val="NormalWeb"/>
        <w:numPr>
          <w:ilvl w:val="0"/>
          <w:numId w:val="1"/>
        </w:numPr>
      </w:pPr>
      <w:r>
        <w:t>Bashkëpunimi me qendrat e tjera të mjekësisë familjare të komunave të Kosovës.</w:t>
      </w:r>
    </w:p>
    <w:p w:rsidR="009E42F5" w:rsidRDefault="009E42F5" w:rsidP="009E42F5">
      <w:pPr>
        <w:pStyle w:val="NormalWeb"/>
        <w:numPr>
          <w:ilvl w:val="0"/>
          <w:numId w:val="1"/>
        </w:numPr>
      </w:pPr>
      <w:r>
        <w:t>Bashkëpunimi me KFOR-in dhe organizatat ndërkombëtare.</w:t>
      </w:r>
    </w:p>
    <w:p w:rsidR="009E42F5" w:rsidRDefault="009E42F5" w:rsidP="009E42F5">
      <w:pPr>
        <w:pStyle w:val="NormalWeb"/>
        <w:numPr>
          <w:ilvl w:val="0"/>
          <w:numId w:val="1"/>
        </w:numPr>
      </w:pPr>
      <w:r>
        <w:t>Bashkëpunimi me organizatat vendore joqeveritare dhe qeveritare.</w:t>
      </w:r>
    </w:p>
    <w:p w:rsidR="009E42F5" w:rsidRDefault="009E42F5" w:rsidP="009E42F5">
      <w:pPr>
        <w:pStyle w:val="NormalWeb"/>
        <w:numPr>
          <w:ilvl w:val="0"/>
          <w:numId w:val="1"/>
        </w:numPr>
      </w:pPr>
      <w:r>
        <w:t>Planifikimi i vaksinimit dhe imunizimit të mbi 95% të fëmijëve, përfshirë vaksinën HPV në kalendarin e rregullt të vaksinimit.</w:t>
      </w:r>
    </w:p>
    <w:p w:rsidR="009E42F5" w:rsidRDefault="009E42F5" w:rsidP="009E42F5">
      <w:pPr>
        <w:pStyle w:val="NormalWeb"/>
        <w:numPr>
          <w:ilvl w:val="0"/>
          <w:numId w:val="1"/>
        </w:numPr>
      </w:pPr>
      <w:r>
        <w:t>Zvogëlimi i morbiditetit dhe mortalitetit të nënave shtatzëna dhe fëmijëve të posalindur.</w:t>
      </w:r>
    </w:p>
    <w:p w:rsidR="009E42F5" w:rsidRDefault="009E42F5" w:rsidP="009E42F5">
      <w:pPr>
        <w:pStyle w:val="NormalWeb"/>
        <w:numPr>
          <w:ilvl w:val="0"/>
          <w:numId w:val="1"/>
        </w:numPr>
      </w:pPr>
      <w:r>
        <w:t>Zvogëlimi i komplikimeve të sëmundjeve kronike dhe menaxhimi i duhur i tyre.</w:t>
      </w:r>
    </w:p>
    <w:p w:rsidR="009E42F5" w:rsidRDefault="009E42F5" w:rsidP="009E42F5">
      <w:pPr>
        <w:pStyle w:val="NormalWeb"/>
        <w:numPr>
          <w:ilvl w:val="0"/>
          <w:numId w:val="1"/>
        </w:numPr>
      </w:pPr>
      <w:r>
        <w:t>Parandalimi i sëmundjeve ngjitëse dhe sëmundjeve të tjera.</w:t>
      </w:r>
    </w:p>
    <w:p w:rsidR="009E42F5" w:rsidRDefault="009E42F5" w:rsidP="009E42F5">
      <w:pPr>
        <w:pStyle w:val="NormalWeb"/>
        <w:numPr>
          <w:ilvl w:val="0"/>
          <w:numId w:val="1"/>
        </w:numPr>
      </w:pPr>
      <w:r>
        <w:t>Parandalimi i sëmundjeve kancerogjene sipas planit strategjik për mbrojtjen nga këto sëmundje.</w:t>
      </w:r>
    </w:p>
    <w:p w:rsidR="009E42F5" w:rsidRDefault="009E42F5" w:rsidP="009E42F5">
      <w:pPr>
        <w:pStyle w:val="NormalWeb"/>
        <w:numPr>
          <w:ilvl w:val="0"/>
          <w:numId w:val="1"/>
        </w:numPr>
      </w:pPr>
      <w:r>
        <w:t>Planifikimi i rritjes së vizitave shtëpiake për nënat dhe fëmijët 0-3 vjeç.</w:t>
      </w:r>
    </w:p>
    <w:p w:rsidR="009E42F5" w:rsidRDefault="009E42F5" w:rsidP="009E42F5">
      <w:pPr>
        <w:pStyle w:val="NormalWeb"/>
        <w:numPr>
          <w:ilvl w:val="0"/>
          <w:numId w:val="1"/>
        </w:numPr>
      </w:pPr>
      <w:r>
        <w:t>Rritja e vizitave dhe këshillave në kuadër të programit "Aksioni për Nënat dhe Fëmijët".</w:t>
      </w:r>
    </w:p>
    <w:p w:rsidR="009E42F5" w:rsidRDefault="009E42F5" w:rsidP="009E42F5">
      <w:pPr>
        <w:pStyle w:val="NormalWeb"/>
        <w:numPr>
          <w:ilvl w:val="0"/>
          <w:numId w:val="1"/>
        </w:numPr>
      </w:pPr>
      <w:r>
        <w:t>Aktivizimi i plotë i dhomave për edukim dhe promovim shëndetësor.</w:t>
      </w:r>
    </w:p>
    <w:p w:rsidR="009E42F5" w:rsidRDefault="009E42F5" w:rsidP="009E42F5">
      <w:pPr>
        <w:pStyle w:val="NormalWeb"/>
        <w:numPr>
          <w:ilvl w:val="0"/>
          <w:numId w:val="1"/>
        </w:numPr>
      </w:pPr>
      <w:r>
        <w:t>Planifikimi i kontrollave sistematike për nxënësit e shkollave fillore në Komunën e Hanit të Elezit në muajin Shtator 2025.</w:t>
      </w:r>
    </w:p>
    <w:p w:rsidR="009E42F5" w:rsidRDefault="009E42F5" w:rsidP="009E42F5">
      <w:pPr>
        <w:pStyle w:val="NormalWeb"/>
        <w:numPr>
          <w:ilvl w:val="0"/>
          <w:numId w:val="1"/>
        </w:numPr>
      </w:pPr>
      <w:r>
        <w:t>Planifikimi i aktiviteteve për muajin "Tetori Rozë" (mamografia mobile dhe shërbimet ultrasonografike nga radiologët, karvani shëndetësor).</w:t>
      </w:r>
    </w:p>
    <w:p w:rsidR="009E42F5" w:rsidRDefault="009E42F5" w:rsidP="009E42F5">
      <w:pPr>
        <w:pStyle w:val="NormalWeb"/>
        <w:numPr>
          <w:ilvl w:val="0"/>
          <w:numId w:val="1"/>
        </w:numPr>
      </w:pPr>
      <w:r>
        <w:t>Trajnimi i punonjësve të QKMF-së mbi shëndetin dhe sigurinë në punë.</w:t>
      </w:r>
    </w:p>
    <w:p w:rsidR="00855FA8" w:rsidRDefault="00855FA8" w:rsidP="009E42F5">
      <w:pPr>
        <w:pStyle w:val="NormalWeb"/>
        <w:rPr>
          <w:rStyle w:val="Strong"/>
        </w:rPr>
      </w:pPr>
    </w:p>
    <w:p w:rsidR="00855FA8" w:rsidRDefault="00855FA8" w:rsidP="009E42F5">
      <w:pPr>
        <w:pStyle w:val="NormalWeb"/>
        <w:rPr>
          <w:rStyle w:val="Strong"/>
        </w:rPr>
      </w:pPr>
    </w:p>
    <w:p w:rsidR="009E42F5" w:rsidRDefault="009E42F5" w:rsidP="009E42F5">
      <w:pPr>
        <w:pStyle w:val="NormalWeb"/>
      </w:pPr>
      <w:r>
        <w:rPr>
          <w:rStyle w:val="Strong"/>
        </w:rPr>
        <w:t>Informacione për Shëndetësinë</w:t>
      </w:r>
    </w:p>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Gjatë periudhës Janar - Qershor 2025, QKMF ka realizuar aktivitetet e mëposhtme:</w:t>
      </w:r>
    </w:p>
    <w:p w:rsidR="009E42F5" w:rsidRPr="009E42F5" w:rsidRDefault="009E42F5" w:rsidP="009E42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Kërkesa për rritje të stafit:</w:t>
      </w:r>
      <w:r w:rsidRPr="009E42F5">
        <w:rPr>
          <w:rFonts w:ascii="Times New Roman" w:eastAsia="Times New Roman" w:hAnsi="Times New Roman" w:cs="Times New Roman"/>
          <w:sz w:val="24"/>
          <w:szCs w:val="24"/>
        </w:rPr>
        <w:t xml:space="preserve"> Dërguar vazhdimisht në Ministrinë e Shëndetësisë për të përmirësuar kapacitetet e sektorit shëndetësor.</w:t>
      </w:r>
    </w:p>
    <w:p w:rsidR="009E42F5" w:rsidRPr="009E42F5" w:rsidRDefault="009E42F5" w:rsidP="009E42F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Shënimi i Ditëve Botërore të Shëndetësisë:</w:t>
      </w:r>
      <w:r w:rsidRPr="009E42F5">
        <w:rPr>
          <w:rFonts w:ascii="Times New Roman" w:eastAsia="Times New Roman" w:hAnsi="Times New Roman" w:cs="Times New Roman"/>
          <w:sz w:val="24"/>
          <w:szCs w:val="24"/>
        </w:rPr>
        <w:t xml:space="preserve"> Aktivitetet edukativo-shëndetësore janë zhvilluar në përputhje me kalendarin e shëndetësisë, duke përfshirë edhe komunitetin tonë. Disa nga këto aktivitete janë:</w:t>
      </w:r>
    </w:p>
    <w:p w:rsidR="009E42F5" w:rsidRPr="009E42F5" w:rsidRDefault="009E42F5" w:rsidP="009E42F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Dita e Infermierisë</w:t>
      </w:r>
    </w:p>
    <w:p w:rsidR="009E42F5" w:rsidRPr="009E42F5" w:rsidRDefault="009E42F5" w:rsidP="009E42F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Dita e Zemrës</w:t>
      </w:r>
    </w:p>
    <w:p w:rsidR="009E42F5" w:rsidRPr="009E42F5" w:rsidRDefault="009E42F5" w:rsidP="009E42F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Dita Kundër Duhanit</w:t>
      </w:r>
    </w:p>
    <w:p w:rsidR="009E42F5" w:rsidRPr="009E42F5" w:rsidRDefault="009E42F5" w:rsidP="009E42F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Dita e Tokës</w:t>
      </w:r>
    </w:p>
    <w:p w:rsidR="009E42F5" w:rsidRPr="009E42F5" w:rsidRDefault="009E42F5" w:rsidP="009E42F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Tetori Rozë – Aktivitetet edukativo-shëndetësore</w:t>
      </w:r>
    </w:p>
    <w:p w:rsidR="009E42F5" w:rsidRPr="009E42F5" w:rsidRDefault="009E42F5" w:rsidP="009E42F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Lansimi dhe funksionimi i Dhomës për Edukim dhe Promovim Shëndetësor në QKMF, projekt i mbështetur nga AQH, UNICEF dhe AMC</w:t>
      </w:r>
    </w:p>
    <w:p w:rsidR="009E42F5" w:rsidRPr="009E42F5" w:rsidRDefault="009E42F5" w:rsidP="009E42F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Transfuzioni i gjakut, në bashkëpunim me DSHMS dhe QKMF</w:t>
      </w:r>
    </w:p>
    <w:p w:rsidR="009E42F5" w:rsidRPr="009E42F5" w:rsidRDefault="009E42F5" w:rsidP="009E42F5">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Kontrollat sistematike në shkollat fillore dhe të mesme në komunën tonë.</w:t>
      </w:r>
    </w:p>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Struktura e Stafit të QKMF-së:</w:t>
      </w:r>
    </w:p>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Gjatë kësaj periudhe, QKMF ka punuar me një staf prej 31 punëtorësh: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86"/>
        <w:gridCol w:w="1961"/>
        <w:gridCol w:w="2080"/>
        <w:gridCol w:w="653"/>
      </w:tblGrid>
      <w:tr w:rsidR="00B37C74" w:rsidRPr="009E42F5" w:rsidTr="00B37C74">
        <w:trPr>
          <w:tblHeader/>
          <w:tblCellSpacing w:w="15" w:type="dxa"/>
        </w:trPr>
        <w:tc>
          <w:tcPr>
            <w:tcW w:w="0" w:type="auto"/>
            <w:vAlign w:val="center"/>
            <w:hideMark/>
          </w:tcPr>
          <w:p w:rsidR="00B37C74" w:rsidRPr="009E42F5" w:rsidRDefault="00B37C74"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Nr.</w:t>
            </w:r>
          </w:p>
        </w:tc>
        <w:tc>
          <w:tcPr>
            <w:tcW w:w="0" w:type="auto"/>
          </w:tcPr>
          <w:p w:rsidR="00B37C74" w:rsidRPr="009E42F5" w:rsidRDefault="00B37C74" w:rsidP="009E42F5">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B37C74" w:rsidRPr="009E42F5" w:rsidRDefault="00B37C74"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Shërbimi / Sektori</w:t>
            </w:r>
          </w:p>
        </w:tc>
        <w:tc>
          <w:tcPr>
            <w:tcW w:w="0" w:type="auto"/>
            <w:vAlign w:val="center"/>
            <w:hideMark/>
          </w:tcPr>
          <w:p w:rsidR="00B37C74" w:rsidRPr="009E42F5" w:rsidRDefault="00B37C74"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Vendi i punës</w:t>
            </w:r>
          </w:p>
        </w:tc>
        <w:tc>
          <w:tcPr>
            <w:tcW w:w="608" w:type="dxa"/>
            <w:vAlign w:val="center"/>
            <w:hideMark/>
          </w:tcPr>
          <w:p w:rsidR="00B37C74" w:rsidRPr="009E42F5" w:rsidRDefault="00B37C74"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Staf</w:t>
            </w:r>
          </w:p>
        </w:tc>
      </w:tr>
      <w:tr w:rsidR="00B37C74" w:rsidRPr="009E42F5" w:rsidTr="00B37C74">
        <w:trPr>
          <w:tblCellSpacing w:w="15" w:type="dxa"/>
        </w:trPr>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w:t>
            </w:r>
          </w:p>
        </w:tc>
        <w:tc>
          <w:tcPr>
            <w:tcW w:w="0" w:type="auto"/>
          </w:tcPr>
          <w:p w:rsidR="00B37C74" w:rsidRPr="009E42F5" w:rsidRDefault="00B37C74" w:rsidP="009E42F5">
            <w:pPr>
              <w:spacing w:after="0" w:line="240" w:lineRule="auto"/>
              <w:rPr>
                <w:rFonts w:ascii="Times New Roman" w:eastAsia="Times New Roman" w:hAnsi="Times New Roman" w:cs="Times New Roman"/>
                <w:sz w:val="24"/>
                <w:szCs w:val="24"/>
              </w:rPr>
            </w:pP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QKMF</w:t>
            </w: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Drejtor</w:t>
            </w:r>
          </w:p>
        </w:tc>
        <w:tc>
          <w:tcPr>
            <w:tcW w:w="608" w:type="dxa"/>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w:t>
            </w:r>
          </w:p>
        </w:tc>
      </w:tr>
      <w:tr w:rsidR="00B37C74" w:rsidRPr="009E42F5" w:rsidTr="00B37C74">
        <w:trPr>
          <w:tblCellSpacing w:w="15" w:type="dxa"/>
        </w:trPr>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w:t>
            </w:r>
          </w:p>
        </w:tc>
        <w:tc>
          <w:tcPr>
            <w:tcW w:w="0" w:type="auto"/>
          </w:tcPr>
          <w:p w:rsidR="00B37C74" w:rsidRPr="009E42F5" w:rsidRDefault="00B37C74" w:rsidP="009E42F5">
            <w:pPr>
              <w:spacing w:after="0" w:line="240" w:lineRule="auto"/>
              <w:rPr>
                <w:rFonts w:ascii="Times New Roman" w:eastAsia="Times New Roman" w:hAnsi="Times New Roman" w:cs="Times New Roman"/>
                <w:sz w:val="24"/>
                <w:szCs w:val="24"/>
              </w:rPr>
            </w:pP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QKMF</w:t>
            </w: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Mjek</w:t>
            </w:r>
          </w:p>
        </w:tc>
        <w:tc>
          <w:tcPr>
            <w:tcW w:w="608" w:type="dxa"/>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6</w:t>
            </w:r>
          </w:p>
        </w:tc>
      </w:tr>
      <w:tr w:rsidR="00B37C74" w:rsidRPr="009E42F5" w:rsidTr="00B37C74">
        <w:trPr>
          <w:tblCellSpacing w:w="15" w:type="dxa"/>
        </w:trPr>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3</w:t>
            </w:r>
          </w:p>
        </w:tc>
        <w:tc>
          <w:tcPr>
            <w:tcW w:w="0" w:type="auto"/>
          </w:tcPr>
          <w:p w:rsidR="00B37C74" w:rsidRPr="009E42F5" w:rsidRDefault="00B37C74" w:rsidP="009E42F5">
            <w:pPr>
              <w:spacing w:after="0" w:line="240" w:lineRule="auto"/>
              <w:rPr>
                <w:rFonts w:ascii="Times New Roman" w:eastAsia="Times New Roman" w:hAnsi="Times New Roman" w:cs="Times New Roman"/>
                <w:sz w:val="24"/>
                <w:szCs w:val="24"/>
              </w:rPr>
            </w:pP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QKMF</w:t>
            </w: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Stomatolog</w:t>
            </w:r>
          </w:p>
        </w:tc>
        <w:tc>
          <w:tcPr>
            <w:tcW w:w="608" w:type="dxa"/>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w:t>
            </w:r>
          </w:p>
        </w:tc>
      </w:tr>
      <w:tr w:rsidR="00B37C74" w:rsidRPr="009E42F5" w:rsidTr="00B37C74">
        <w:trPr>
          <w:tblCellSpacing w:w="15" w:type="dxa"/>
        </w:trPr>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w:t>
            </w:r>
          </w:p>
        </w:tc>
        <w:tc>
          <w:tcPr>
            <w:tcW w:w="0" w:type="auto"/>
          </w:tcPr>
          <w:p w:rsidR="00B37C74" w:rsidRPr="009E42F5" w:rsidRDefault="00B37C74" w:rsidP="009E42F5">
            <w:pPr>
              <w:spacing w:after="0" w:line="240" w:lineRule="auto"/>
              <w:rPr>
                <w:rFonts w:ascii="Times New Roman" w:eastAsia="Times New Roman" w:hAnsi="Times New Roman" w:cs="Times New Roman"/>
                <w:sz w:val="24"/>
                <w:szCs w:val="24"/>
              </w:rPr>
            </w:pP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QKMF</w:t>
            </w: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Kryeinfermiere</w:t>
            </w:r>
          </w:p>
        </w:tc>
        <w:tc>
          <w:tcPr>
            <w:tcW w:w="608" w:type="dxa"/>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w:t>
            </w:r>
          </w:p>
        </w:tc>
      </w:tr>
      <w:tr w:rsidR="00B37C74" w:rsidRPr="009E42F5" w:rsidTr="00B37C74">
        <w:trPr>
          <w:tblCellSpacing w:w="15" w:type="dxa"/>
        </w:trPr>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5</w:t>
            </w:r>
          </w:p>
        </w:tc>
        <w:tc>
          <w:tcPr>
            <w:tcW w:w="0" w:type="auto"/>
          </w:tcPr>
          <w:p w:rsidR="00B37C74" w:rsidRPr="009E42F5" w:rsidRDefault="00B37C74" w:rsidP="009E42F5">
            <w:pPr>
              <w:spacing w:after="0" w:line="240" w:lineRule="auto"/>
              <w:rPr>
                <w:rFonts w:ascii="Times New Roman" w:eastAsia="Times New Roman" w:hAnsi="Times New Roman" w:cs="Times New Roman"/>
                <w:sz w:val="24"/>
                <w:szCs w:val="24"/>
              </w:rPr>
            </w:pP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QKMF</w:t>
            </w: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Infermier</w:t>
            </w:r>
          </w:p>
        </w:tc>
        <w:tc>
          <w:tcPr>
            <w:tcW w:w="608" w:type="dxa"/>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18</w:t>
            </w:r>
          </w:p>
        </w:tc>
      </w:tr>
      <w:tr w:rsidR="00B37C74" w:rsidRPr="009E42F5" w:rsidTr="00B37C74">
        <w:trPr>
          <w:tblCellSpacing w:w="15" w:type="dxa"/>
        </w:trPr>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6</w:t>
            </w:r>
          </w:p>
        </w:tc>
        <w:tc>
          <w:tcPr>
            <w:tcW w:w="0" w:type="auto"/>
          </w:tcPr>
          <w:p w:rsidR="00B37C74" w:rsidRPr="009E42F5" w:rsidRDefault="00B37C74" w:rsidP="009E42F5">
            <w:pPr>
              <w:spacing w:after="0" w:line="240" w:lineRule="auto"/>
              <w:rPr>
                <w:rFonts w:ascii="Times New Roman" w:eastAsia="Times New Roman" w:hAnsi="Times New Roman" w:cs="Times New Roman"/>
                <w:sz w:val="24"/>
                <w:szCs w:val="24"/>
              </w:rPr>
            </w:pP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QKMF</w:t>
            </w: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Laborant</w:t>
            </w:r>
          </w:p>
        </w:tc>
        <w:tc>
          <w:tcPr>
            <w:tcW w:w="608" w:type="dxa"/>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w:t>
            </w:r>
          </w:p>
        </w:tc>
      </w:tr>
      <w:tr w:rsidR="00B37C74" w:rsidRPr="009E42F5" w:rsidTr="00B37C74">
        <w:trPr>
          <w:tblCellSpacing w:w="15" w:type="dxa"/>
        </w:trPr>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7</w:t>
            </w:r>
          </w:p>
        </w:tc>
        <w:tc>
          <w:tcPr>
            <w:tcW w:w="0" w:type="auto"/>
          </w:tcPr>
          <w:p w:rsidR="00B37C74" w:rsidRPr="009E42F5" w:rsidRDefault="00B37C74" w:rsidP="009E42F5">
            <w:pPr>
              <w:spacing w:after="0" w:line="240" w:lineRule="auto"/>
              <w:rPr>
                <w:rFonts w:ascii="Times New Roman" w:eastAsia="Times New Roman" w:hAnsi="Times New Roman" w:cs="Times New Roman"/>
                <w:sz w:val="24"/>
                <w:szCs w:val="24"/>
              </w:rPr>
            </w:pP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QKMF</w:t>
            </w: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Teknik i radiologjisë</w:t>
            </w:r>
          </w:p>
        </w:tc>
        <w:tc>
          <w:tcPr>
            <w:tcW w:w="608" w:type="dxa"/>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w:t>
            </w:r>
          </w:p>
        </w:tc>
      </w:tr>
      <w:tr w:rsidR="00B37C74" w:rsidRPr="009E42F5" w:rsidTr="00B37C74">
        <w:trPr>
          <w:tblCellSpacing w:w="15" w:type="dxa"/>
        </w:trPr>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8</w:t>
            </w:r>
          </w:p>
        </w:tc>
        <w:tc>
          <w:tcPr>
            <w:tcW w:w="0" w:type="auto"/>
          </w:tcPr>
          <w:p w:rsidR="00B37C74" w:rsidRPr="009E42F5" w:rsidRDefault="00B37C74" w:rsidP="009E42F5">
            <w:pPr>
              <w:spacing w:after="0" w:line="240" w:lineRule="auto"/>
              <w:rPr>
                <w:rFonts w:ascii="Times New Roman" w:eastAsia="Times New Roman" w:hAnsi="Times New Roman" w:cs="Times New Roman"/>
                <w:sz w:val="24"/>
                <w:szCs w:val="24"/>
              </w:rPr>
            </w:pP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QKMF</w:t>
            </w: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Farmaciste</w:t>
            </w:r>
          </w:p>
        </w:tc>
        <w:tc>
          <w:tcPr>
            <w:tcW w:w="608" w:type="dxa"/>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w:t>
            </w:r>
          </w:p>
        </w:tc>
      </w:tr>
      <w:tr w:rsidR="00B37C74" w:rsidRPr="009E42F5" w:rsidTr="00B37C74">
        <w:trPr>
          <w:tblCellSpacing w:w="15" w:type="dxa"/>
        </w:trPr>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9</w:t>
            </w:r>
          </w:p>
        </w:tc>
        <w:tc>
          <w:tcPr>
            <w:tcW w:w="0" w:type="auto"/>
          </w:tcPr>
          <w:p w:rsidR="00B37C74" w:rsidRPr="009E42F5" w:rsidRDefault="00B37C74" w:rsidP="009E42F5">
            <w:pPr>
              <w:spacing w:after="0" w:line="240" w:lineRule="auto"/>
              <w:rPr>
                <w:rFonts w:ascii="Times New Roman" w:eastAsia="Times New Roman" w:hAnsi="Times New Roman" w:cs="Times New Roman"/>
                <w:sz w:val="24"/>
                <w:szCs w:val="24"/>
              </w:rPr>
            </w:pP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QKMF</w:t>
            </w:r>
          </w:p>
        </w:tc>
        <w:tc>
          <w:tcPr>
            <w:tcW w:w="0" w:type="auto"/>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Punëtorë teknik</w:t>
            </w:r>
          </w:p>
        </w:tc>
        <w:tc>
          <w:tcPr>
            <w:tcW w:w="608" w:type="dxa"/>
            <w:vAlign w:val="center"/>
            <w:hideMark/>
          </w:tcPr>
          <w:p w:rsidR="00B37C74" w:rsidRPr="009E42F5" w:rsidRDefault="00B37C74"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3</w:t>
            </w:r>
          </w:p>
        </w:tc>
      </w:tr>
    </w:tbl>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Punëtorët e kontraktuar nga Komuna dhe Islamic Relief Kosova: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1961"/>
        <w:gridCol w:w="2027"/>
        <w:gridCol w:w="509"/>
      </w:tblGrid>
      <w:tr w:rsidR="009E42F5" w:rsidRPr="009E42F5" w:rsidTr="00B37C74">
        <w:trPr>
          <w:tblHeader/>
          <w:tblCellSpacing w:w="15" w:type="dxa"/>
        </w:trPr>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Nr.</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Shërbimi / Sektori</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Vendi i punës</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Staf</w:t>
            </w:r>
          </w:p>
        </w:tc>
      </w:tr>
      <w:tr w:rsidR="009E42F5" w:rsidRPr="009E42F5" w:rsidTr="00B37C74">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QKMF</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Mjek i përgjithshëm</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3</w:t>
            </w:r>
          </w:p>
        </w:tc>
      </w:tr>
      <w:tr w:rsidR="009E42F5" w:rsidRPr="009E42F5" w:rsidTr="00B37C74">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QKMF</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Infermier</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3</w:t>
            </w:r>
          </w:p>
        </w:tc>
      </w:tr>
      <w:tr w:rsidR="009E42F5" w:rsidRPr="009E42F5" w:rsidTr="00B37C74">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3</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QKMF</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Teknik laboratoristi</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w:t>
            </w:r>
          </w:p>
        </w:tc>
      </w:tr>
      <w:tr w:rsidR="009E42F5" w:rsidRPr="009E42F5" w:rsidTr="00B37C74">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QKMF</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Shofer</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w:t>
            </w:r>
          </w:p>
        </w:tc>
      </w:tr>
    </w:tbl>
    <w:p w:rsidR="00B37C74" w:rsidRDefault="00B37C74" w:rsidP="009E42F5">
      <w:pPr>
        <w:spacing w:before="100" w:beforeAutospacing="1" w:after="100" w:afterAutospacing="1" w:line="240" w:lineRule="auto"/>
        <w:rPr>
          <w:rFonts w:ascii="Times New Roman" w:eastAsia="Times New Roman" w:hAnsi="Times New Roman" w:cs="Times New Roman"/>
          <w:b/>
          <w:bCs/>
          <w:sz w:val="24"/>
          <w:szCs w:val="24"/>
        </w:rPr>
      </w:pPr>
    </w:p>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Shërbime internistike për popullatën e Komunës Hani Elezit</w:t>
      </w:r>
      <w:r w:rsidRPr="009E42F5">
        <w:rPr>
          <w:rFonts w:ascii="Times New Roman" w:eastAsia="Times New Roman" w:hAnsi="Times New Roman" w:cs="Times New Roman"/>
          <w:sz w:val="24"/>
          <w:szCs w:val="24"/>
        </w:rPr>
        <w:t xml:space="preserve"> janë siguruar nëpërmjet marrëveshjes me kompaninë SHARRCEM dhe DSHMS.</w:t>
      </w:r>
    </w:p>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Shërbime Specialistike për periudhën JANAR - QERSHOR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5"/>
        <w:gridCol w:w="987"/>
        <w:gridCol w:w="760"/>
        <w:gridCol w:w="709"/>
      </w:tblGrid>
      <w:tr w:rsidR="009E42F5" w:rsidRPr="009E42F5" w:rsidTr="009E42F5">
        <w:trPr>
          <w:tblHeader/>
          <w:tblCellSpacing w:w="15" w:type="dxa"/>
        </w:trPr>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Shërbimi</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Meshkuj</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Femra</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Totali</w:t>
            </w:r>
          </w:p>
        </w:tc>
      </w:tr>
      <w:tr w:rsidR="009E42F5" w:rsidRPr="009E42F5" w:rsidTr="009E42F5">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Interno – Kardiologji</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102</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142</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144</w:t>
            </w:r>
          </w:p>
        </w:tc>
      </w:tr>
      <w:tr w:rsidR="009E42F5" w:rsidRPr="009E42F5" w:rsidTr="009E42F5">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Pulmologji</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72</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144</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216</w:t>
            </w:r>
          </w:p>
        </w:tc>
      </w:tr>
      <w:tr w:rsidR="009E42F5" w:rsidRPr="009E42F5" w:rsidTr="009E42F5">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Totali</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174</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286</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460</w:t>
            </w:r>
          </w:p>
        </w:tc>
      </w:tr>
    </w:tbl>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Donacioni i kompanisë BL Safety Solutions:</w:t>
      </w:r>
    </w:p>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Gjatë periudhës, QKMF ka marrë një donacion të rëndësishëm nga Kompania BL Safety Solutions, e cila ka dhuruar:</w:t>
      </w:r>
    </w:p>
    <w:p w:rsidR="009E42F5" w:rsidRPr="009E42F5" w:rsidRDefault="009E42F5" w:rsidP="009E42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 (katër) boca oksigjeni 10 L të kompletuara me mekanizma</w:t>
      </w:r>
    </w:p>
    <w:p w:rsidR="009E42F5" w:rsidRPr="009E42F5" w:rsidRDefault="009E42F5" w:rsidP="009E42F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 (një) laptop</w:t>
      </w:r>
    </w:p>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Aktivitete Shëndetësore 2025:</w:t>
      </w:r>
    </w:p>
    <w:p w:rsidR="009E42F5" w:rsidRPr="009E42F5" w:rsidRDefault="009E42F5" w:rsidP="009E42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Vaksinimi i nxënësve të klasave të gjashta:</w:t>
      </w:r>
      <w:r w:rsidRPr="009E42F5">
        <w:rPr>
          <w:rFonts w:ascii="Times New Roman" w:eastAsia="Times New Roman" w:hAnsi="Times New Roman" w:cs="Times New Roman"/>
          <w:sz w:val="24"/>
          <w:szCs w:val="24"/>
        </w:rPr>
        <w:br/>
        <w:t>Gjatë periudhës është përmbyllur me sukses vaksinimi i 63 nxënësve femra të moshës 12 vjeçare me vaksinën HPV (kundër kancerit të qafës së mitrës), si dhe vaksinimi i rregullt Dt (difteri-tetanos) për nxënësit e vitit 2006/2007.</w:t>
      </w:r>
    </w:p>
    <w:p w:rsidR="009E42F5" w:rsidRPr="009E42F5" w:rsidRDefault="009E42F5" w:rsidP="009E42F5">
      <w:pPr>
        <w:spacing w:before="100" w:beforeAutospacing="1" w:after="100" w:afterAutospacing="1" w:line="240" w:lineRule="auto"/>
        <w:ind w:left="720"/>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Faleminderit prindërve, kujdestarëve të klasave dhe drejtorive përkatëse për bashkëpunimin.</w:t>
      </w:r>
    </w:p>
    <w:p w:rsidR="009E42F5" w:rsidRPr="009E42F5" w:rsidRDefault="009E42F5" w:rsidP="009E42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Vizitat për nëna dhe fëmijë 0-3 vjeç:</w:t>
      </w:r>
      <w:r w:rsidRPr="009E42F5">
        <w:rPr>
          <w:rFonts w:ascii="Times New Roman" w:eastAsia="Times New Roman" w:hAnsi="Times New Roman" w:cs="Times New Roman"/>
          <w:sz w:val="24"/>
          <w:szCs w:val="24"/>
        </w:rPr>
        <w:br/>
        <w:t>Gjatë gjashtë mujorit të parë, ekipi i QKMF-së ka realizuar 247 vizita shtëpiake për nëna dhe fëmijë, nga të cilat 194 kanë qenë për nëna dhe 53 për fëmijë.</w:t>
      </w:r>
    </w:p>
    <w:p w:rsidR="009E42F5" w:rsidRPr="009E42F5" w:rsidRDefault="009E42F5" w:rsidP="009E42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Dita Ndërkombëtare e Autizmit:</w:t>
      </w:r>
      <w:r w:rsidRPr="009E42F5">
        <w:rPr>
          <w:rFonts w:ascii="Times New Roman" w:eastAsia="Times New Roman" w:hAnsi="Times New Roman" w:cs="Times New Roman"/>
          <w:sz w:val="24"/>
          <w:szCs w:val="24"/>
        </w:rPr>
        <w:br/>
        <w:t>Aktivitetet janë zhvilluar me fëmijët që vizituan qendrën për t'u njohur më nga afër me shërbimet që ofrohen. Ata mbajtën parulla si “Ecë me këpucët e mia” dhe “Kam shumë për të thënë”.</w:t>
      </w:r>
    </w:p>
    <w:p w:rsidR="009E42F5" w:rsidRPr="009E42F5" w:rsidRDefault="009E42F5" w:rsidP="009E42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Dhoma për Edukim dhe Promovim Shëndetësor në QKMF - Hani Elezit:</w:t>
      </w:r>
      <w:r w:rsidRPr="009E42F5">
        <w:rPr>
          <w:rFonts w:ascii="Times New Roman" w:eastAsia="Times New Roman" w:hAnsi="Times New Roman" w:cs="Times New Roman"/>
          <w:sz w:val="24"/>
          <w:szCs w:val="24"/>
        </w:rPr>
        <w:br/>
        <w:t>Dhoma për Edukim dhe Promovim Shëndetësor është e pajisur me material nga AQH dhe është dedikuar për trajtimin e sëmundjeve kronike jo ngjitëse. Ajo ofron shërbime për qytetarët, veçanërisht ata mbi 65 vjeç.</w:t>
      </w:r>
    </w:p>
    <w:p w:rsidR="009E42F5" w:rsidRDefault="009E42F5" w:rsidP="009E42F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Kujdesi në Grup për Prindërim:</w:t>
      </w:r>
      <w:r w:rsidRPr="009E42F5">
        <w:rPr>
          <w:rFonts w:ascii="Times New Roman" w:eastAsia="Times New Roman" w:hAnsi="Times New Roman" w:cs="Times New Roman"/>
          <w:sz w:val="24"/>
          <w:szCs w:val="24"/>
        </w:rPr>
        <w:br/>
        <w:t>Ky program, mbështetur nga UNICEF dhe AMC, ofron mundësi për prindërit e fëmijëve 0–17 muajsh përmes sesioneve interaktive. Në këto grupe të vogla, prindërit diskutojnë dhe mësojnë rreth zhvillimit të fëmijës, ushqyerjes, sigurisë dhe vaksinimit, gjithmonë me udhëzime</w:t>
      </w:r>
      <w:r>
        <w:rPr>
          <w:rFonts w:ascii="Times New Roman" w:eastAsia="Times New Roman" w:hAnsi="Times New Roman" w:cs="Times New Roman"/>
          <w:sz w:val="24"/>
          <w:szCs w:val="24"/>
        </w:rPr>
        <w:t xml:space="preserve"> nga profesionistë të shëndetit</w:t>
      </w:r>
    </w:p>
    <w:p w:rsidR="009E42F5" w:rsidRPr="00EA3DE6" w:rsidRDefault="009E42F5" w:rsidP="009E42F5">
      <w:pPr>
        <w:tabs>
          <w:tab w:val="left" w:pos="5610"/>
        </w:tabs>
        <w:spacing w:after="0" w:line="240" w:lineRule="auto"/>
        <w:jc w:val="both"/>
        <w:rPr>
          <w:b/>
          <w:color w:val="000000" w:themeColor="text1"/>
        </w:rPr>
      </w:pPr>
    </w:p>
    <w:tbl>
      <w:tblPr>
        <w:tblW w:w="12015" w:type="dxa"/>
        <w:tblInd w:w="-1242" w:type="dxa"/>
        <w:tblLayout w:type="fixed"/>
        <w:tblLook w:val="04A0" w:firstRow="1" w:lastRow="0" w:firstColumn="1" w:lastColumn="0" w:noHBand="0" w:noVBand="1"/>
      </w:tblPr>
      <w:tblGrid>
        <w:gridCol w:w="1170"/>
        <w:gridCol w:w="1114"/>
        <w:gridCol w:w="703"/>
        <w:gridCol w:w="878"/>
        <w:gridCol w:w="720"/>
        <w:gridCol w:w="630"/>
        <w:gridCol w:w="574"/>
        <w:gridCol w:w="686"/>
        <w:gridCol w:w="810"/>
        <w:gridCol w:w="810"/>
        <w:gridCol w:w="720"/>
        <w:gridCol w:w="709"/>
        <w:gridCol w:w="641"/>
        <w:gridCol w:w="912"/>
        <w:gridCol w:w="938"/>
      </w:tblGrid>
      <w:tr w:rsidR="009E42F5" w:rsidRPr="00EA3DE6" w:rsidTr="009E42F5">
        <w:trPr>
          <w:trHeight w:val="467"/>
        </w:trPr>
        <w:tc>
          <w:tcPr>
            <w:tcW w:w="1170" w:type="dxa"/>
            <w:tcBorders>
              <w:top w:val="single" w:sz="4" w:space="0" w:color="auto"/>
              <w:left w:val="single" w:sz="4" w:space="0" w:color="auto"/>
              <w:bottom w:val="single" w:sz="4" w:space="0" w:color="auto"/>
              <w:right w:val="single" w:sz="4" w:space="0" w:color="auto"/>
            </w:tcBorders>
            <w:shd w:val="clear" w:color="auto" w:fill="F8CBAC"/>
            <w:noWrap/>
            <w:vAlign w:val="center"/>
            <w:hideMark/>
          </w:tcPr>
          <w:p w:rsidR="009E42F5" w:rsidRPr="00EA3DE6" w:rsidRDefault="009E42F5" w:rsidP="009E42F5">
            <w:pPr>
              <w:spacing w:after="0" w:line="240" w:lineRule="auto"/>
              <w:jc w:val="center"/>
              <w:rPr>
                <w:b/>
                <w:bCs/>
              </w:rPr>
            </w:pPr>
            <w:r w:rsidRPr="00EA3DE6">
              <w:rPr>
                <w:b/>
                <w:bCs/>
              </w:rPr>
              <w:t>Grupmosha</w:t>
            </w:r>
          </w:p>
        </w:tc>
        <w:tc>
          <w:tcPr>
            <w:tcW w:w="1114" w:type="dxa"/>
            <w:tcBorders>
              <w:top w:val="single" w:sz="4" w:space="0" w:color="auto"/>
              <w:left w:val="single" w:sz="4" w:space="0" w:color="auto"/>
              <w:bottom w:val="single" w:sz="4" w:space="0" w:color="auto"/>
              <w:right w:val="single" w:sz="4" w:space="0" w:color="auto"/>
            </w:tcBorders>
            <w:shd w:val="clear" w:color="auto" w:fill="F8CBAC"/>
            <w:noWrap/>
            <w:vAlign w:val="center"/>
            <w:hideMark/>
          </w:tcPr>
          <w:p w:rsidR="009E42F5" w:rsidRPr="00EA3DE6" w:rsidRDefault="009E42F5" w:rsidP="009E42F5">
            <w:pPr>
              <w:spacing w:after="0" w:line="240" w:lineRule="auto"/>
              <w:jc w:val="center"/>
              <w:rPr>
                <w:b/>
                <w:bCs/>
              </w:rPr>
            </w:pPr>
            <w:r w:rsidRPr="00EA3DE6">
              <w:rPr>
                <w:b/>
                <w:bCs/>
              </w:rPr>
              <w:t xml:space="preserve">Gjinia </w:t>
            </w:r>
          </w:p>
        </w:tc>
        <w:tc>
          <w:tcPr>
            <w:tcW w:w="703" w:type="dxa"/>
            <w:tcBorders>
              <w:top w:val="single" w:sz="4" w:space="0" w:color="auto"/>
              <w:left w:val="single" w:sz="4" w:space="0" w:color="auto"/>
              <w:bottom w:val="single" w:sz="4" w:space="0" w:color="auto"/>
              <w:right w:val="single" w:sz="4" w:space="0" w:color="auto"/>
            </w:tcBorders>
            <w:shd w:val="clear" w:color="auto" w:fill="FFE799"/>
            <w:noWrap/>
            <w:vAlign w:val="center"/>
            <w:hideMark/>
          </w:tcPr>
          <w:p w:rsidR="009E42F5" w:rsidRPr="00EA3DE6" w:rsidRDefault="009E42F5" w:rsidP="009E42F5">
            <w:pPr>
              <w:spacing w:after="0" w:line="240" w:lineRule="auto"/>
              <w:jc w:val="center"/>
              <w:rPr>
                <w:b/>
                <w:bCs/>
              </w:rPr>
            </w:pPr>
            <w:r w:rsidRPr="00EA3DE6">
              <w:rPr>
                <w:b/>
                <w:bCs/>
              </w:rPr>
              <w:t>Janar</w:t>
            </w:r>
          </w:p>
        </w:tc>
        <w:tc>
          <w:tcPr>
            <w:tcW w:w="878" w:type="dxa"/>
            <w:tcBorders>
              <w:top w:val="single" w:sz="4" w:space="0" w:color="auto"/>
              <w:left w:val="single" w:sz="4" w:space="0" w:color="auto"/>
              <w:bottom w:val="single" w:sz="4" w:space="0" w:color="auto"/>
              <w:right w:val="single" w:sz="4" w:space="0" w:color="auto"/>
            </w:tcBorders>
            <w:shd w:val="clear" w:color="auto" w:fill="FFE799"/>
            <w:noWrap/>
            <w:vAlign w:val="center"/>
            <w:hideMark/>
          </w:tcPr>
          <w:p w:rsidR="009E42F5" w:rsidRPr="00EA3DE6" w:rsidRDefault="009E42F5" w:rsidP="009E42F5">
            <w:pPr>
              <w:spacing w:after="0" w:line="240" w:lineRule="auto"/>
              <w:jc w:val="center"/>
              <w:rPr>
                <w:b/>
                <w:bCs/>
              </w:rPr>
            </w:pPr>
            <w:r w:rsidRPr="00EA3DE6">
              <w:rPr>
                <w:b/>
                <w:bCs/>
              </w:rPr>
              <w:t>Shkurt</w:t>
            </w:r>
          </w:p>
        </w:tc>
        <w:tc>
          <w:tcPr>
            <w:tcW w:w="720" w:type="dxa"/>
            <w:tcBorders>
              <w:top w:val="single" w:sz="4" w:space="0" w:color="auto"/>
              <w:left w:val="single" w:sz="4" w:space="0" w:color="auto"/>
              <w:bottom w:val="single" w:sz="4" w:space="0" w:color="auto"/>
              <w:right w:val="single" w:sz="4" w:space="0" w:color="auto"/>
            </w:tcBorders>
            <w:shd w:val="clear" w:color="auto" w:fill="FFE799"/>
            <w:vAlign w:val="center"/>
            <w:hideMark/>
          </w:tcPr>
          <w:p w:rsidR="009E42F5" w:rsidRPr="00EA3DE6" w:rsidRDefault="009E42F5" w:rsidP="009E42F5">
            <w:pPr>
              <w:spacing w:after="0" w:line="240" w:lineRule="auto"/>
              <w:jc w:val="center"/>
              <w:rPr>
                <w:b/>
                <w:bCs/>
              </w:rPr>
            </w:pPr>
            <w:r w:rsidRPr="00EA3DE6">
              <w:rPr>
                <w:b/>
                <w:bCs/>
              </w:rPr>
              <w:t>Mars</w:t>
            </w:r>
          </w:p>
        </w:tc>
        <w:tc>
          <w:tcPr>
            <w:tcW w:w="630" w:type="dxa"/>
            <w:tcBorders>
              <w:top w:val="single" w:sz="4" w:space="0" w:color="auto"/>
              <w:left w:val="single" w:sz="4" w:space="0" w:color="auto"/>
              <w:bottom w:val="single" w:sz="4" w:space="0" w:color="auto"/>
              <w:right w:val="single" w:sz="4" w:space="0" w:color="auto"/>
            </w:tcBorders>
            <w:shd w:val="clear" w:color="auto" w:fill="FFE799"/>
            <w:vAlign w:val="center"/>
            <w:hideMark/>
          </w:tcPr>
          <w:p w:rsidR="009E42F5" w:rsidRPr="00EA3DE6" w:rsidRDefault="009E42F5" w:rsidP="009E42F5">
            <w:pPr>
              <w:spacing w:after="0" w:line="240" w:lineRule="auto"/>
              <w:jc w:val="center"/>
              <w:rPr>
                <w:b/>
                <w:bCs/>
              </w:rPr>
            </w:pPr>
            <w:r w:rsidRPr="00EA3DE6">
              <w:rPr>
                <w:b/>
                <w:bCs/>
              </w:rPr>
              <w:t>Prill</w:t>
            </w:r>
          </w:p>
        </w:tc>
        <w:tc>
          <w:tcPr>
            <w:tcW w:w="574" w:type="dxa"/>
            <w:tcBorders>
              <w:top w:val="single" w:sz="4" w:space="0" w:color="auto"/>
              <w:left w:val="single" w:sz="4" w:space="0" w:color="auto"/>
              <w:bottom w:val="single" w:sz="4" w:space="0" w:color="auto"/>
              <w:right w:val="single" w:sz="4" w:space="0" w:color="auto"/>
            </w:tcBorders>
            <w:shd w:val="clear" w:color="auto" w:fill="FFE799"/>
            <w:noWrap/>
            <w:vAlign w:val="center"/>
            <w:hideMark/>
          </w:tcPr>
          <w:p w:rsidR="009E42F5" w:rsidRPr="00EA3DE6" w:rsidRDefault="009E42F5" w:rsidP="009E42F5">
            <w:pPr>
              <w:spacing w:after="0" w:line="240" w:lineRule="auto"/>
              <w:jc w:val="center"/>
              <w:rPr>
                <w:b/>
                <w:bCs/>
              </w:rPr>
            </w:pPr>
            <w:r w:rsidRPr="00EA3DE6">
              <w:rPr>
                <w:b/>
                <w:bCs/>
              </w:rPr>
              <w:t>Maj</w:t>
            </w:r>
          </w:p>
        </w:tc>
        <w:tc>
          <w:tcPr>
            <w:tcW w:w="686" w:type="dxa"/>
            <w:tcBorders>
              <w:top w:val="single" w:sz="4" w:space="0" w:color="auto"/>
              <w:left w:val="single" w:sz="4" w:space="0" w:color="auto"/>
              <w:bottom w:val="single" w:sz="4" w:space="0" w:color="auto"/>
              <w:right w:val="single" w:sz="4" w:space="0" w:color="auto"/>
            </w:tcBorders>
            <w:shd w:val="clear" w:color="auto" w:fill="FFE799"/>
            <w:noWrap/>
            <w:vAlign w:val="center"/>
            <w:hideMark/>
          </w:tcPr>
          <w:p w:rsidR="009E42F5" w:rsidRPr="00EA3DE6" w:rsidRDefault="009E42F5" w:rsidP="009E42F5">
            <w:pPr>
              <w:spacing w:after="0" w:line="240" w:lineRule="auto"/>
              <w:jc w:val="center"/>
              <w:rPr>
                <w:b/>
                <w:bCs/>
              </w:rPr>
            </w:pPr>
            <w:r w:rsidRPr="00EA3DE6">
              <w:rPr>
                <w:b/>
                <w:bCs/>
              </w:rPr>
              <w:t>Qershor</w:t>
            </w:r>
          </w:p>
        </w:tc>
        <w:tc>
          <w:tcPr>
            <w:tcW w:w="810" w:type="dxa"/>
            <w:tcBorders>
              <w:top w:val="single" w:sz="4" w:space="0" w:color="auto"/>
              <w:left w:val="single" w:sz="4" w:space="0" w:color="auto"/>
              <w:bottom w:val="single" w:sz="4" w:space="0" w:color="auto"/>
              <w:right w:val="single" w:sz="4" w:space="0" w:color="auto"/>
            </w:tcBorders>
            <w:shd w:val="clear" w:color="auto" w:fill="FFE799"/>
            <w:noWrap/>
            <w:vAlign w:val="center"/>
            <w:hideMark/>
          </w:tcPr>
          <w:p w:rsidR="009E42F5" w:rsidRPr="00EA3DE6" w:rsidRDefault="009E42F5" w:rsidP="009E42F5">
            <w:pPr>
              <w:spacing w:after="0" w:line="240" w:lineRule="auto"/>
              <w:jc w:val="center"/>
              <w:rPr>
                <w:b/>
                <w:bCs/>
              </w:rPr>
            </w:pPr>
            <w:r w:rsidRPr="00EA3DE6">
              <w:rPr>
                <w:b/>
                <w:bCs/>
              </w:rPr>
              <w:t>Korrik</w:t>
            </w:r>
          </w:p>
        </w:tc>
        <w:tc>
          <w:tcPr>
            <w:tcW w:w="810" w:type="dxa"/>
            <w:tcBorders>
              <w:top w:val="single" w:sz="4" w:space="0" w:color="auto"/>
              <w:left w:val="single" w:sz="4" w:space="0" w:color="auto"/>
              <w:bottom w:val="single" w:sz="4" w:space="0" w:color="auto"/>
              <w:right w:val="single" w:sz="4" w:space="0" w:color="auto"/>
            </w:tcBorders>
            <w:shd w:val="clear" w:color="auto" w:fill="FFE799"/>
            <w:noWrap/>
            <w:vAlign w:val="center"/>
            <w:hideMark/>
          </w:tcPr>
          <w:p w:rsidR="009E42F5" w:rsidRPr="00EA3DE6" w:rsidRDefault="009E42F5" w:rsidP="009E42F5">
            <w:pPr>
              <w:spacing w:after="0" w:line="240" w:lineRule="auto"/>
              <w:ind w:left="-232" w:firstLine="232"/>
              <w:jc w:val="center"/>
              <w:rPr>
                <w:b/>
                <w:bCs/>
              </w:rPr>
            </w:pPr>
            <w:r w:rsidRPr="00EA3DE6">
              <w:rPr>
                <w:b/>
                <w:bCs/>
              </w:rPr>
              <w:t>Gusht</w:t>
            </w:r>
          </w:p>
        </w:tc>
        <w:tc>
          <w:tcPr>
            <w:tcW w:w="720" w:type="dxa"/>
            <w:tcBorders>
              <w:top w:val="single" w:sz="4" w:space="0" w:color="auto"/>
              <w:left w:val="single" w:sz="4" w:space="0" w:color="auto"/>
              <w:bottom w:val="single" w:sz="4" w:space="0" w:color="auto"/>
              <w:right w:val="single" w:sz="4" w:space="0" w:color="auto"/>
            </w:tcBorders>
            <w:shd w:val="clear" w:color="auto" w:fill="FFE799"/>
            <w:noWrap/>
            <w:vAlign w:val="center"/>
            <w:hideMark/>
          </w:tcPr>
          <w:p w:rsidR="009E42F5" w:rsidRPr="00EA3DE6" w:rsidRDefault="009E42F5" w:rsidP="009E42F5">
            <w:pPr>
              <w:spacing w:after="0" w:line="240" w:lineRule="auto"/>
              <w:jc w:val="center"/>
              <w:rPr>
                <w:b/>
                <w:bCs/>
              </w:rPr>
            </w:pPr>
            <w:r w:rsidRPr="00EA3DE6">
              <w:rPr>
                <w:b/>
                <w:bCs/>
              </w:rPr>
              <w:t>Shtator</w:t>
            </w:r>
          </w:p>
        </w:tc>
        <w:tc>
          <w:tcPr>
            <w:tcW w:w="709" w:type="dxa"/>
            <w:tcBorders>
              <w:top w:val="single" w:sz="4" w:space="0" w:color="auto"/>
              <w:left w:val="single" w:sz="4" w:space="0" w:color="auto"/>
              <w:bottom w:val="single" w:sz="4" w:space="0" w:color="auto"/>
              <w:right w:val="single" w:sz="4" w:space="0" w:color="auto"/>
            </w:tcBorders>
            <w:shd w:val="clear" w:color="auto" w:fill="FFE799"/>
            <w:noWrap/>
            <w:vAlign w:val="center"/>
            <w:hideMark/>
          </w:tcPr>
          <w:p w:rsidR="009E42F5" w:rsidRPr="00EA3DE6" w:rsidRDefault="009E42F5" w:rsidP="009E42F5">
            <w:pPr>
              <w:spacing w:after="0" w:line="240" w:lineRule="auto"/>
              <w:jc w:val="center"/>
              <w:rPr>
                <w:b/>
                <w:bCs/>
              </w:rPr>
            </w:pPr>
            <w:r w:rsidRPr="00EA3DE6">
              <w:rPr>
                <w:b/>
                <w:bCs/>
              </w:rPr>
              <w:t>Tetor</w:t>
            </w:r>
          </w:p>
        </w:tc>
        <w:tc>
          <w:tcPr>
            <w:tcW w:w="641" w:type="dxa"/>
            <w:tcBorders>
              <w:top w:val="single" w:sz="4" w:space="0" w:color="auto"/>
              <w:left w:val="single" w:sz="4" w:space="0" w:color="auto"/>
              <w:bottom w:val="single" w:sz="4" w:space="0" w:color="auto"/>
              <w:right w:val="single" w:sz="4" w:space="0" w:color="auto"/>
            </w:tcBorders>
            <w:shd w:val="clear" w:color="auto" w:fill="FFE799"/>
            <w:noWrap/>
            <w:vAlign w:val="center"/>
            <w:hideMark/>
          </w:tcPr>
          <w:p w:rsidR="009E42F5" w:rsidRPr="00EA3DE6" w:rsidRDefault="009E42F5" w:rsidP="009E42F5">
            <w:pPr>
              <w:spacing w:after="0" w:line="240" w:lineRule="auto"/>
              <w:jc w:val="center"/>
              <w:rPr>
                <w:b/>
                <w:bCs/>
              </w:rPr>
            </w:pPr>
            <w:r w:rsidRPr="00EA3DE6">
              <w:rPr>
                <w:b/>
                <w:bCs/>
              </w:rPr>
              <w:t>Nëntor</w:t>
            </w:r>
          </w:p>
        </w:tc>
        <w:tc>
          <w:tcPr>
            <w:tcW w:w="912" w:type="dxa"/>
            <w:tcBorders>
              <w:top w:val="single" w:sz="4" w:space="0" w:color="auto"/>
              <w:left w:val="single" w:sz="4" w:space="0" w:color="auto"/>
              <w:bottom w:val="single" w:sz="4" w:space="0" w:color="auto"/>
              <w:right w:val="single" w:sz="4" w:space="0" w:color="auto"/>
            </w:tcBorders>
            <w:shd w:val="clear" w:color="auto" w:fill="FFE799"/>
            <w:noWrap/>
            <w:vAlign w:val="center"/>
            <w:hideMark/>
          </w:tcPr>
          <w:p w:rsidR="009E42F5" w:rsidRPr="00EA3DE6" w:rsidRDefault="009E42F5" w:rsidP="009E42F5">
            <w:pPr>
              <w:spacing w:after="0" w:line="240" w:lineRule="auto"/>
              <w:jc w:val="center"/>
              <w:rPr>
                <w:b/>
                <w:bCs/>
              </w:rPr>
            </w:pPr>
            <w:r w:rsidRPr="00EA3DE6">
              <w:rPr>
                <w:b/>
                <w:bCs/>
              </w:rPr>
              <w:t>Dhjetor</w:t>
            </w:r>
          </w:p>
        </w:tc>
        <w:tc>
          <w:tcPr>
            <w:tcW w:w="938" w:type="dxa"/>
            <w:tcBorders>
              <w:top w:val="single" w:sz="4" w:space="0" w:color="auto"/>
              <w:left w:val="single" w:sz="4" w:space="0" w:color="auto"/>
              <w:bottom w:val="single" w:sz="4" w:space="0" w:color="auto"/>
              <w:right w:val="single" w:sz="4" w:space="0" w:color="auto"/>
            </w:tcBorders>
            <w:shd w:val="clear" w:color="auto" w:fill="FFE799"/>
            <w:vAlign w:val="center"/>
            <w:hideMark/>
          </w:tcPr>
          <w:p w:rsidR="009E42F5" w:rsidRPr="00EA3DE6" w:rsidRDefault="009E42F5" w:rsidP="009E42F5">
            <w:pPr>
              <w:spacing w:after="0" w:line="240" w:lineRule="auto"/>
              <w:jc w:val="center"/>
              <w:rPr>
                <w:b/>
                <w:bCs/>
              </w:rPr>
            </w:pPr>
            <w:r w:rsidRPr="00EA3DE6">
              <w:rPr>
                <w:b/>
                <w:bCs/>
              </w:rPr>
              <w:t xml:space="preserve">Gjithsej            </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vAlign w:val="center"/>
            <w:hideMark/>
          </w:tcPr>
          <w:p w:rsidR="009E42F5" w:rsidRPr="00EA3DE6" w:rsidRDefault="009E42F5" w:rsidP="009E42F5">
            <w:pPr>
              <w:spacing w:after="0" w:line="240" w:lineRule="auto"/>
              <w:jc w:val="center"/>
              <w:rPr>
                <w:b/>
                <w:bCs/>
                <w:color w:val="000000"/>
              </w:rPr>
            </w:pPr>
            <w:r w:rsidRPr="00EA3DE6">
              <w:rPr>
                <w:b/>
                <w:bCs/>
                <w:color w:val="000000"/>
              </w:rPr>
              <w:t>0-4</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vAlign w:val="bottom"/>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5-9</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ind w:right="469"/>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10-14</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15-19</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20-24</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25-29</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30-34</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35-39</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40-44</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45-49</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50-54</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10</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17</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20</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47</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55-59</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1</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2</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4</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4</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60-64</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1</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2</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3</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3</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3</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65-69</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2</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3</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5</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6</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4</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10</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70-74</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3</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2</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5</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75-79</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1</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1</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single" w:sz="4" w:space="0" w:color="auto"/>
              <w:left w:val="single" w:sz="4" w:space="0" w:color="auto"/>
              <w:bottom w:val="single" w:sz="4" w:space="0" w:color="9CC3E6"/>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80+</w:t>
            </w:r>
          </w:p>
        </w:tc>
        <w:tc>
          <w:tcPr>
            <w:tcW w:w="111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b/>
                <w:bCs/>
                <w:color w:val="000000"/>
              </w:rPr>
            </w:pPr>
            <w:r w:rsidRPr="00EA3DE6">
              <w:rPr>
                <w:b/>
                <w:bCs/>
                <w:color w:val="000000"/>
              </w:rPr>
              <w:t xml:space="preserve">Meshkuj </w:t>
            </w:r>
          </w:p>
        </w:tc>
        <w:tc>
          <w:tcPr>
            <w:tcW w:w="703"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shd w:val="clear" w:color="auto" w:fill="DEEBF6"/>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nil"/>
              <w:left w:val="single" w:sz="4" w:space="0" w:color="auto"/>
              <w:bottom w:val="single" w:sz="4" w:space="0" w:color="auto"/>
              <w:right w:val="single" w:sz="4" w:space="0" w:color="auto"/>
            </w:tcBorders>
            <w:shd w:val="clear" w:color="auto" w:fill="9CC3E6"/>
            <w:noWrap/>
            <w:vAlign w:val="center"/>
            <w:hideMark/>
          </w:tcPr>
          <w:p w:rsidR="009E42F5" w:rsidRPr="00EA3DE6" w:rsidRDefault="009E42F5" w:rsidP="009E42F5">
            <w:pPr>
              <w:spacing w:after="0" w:line="240" w:lineRule="auto"/>
              <w:jc w:val="center"/>
              <w:rPr>
                <w:b/>
                <w:bCs/>
                <w:color w:val="000000"/>
              </w:rPr>
            </w:pPr>
            <w:r w:rsidRPr="00EA3DE6">
              <w:rPr>
                <w:b/>
                <w:bCs/>
                <w:color w:val="000000"/>
              </w:rPr>
              <w:t> </w:t>
            </w:r>
          </w:p>
        </w:tc>
        <w:tc>
          <w:tcPr>
            <w:tcW w:w="1114" w:type="dxa"/>
            <w:tcBorders>
              <w:top w:val="nil"/>
              <w:left w:val="nil"/>
              <w:bottom w:val="single" w:sz="4" w:space="0" w:color="auto"/>
              <w:right w:val="single" w:sz="4" w:space="0" w:color="auto"/>
            </w:tcBorders>
            <w:noWrap/>
            <w:vAlign w:val="bottom"/>
            <w:hideMark/>
          </w:tcPr>
          <w:p w:rsidR="009E42F5" w:rsidRPr="00EA3DE6" w:rsidRDefault="009E42F5" w:rsidP="009E42F5">
            <w:pPr>
              <w:spacing w:after="0" w:line="240" w:lineRule="auto"/>
              <w:jc w:val="center"/>
              <w:rPr>
                <w:b/>
                <w:bCs/>
                <w:color w:val="000000"/>
              </w:rPr>
            </w:pPr>
            <w:r w:rsidRPr="00EA3DE6">
              <w:rPr>
                <w:b/>
                <w:bCs/>
                <w:color w:val="000000"/>
              </w:rPr>
              <w:t>Femra</w:t>
            </w:r>
          </w:p>
        </w:tc>
        <w:tc>
          <w:tcPr>
            <w:tcW w:w="703"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78"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3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574"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86"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81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641"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12" w:type="dxa"/>
            <w:tcBorders>
              <w:top w:val="single" w:sz="4" w:space="0" w:color="auto"/>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 </w:t>
            </w:r>
          </w:p>
        </w:tc>
        <w:tc>
          <w:tcPr>
            <w:tcW w:w="938" w:type="dxa"/>
            <w:tcBorders>
              <w:top w:val="nil"/>
              <w:left w:val="single" w:sz="4" w:space="0" w:color="auto"/>
              <w:bottom w:val="single" w:sz="4" w:space="0" w:color="auto"/>
              <w:right w:val="single" w:sz="4" w:space="0" w:color="auto"/>
            </w:tcBorders>
            <w:noWrap/>
            <w:vAlign w:val="bottom"/>
            <w:hideMark/>
          </w:tcPr>
          <w:p w:rsidR="009E42F5" w:rsidRPr="00EA3DE6" w:rsidRDefault="009E42F5" w:rsidP="009E42F5">
            <w:pPr>
              <w:spacing w:after="0" w:line="240" w:lineRule="auto"/>
              <w:jc w:val="center"/>
              <w:rPr>
                <w:color w:val="000000"/>
              </w:rPr>
            </w:pPr>
            <w:r w:rsidRPr="00EA3DE6">
              <w:rPr>
                <w:color w:val="000000"/>
              </w:rPr>
              <w:t>0</w:t>
            </w:r>
          </w:p>
        </w:tc>
      </w:tr>
      <w:tr w:rsidR="009E42F5" w:rsidRPr="00EA3DE6" w:rsidTr="000765D8">
        <w:trPr>
          <w:trHeight w:val="304"/>
        </w:trPr>
        <w:tc>
          <w:tcPr>
            <w:tcW w:w="1170"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Gjithsej</w:t>
            </w:r>
          </w:p>
        </w:tc>
        <w:tc>
          <w:tcPr>
            <w:tcW w:w="1114"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 </w:t>
            </w:r>
          </w:p>
        </w:tc>
        <w:tc>
          <w:tcPr>
            <w:tcW w:w="703"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106</w:t>
            </w:r>
          </w:p>
        </w:tc>
        <w:tc>
          <w:tcPr>
            <w:tcW w:w="878"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0</w:t>
            </w:r>
          </w:p>
        </w:tc>
        <w:tc>
          <w:tcPr>
            <w:tcW w:w="630"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19</w:t>
            </w:r>
          </w:p>
        </w:tc>
        <w:tc>
          <w:tcPr>
            <w:tcW w:w="574"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22</w:t>
            </w:r>
          </w:p>
        </w:tc>
        <w:tc>
          <w:tcPr>
            <w:tcW w:w="68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39</w:t>
            </w:r>
          </w:p>
        </w:tc>
        <w:tc>
          <w:tcPr>
            <w:tcW w:w="810"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0</w:t>
            </w:r>
          </w:p>
        </w:tc>
        <w:tc>
          <w:tcPr>
            <w:tcW w:w="810"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0</w:t>
            </w:r>
          </w:p>
        </w:tc>
        <w:tc>
          <w:tcPr>
            <w:tcW w:w="709"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0</w:t>
            </w:r>
          </w:p>
        </w:tc>
        <w:tc>
          <w:tcPr>
            <w:tcW w:w="641"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0</w:t>
            </w:r>
          </w:p>
        </w:tc>
        <w:tc>
          <w:tcPr>
            <w:tcW w:w="912"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0</w:t>
            </w:r>
          </w:p>
        </w:tc>
        <w:tc>
          <w:tcPr>
            <w:tcW w:w="938"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9E42F5" w:rsidRPr="00EA3DE6" w:rsidRDefault="009E42F5" w:rsidP="009E42F5">
            <w:pPr>
              <w:spacing w:after="0" w:line="240" w:lineRule="auto"/>
              <w:jc w:val="center"/>
              <w:rPr>
                <w:b/>
                <w:bCs/>
                <w:color w:val="000000"/>
              </w:rPr>
            </w:pPr>
            <w:r w:rsidRPr="00EA3DE6">
              <w:rPr>
                <w:b/>
                <w:bCs/>
                <w:color w:val="000000"/>
              </w:rPr>
              <w:t>80</w:t>
            </w:r>
          </w:p>
        </w:tc>
      </w:tr>
    </w:tbl>
    <w:p w:rsidR="009E42F5" w:rsidRPr="00EA3DE6" w:rsidRDefault="009E42F5" w:rsidP="009E42F5">
      <w:pPr>
        <w:tabs>
          <w:tab w:val="left" w:pos="5610"/>
        </w:tabs>
        <w:spacing w:after="0" w:line="240" w:lineRule="auto"/>
        <w:jc w:val="both"/>
        <w:rPr>
          <w:b/>
          <w:color w:val="000000" w:themeColor="text1"/>
        </w:rPr>
      </w:pPr>
    </w:p>
    <w:p w:rsidR="00B37C74" w:rsidRDefault="00B37C74" w:rsidP="009E42F5">
      <w:pPr>
        <w:spacing w:before="100" w:beforeAutospacing="1" w:after="100" w:afterAutospacing="1" w:line="240" w:lineRule="auto"/>
        <w:rPr>
          <w:b/>
          <w:color w:val="000000" w:themeColor="text1"/>
        </w:rPr>
      </w:pPr>
    </w:p>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Raporti i Aktivitetit Shëndetësor – QKMF Hani Elezit (Janar – Qershor 2025)</w:t>
      </w:r>
    </w:p>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1. Dita Ndërkombëtare e Infermierisë</w:t>
      </w:r>
      <w:r w:rsidRPr="009E42F5">
        <w:rPr>
          <w:rFonts w:ascii="Times New Roman" w:eastAsia="Times New Roman" w:hAnsi="Times New Roman" w:cs="Times New Roman"/>
          <w:sz w:val="24"/>
          <w:szCs w:val="24"/>
        </w:rPr>
        <w:br/>
        <w:t>Për nder të Ditës Ndërkombëtare të Infermierisë, QKMF Hani Elezit zhvilloi aktivitete edukativo-shëndetësore në komunitet. Në kuadër të kësaj dite, infermierët tanë ofruan shërbime falas për qytetarët, duke përfshirë matjen e sheqerit në gjak, matjen e shtypjes së gjakut, matjen e peshës trupore dhe ofrimin e këshillave shëndetësore.</w:t>
      </w:r>
    </w:p>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2. Kontrollat Sistematike Mjekësore në Shkollat Fillore dhe të Mesme</w:t>
      </w:r>
      <w:r w:rsidRPr="009E42F5">
        <w:rPr>
          <w:rFonts w:ascii="Times New Roman" w:eastAsia="Times New Roman" w:hAnsi="Times New Roman" w:cs="Times New Roman"/>
          <w:sz w:val="24"/>
          <w:szCs w:val="24"/>
        </w:rPr>
        <w:br/>
        <w:t>Në periudhën janar-qershor 2025, ekipi mjekësor i QKMF-së realizoi kontrolla sistematike në shkollat fillore dhe të mesme të ulëta në komunën e Hanit të Elezit, përfshirë fshatrat Paldenicë, Seçishtë dhe Gorancë. Aktiviteti u përqendrua në edukimin e nxënësve të klasave I dhe V mbi ruajtjen e higjienës orale dhe trupore, si dhe identifikimin e deformiteteve të boshtit kurrizor. Po ashtu, u matën pesha dhe gjatësia trupore. Falenderojmë ekipin mjekësor për profesionalizmin dhe shkollat për bashkëpunimin.</w:t>
      </w:r>
    </w:p>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3. Dita Ndërkombëtare e Duhanit</w:t>
      </w:r>
      <w:r w:rsidRPr="009E42F5">
        <w:rPr>
          <w:rFonts w:ascii="Times New Roman" w:eastAsia="Times New Roman" w:hAnsi="Times New Roman" w:cs="Times New Roman"/>
          <w:sz w:val="24"/>
          <w:szCs w:val="24"/>
        </w:rPr>
        <w:br/>
        <w:t>Dita Ndërkombëtare kundër Duhanit u shënua në ambientet e QKMF-së, ku shpërndahen broshura informuese dhe ofroheshin këshilla edukativo-shëndetësore nga profesionistët tanë për promovimin e një shëndeti më të mirë dhe parandalimin e përdorimit të duhanit.</w:t>
      </w:r>
    </w:p>
    <w:p w:rsidR="00855FA8" w:rsidRDefault="009E42F5" w:rsidP="009E42F5">
      <w:pPr>
        <w:spacing w:before="100" w:beforeAutospacing="1" w:after="100" w:afterAutospacing="1" w:line="240" w:lineRule="auto"/>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4. Sektori</w:t>
      </w:r>
      <w:r w:rsidR="003A1566">
        <w:rPr>
          <w:rFonts w:ascii="Times New Roman" w:eastAsia="Times New Roman" w:hAnsi="Times New Roman" w:cs="Times New Roman"/>
          <w:b/>
          <w:bCs/>
          <w:sz w:val="24"/>
          <w:szCs w:val="24"/>
        </w:rPr>
        <w:t xml:space="preserve"> i Mjekësisë Familjare (Orari: 08:00 – 16</w:t>
      </w:r>
      <w:r w:rsidRPr="009E42F5">
        <w:rPr>
          <w:rFonts w:ascii="Times New Roman" w:eastAsia="Times New Roman" w:hAnsi="Times New Roman" w:cs="Times New Roman"/>
          <w:b/>
          <w:bCs/>
          <w:sz w:val="24"/>
          <w:szCs w:val="24"/>
        </w:rPr>
        <w:t>:00)</w:t>
      </w:r>
    </w:p>
    <w:p w:rsidR="009E42F5" w:rsidRPr="00855FA8" w:rsidRDefault="009E42F5" w:rsidP="009E42F5">
      <w:pPr>
        <w:spacing w:before="100" w:beforeAutospacing="1" w:after="100" w:afterAutospacing="1" w:line="240" w:lineRule="auto"/>
        <w:rPr>
          <w:rFonts w:ascii="Times New Roman" w:eastAsia="Times New Roman" w:hAnsi="Times New Roman" w:cs="Times New Roman"/>
          <w:b/>
          <w:bCs/>
          <w:sz w:val="24"/>
          <w:szCs w:val="24"/>
        </w:rPr>
      </w:pPr>
      <w:r w:rsidRPr="009E42F5">
        <w:rPr>
          <w:rFonts w:ascii="Times New Roman" w:eastAsia="Times New Roman" w:hAnsi="Times New Roman" w:cs="Times New Roman"/>
          <w:sz w:val="24"/>
          <w:szCs w:val="24"/>
        </w:rPr>
        <w:br/>
        <w:t>Në këtë sektor ofrohen shërbime të ndryshme për qytetarët, përfshirë:</w:t>
      </w:r>
    </w:p>
    <w:p w:rsidR="009E42F5" w:rsidRPr="009E42F5" w:rsidRDefault="009E42F5" w:rsidP="009E42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Shërbimet laboratorike dhe RTG</w:t>
      </w:r>
    </w:p>
    <w:p w:rsidR="009E42F5" w:rsidRPr="009E42F5" w:rsidRDefault="009E42F5" w:rsidP="009E42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Imunizimi dhe vaksinimi</w:t>
      </w:r>
    </w:p>
    <w:p w:rsidR="009E42F5" w:rsidRPr="009E42F5" w:rsidRDefault="009E42F5" w:rsidP="009E42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Shërbime të triazhimit dhe stomatologjike</w:t>
      </w:r>
    </w:p>
    <w:p w:rsidR="009E42F5" w:rsidRPr="009E42F5" w:rsidRDefault="009E42F5" w:rsidP="009E42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Shërbime mjekësore administrative – Sistemi i Informimit Shëndetësor (SISH), tani online</w:t>
      </w:r>
    </w:p>
    <w:p w:rsidR="009E42F5" w:rsidRPr="009E42F5" w:rsidRDefault="009E42F5" w:rsidP="009E42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Vizitat shtëpiake për pacientët paliativ (të palëvizshëm)</w:t>
      </w:r>
    </w:p>
    <w:p w:rsidR="009E42F5" w:rsidRPr="009E42F5" w:rsidRDefault="009E42F5" w:rsidP="009E42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Vizitat për nëna dhe fëmijë 0-3 vjeç</w:t>
      </w:r>
    </w:p>
    <w:p w:rsidR="009E42F5" w:rsidRPr="009E42F5" w:rsidRDefault="009E42F5" w:rsidP="009E42F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Shërbimet për klasat edukative për nëna dhe fëmijë.</w:t>
      </w:r>
    </w:p>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Statistikat e Shërbimeve të Mjekësisë Familjare për periudhën Janar – Qershor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674"/>
        <w:gridCol w:w="1674"/>
        <w:gridCol w:w="1873"/>
        <w:gridCol w:w="1888"/>
      </w:tblGrid>
      <w:tr w:rsidR="009E42F5" w:rsidRPr="009E42F5" w:rsidTr="007C5722">
        <w:trPr>
          <w:tblHeader/>
          <w:tblCellSpacing w:w="15" w:type="dxa"/>
        </w:trPr>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Muaji</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Kartoteka 2024</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Kartoteka 2025</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Intervenime 2024</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Intervenime 2025</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Janar</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2754</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3182</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1672</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2123</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Shkurt</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2297</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2402</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1947</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1808</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Mars</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2023</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2120</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3680</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1394</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Prill</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2297</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2128</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2581</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2492</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Maj</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2491</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2062</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2683</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1674</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Qershor</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2138</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2091</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2665</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1126</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Totali</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14,000</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13,985</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15,228</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10,617</w:t>
            </w:r>
          </w:p>
        </w:tc>
      </w:tr>
    </w:tbl>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5. Kontrollat Mjekësore nga Mjekët e QKMF-së (Janar - Qershor 2025)</w:t>
      </w:r>
      <w:r w:rsidRPr="009E42F5">
        <w:rPr>
          <w:rFonts w:ascii="Times New Roman" w:eastAsia="Times New Roman" w:hAnsi="Times New Roman" w:cs="Times New Roman"/>
          <w:sz w:val="24"/>
          <w:szCs w:val="24"/>
        </w:rPr>
        <w:br/>
        <w:t>Në periudhën e raportuar, mjekët e QKMF-së kanë realizuar një total prej 14,185 kontrollash mjekësore, të shpërndara si më poshtë:</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8"/>
        <w:gridCol w:w="2988"/>
      </w:tblGrid>
      <w:tr w:rsidR="009E42F5" w:rsidRPr="009E42F5" w:rsidTr="007C5722">
        <w:trPr>
          <w:tblHeader/>
          <w:tblCellSpacing w:w="15" w:type="dxa"/>
        </w:trPr>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Mjeku</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Nr. i Kontrollave Mjekësore</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Dr. Dashnimi Ajvazi</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1693</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Dr. Bashkim Hazizi</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2105</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Dr. Arta Drini</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1601</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Dr. Valon Hasallari</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1644</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Dr. Fatbardha Dernjani</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5557</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Dr. Leutrim Zeqiri</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1585</w:t>
            </w:r>
          </w:p>
        </w:tc>
      </w:tr>
      <w:tr w:rsidR="009E42F5" w:rsidRPr="009E42F5" w:rsidTr="007C5722">
        <w:trPr>
          <w:tblCellSpacing w:w="15" w:type="dxa"/>
        </w:trPr>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Totali</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14,185</w:t>
            </w:r>
          </w:p>
        </w:tc>
      </w:tr>
    </w:tbl>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6. Sektori i Shëndetit Publik</w:t>
      </w:r>
      <w:r w:rsidRPr="009E42F5">
        <w:rPr>
          <w:rFonts w:ascii="Times New Roman" w:eastAsia="Times New Roman" w:hAnsi="Times New Roman" w:cs="Times New Roman"/>
          <w:sz w:val="24"/>
          <w:szCs w:val="24"/>
        </w:rPr>
        <w:br/>
        <w:t>Në këtë sektor, analizat e të dhënave, sistematizimi dhe raportimi i rregullt kanë qenë objektiva të realizuara nga Njësia e Sistemit Informativ Shëndetësor (SISH). Sektori i Vaksinimit ka siguruar vaksinimin e rregullt për të gjitha grupmoshat dhe dy gjinive sipas kalendarit të vaksinimit. Po ashtu, janë realizuar vaksinime për rastet e lëndimit me vaksinën antitetanike dhe për kafshimet e gjarpërinjve.</w:t>
      </w:r>
    </w:p>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Vaksinimi dhe Vizitat për Nëna dhe Fëmijë (Janar – Qershor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516"/>
        <w:gridCol w:w="1516"/>
        <w:gridCol w:w="2717"/>
        <w:gridCol w:w="2732"/>
      </w:tblGrid>
      <w:tr w:rsidR="009E42F5" w:rsidRPr="009E42F5" w:rsidTr="007C5722">
        <w:trPr>
          <w:tblHeader/>
          <w:tblCellSpacing w:w="15" w:type="dxa"/>
        </w:trPr>
        <w:tc>
          <w:tcPr>
            <w:tcW w:w="804" w:type="dxa"/>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Muaji</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Vaksinimi 2024</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Vaksinimi 2025</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Vizitat për Nëna dhe Fëmijë 2024</w:t>
            </w:r>
          </w:p>
        </w:tc>
        <w:tc>
          <w:tcPr>
            <w:tcW w:w="0" w:type="auto"/>
            <w:vAlign w:val="center"/>
            <w:hideMark/>
          </w:tcPr>
          <w:p w:rsidR="009E42F5" w:rsidRPr="009E42F5" w:rsidRDefault="009E42F5" w:rsidP="009E42F5">
            <w:pPr>
              <w:spacing w:after="0" w:line="240" w:lineRule="auto"/>
              <w:jc w:val="center"/>
              <w:rPr>
                <w:rFonts w:ascii="Times New Roman" w:eastAsia="Times New Roman" w:hAnsi="Times New Roman" w:cs="Times New Roman"/>
                <w:b/>
                <w:bCs/>
                <w:sz w:val="24"/>
                <w:szCs w:val="24"/>
              </w:rPr>
            </w:pPr>
            <w:r w:rsidRPr="009E42F5">
              <w:rPr>
                <w:rFonts w:ascii="Times New Roman" w:eastAsia="Times New Roman" w:hAnsi="Times New Roman" w:cs="Times New Roman"/>
                <w:b/>
                <w:bCs/>
                <w:sz w:val="24"/>
                <w:szCs w:val="24"/>
              </w:rPr>
              <w:t>Vizitat për Nëna dhe Fëmijë 2025</w:t>
            </w:r>
          </w:p>
        </w:tc>
      </w:tr>
      <w:tr w:rsidR="009E42F5" w:rsidRPr="009E42F5" w:rsidTr="007C5722">
        <w:trPr>
          <w:tblCellSpacing w:w="15" w:type="dxa"/>
        </w:trPr>
        <w:tc>
          <w:tcPr>
            <w:tcW w:w="804" w:type="dxa"/>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Janar</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44</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61</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43</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49</w:t>
            </w:r>
          </w:p>
        </w:tc>
      </w:tr>
      <w:tr w:rsidR="009E42F5" w:rsidRPr="009E42F5" w:rsidTr="007C5722">
        <w:trPr>
          <w:tblCellSpacing w:w="15" w:type="dxa"/>
        </w:trPr>
        <w:tc>
          <w:tcPr>
            <w:tcW w:w="804" w:type="dxa"/>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Shkurt</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224</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139</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47</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42</w:t>
            </w:r>
          </w:p>
        </w:tc>
      </w:tr>
      <w:tr w:rsidR="009E42F5" w:rsidRPr="009E42F5" w:rsidTr="007C5722">
        <w:trPr>
          <w:tblCellSpacing w:w="15" w:type="dxa"/>
        </w:trPr>
        <w:tc>
          <w:tcPr>
            <w:tcW w:w="804" w:type="dxa"/>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Mars</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173</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57</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55</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12</w:t>
            </w:r>
          </w:p>
        </w:tc>
      </w:tr>
      <w:tr w:rsidR="009E42F5" w:rsidRPr="009E42F5" w:rsidTr="007C5722">
        <w:trPr>
          <w:tblCellSpacing w:w="15" w:type="dxa"/>
        </w:trPr>
        <w:tc>
          <w:tcPr>
            <w:tcW w:w="804" w:type="dxa"/>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Prill</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51</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140</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43</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40</w:t>
            </w:r>
          </w:p>
        </w:tc>
      </w:tr>
      <w:tr w:rsidR="009E42F5" w:rsidRPr="009E42F5" w:rsidTr="007C5722">
        <w:trPr>
          <w:tblCellSpacing w:w="15" w:type="dxa"/>
        </w:trPr>
        <w:tc>
          <w:tcPr>
            <w:tcW w:w="804" w:type="dxa"/>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Maj</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116</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151</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43</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44</w:t>
            </w:r>
          </w:p>
        </w:tc>
      </w:tr>
      <w:tr w:rsidR="009E42F5" w:rsidRPr="009E42F5" w:rsidTr="007C5722">
        <w:trPr>
          <w:tblCellSpacing w:w="15" w:type="dxa"/>
        </w:trPr>
        <w:tc>
          <w:tcPr>
            <w:tcW w:w="804" w:type="dxa"/>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Qershor</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65</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106</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40</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sz w:val="24"/>
                <w:szCs w:val="24"/>
              </w:rPr>
              <w:t>39</w:t>
            </w:r>
          </w:p>
        </w:tc>
      </w:tr>
      <w:tr w:rsidR="009E42F5" w:rsidRPr="009E42F5" w:rsidTr="007C5722">
        <w:trPr>
          <w:tblCellSpacing w:w="15" w:type="dxa"/>
        </w:trPr>
        <w:tc>
          <w:tcPr>
            <w:tcW w:w="804" w:type="dxa"/>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Totali</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673</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654</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271</w:t>
            </w:r>
          </w:p>
        </w:tc>
        <w:tc>
          <w:tcPr>
            <w:tcW w:w="0" w:type="auto"/>
            <w:vAlign w:val="center"/>
            <w:hideMark/>
          </w:tcPr>
          <w:p w:rsidR="009E42F5" w:rsidRPr="009E42F5" w:rsidRDefault="009E42F5" w:rsidP="009E42F5">
            <w:pPr>
              <w:spacing w:after="0"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226</w:t>
            </w:r>
          </w:p>
        </w:tc>
      </w:tr>
    </w:tbl>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7. Aksioni për Nënat dhe Fëmijët</w:t>
      </w:r>
      <w:r w:rsidRPr="009E42F5">
        <w:rPr>
          <w:rFonts w:ascii="Times New Roman" w:eastAsia="Times New Roman" w:hAnsi="Times New Roman" w:cs="Times New Roman"/>
          <w:sz w:val="24"/>
          <w:szCs w:val="24"/>
        </w:rPr>
        <w:br/>
        <w:t>Programet për nënat dhe fëmijët kanë për qëllim përmirësimin e kujdesit shëndetësor për këtë grup, duke informuar dhe këshilluar nënat dhe gratë shtatzëna për ndryshimet që ndodhin gjatë shtatzënisë dhe kujdesin pas lindjes. Gjithashtu, programet ofrojnë mbështetje për ushqyerjen me gji dhe imunizimin e fëmijëve.</w:t>
      </w:r>
    </w:p>
    <w:p w:rsidR="007C5722" w:rsidRDefault="007C5722" w:rsidP="009E42F5">
      <w:pPr>
        <w:spacing w:before="100" w:beforeAutospacing="1" w:after="100" w:afterAutospacing="1" w:line="240" w:lineRule="auto"/>
        <w:rPr>
          <w:rFonts w:ascii="Times New Roman" w:eastAsia="Times New Roman" w:hAnsi="Times New Roman" w:cs="Times New Roman"/>
          <w:b/>
          <w:bCs/>
          <w:sz w:val="24"/>
          <w:szCs w:val="24"/>
        </w:rPr>
      </w:pPr>
    </w:p>
    <w:p w:rsidR="007C5722" w:rsidRDefault="007C5722" w:rsidP="009E42F5">
      <w:pPr>
        <w:spacing w:before="100" w:beforeAutospacing="1" w:after="100" w:afterAutospacing="1" w:line="240" w:lineRule="auto"/>
        <w:rPr>
          <w:rFonts w:ascii="Times New Roman" w:eastAsia="Times New Roman" w:hAnsi="Times New Roman" w:cs="Times New Roman"/>
          <w:b/>
          <w:bCs/>
          <w:sz w:val="24"/>
          <w:szCs w:val="24"/>
        </w:rPr>
      </w:pPr>
    </w:p>
    <w:p w:rsidR="009E42F5" w:rsidRPr="009E42F5" w:rsidRDefault="009E42F5" w:rsidP="009E42F5">
      <w:pPr>
        <w:spacing w:before="100" w:beforeAutospacing="1" w:after="100" w:afterAutospacing="1" w:line="240" w:lineRule="auto"/>
        <w:rPr>
          <w:rFonts w:ascii="Times New Roman" w:eastAsia="Times New Roman" w:hAnsi="Times New Roman" w:cs="Times New Roman"/>
          <w:sz w:val="24"/>
          <w:szCs w:val="24"/>
        </w:rPr>
      </w:pPr>
      <w:r w:rsidRPr="009E42F5">
        <w:rPr>
          <w:rFonts w:ascii="Times New Roman" w:eastAsia="Times New Roman" w:hAnsi="Times New Roman" w:cs="Times New Roman"/>
          <w:b/>
          <w:bCs/>
          <w:sz w:val="24"/>
          <w:szCs w:val="24"/>
        </w:rPr>
        <w:t>Statistikat për Aksionin për Nënat dhe Fëmijët (Janar – Qershor 2025):</w:t>
      </w:r>
    </w:p>
    <w:tbl>
      <w:tblPr>
        <w:tblpPr w:leftFromText="180" w:rightFromText="180" w:vertAnchor="text" w:horzAnchor="margin" w:tblpXSpec="center" w:tblpY="538"/>
        <w:tblOverlap w:val="neve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170"/>
        <w:gridCol w:w="1440"/>
        <w:gridCol w:w="1080"/>
        <w:gridCol w:w="1080"/>
        <w:gridCol w:w="900"/>
        <w:gridCol w:w="1620"/>
        <w:gridCol w:w="1260"/>
      </w:tblGrid>
      <w:tr w:rsidR="005B33A2" w:rsidRPr="00EA3DE6" w:rsidTr="001141FA">
        <w:trPr>
          <w:trHeight w:val="450"/>
        </w:trPr>
        <w:tc>
          <w:tcPr>
            <w:tcW w:w="2718" w:type="dxa"/>
            <w:vMerge w:val="restart"/>
            <w:shd w:val="clear" w:color="000000" w:fill="D0CECE"/>
            <w:noWrap/>
            <w:vAlign w:val="bottom"/>
            <w:hideMark/>
          </w:tcPr>
          <w:p w:rsidR="005B33A2" w:rsidRDefault="005B33A2" w:rsidP="001141FA">
            <w:pPr>
              <w:spacing w:before="240" w:after="0" w:line="240" w:lineRule="auto"/>
              <w:contextualSpacing/>
              <w:jc w:val="both"/>
              <w:rPr>
                <w:b/>
                <w:bCs/>
                <w:color w:val="000000"/>
              </w:rPr>
            </w:pPr>
          </w:p>
          <w:p w:rsidR="001141FA" w:rsidRPr="00EA3DE6" w:rsidRDefault="001141FA" w:rsidP="001141FA">
            <w:pPr>
              <w:spacing w:before="240" w:after="0" w:line="240" w:lineRule="auto"/>
              <w:contextualSpacing/>
              <w:jc w:val="both"/>
              <w:rPr>
                <w:b/>
                <w:bCs/>
                <w:color w:val="000000"/>
              </w:rPr>
            </w:pPr>
            <w:r w:rsidRPr="00EA3DE6">
              <w:rPr>
                <w:b/>
                <w:bCs/>
                <w:color w:val="000000"/>
              </w:rPr>
              <w:t>Komua e  HANI I ELEZIT</w:t>
            </w:r>
          </w:p>
        </w:tc>
        <w:tc>
          <w:tcPr>
            <w:tcW w:w="1170" w:type="dxa"/>
            <w:vMerge w:val="restart"/>
            <w:shd w:val="clear" w:color="000000" w:fill="D0CECE"/>
            <w:noWrap/>
            <w:vAlign w:val="center"/>
            <w:hideMark/>
          </w:tcPr>
          <w:p w:rsidR="005B33A2" w:rsidRPr="00EA3DE6" w:rsidRDefault="005B33A2" w:rsidP="001141FA">
            <w:pPr>
              <w:spacing w:before="240" w:after="0" w:line="240" w:lineRule="auto"/>
              <w:contextualSpacing/>
              <w:jc w:val="both"/>
              <w:rPr>
                <w:b/>
                <w:bCs/>
                <w:color w:val="000000"/>
              </w:rPr>
            </w:pPr>
            <w:r w:rsidRPr="00EA3DE6">
              <w:rPr>
                <w:b/>
                <w:bCs/>
                <w:color w:val="000000"/>
              </w:rPr>
              <w:t xml:space="preserve">JANAR </w:t>
            </w:r>
          </w:p>
        </w:tc>
        <w:tc>
          <w:tcPr>
            <w:tcW w:w="1440" w:type="dxa"/>
            <w:vMerge w:val="restart"/>
            <w:shd w:val="clear" w:color="000000" w:fill="D0CECE"/>
            <w:noWrap/>
            <w:vAlign w:val="center"/>
            <w:hideMark/>
          </w:tcPr>
          <w:p w:rsidR="005B33A2" w:rsidRPr="00EA3DE6" w:rsidRDefault="005B33A2" w:rsidP="001141FA">
            <w:pPr>
              <w:spacing w:before="240" w:after="0" w:line="240" w:lineRule="auto"/>
              <w:contextualSpacing/>
              <w:jc w:val="both"/>
              <w:rPr>
                <w:b/>
                <w:bCs/>
                <w:color w:val="000000"/>
              </w:rPr>
            </w:pPr>
            <w:r w:rsidRPr="00EA3DE6">
              <w:rPr>
                <w:b/>
                <w:bCs/>
                <w:color w:val="000000"/>
              </w:rPr>
              <w:t>SHKURT</w:t>
            </w:r>
          </w:p>
        </w:tc>
        <w:tc>
          <w:tcPr>
            <w:tcW w:w="1080" w:type="dxa"/>
            <w:vMerge w:val="restart"/>
            <w:shd w:val="clear" w:color="000000" w:fill="D0CECE"/>
            <w:vAlign w:val="center"/>
            <w:hideMark/>
          </w:tcPr>
          <w:p w:rsidR="005B33A2" w:rsidRPr="00EA3DE6" w:rsidRDefault="005B33A2" w:rsidP="001141FA">
            <w:pPr>
              <w:spacing w:before="240" w:after="0" w:line="240" w:lineRule="auto"/>
              <w:contextualSpacing/>
              <w:jc w:val="both"/>
              <w:rPr>
                <w:b/>
                <w:bCs/>
                <w:color w:val="000000"/>
              </w:rPr>
            </w:pPr>
            <w:r w:rsidRPr="00EA3DE6">
              <w:rPr>
                <w:b/>
                <w:bCs/>
                <w:color w:val="000000"/>
              </w:rPr>
              <w:t xml:space="preserve">MARS </w:t>
            </w:r>
          </w:p>
        </w:tc>
        <w:tc>
          <w:tcPr>
            <w:tcW w:w="1080" w:type="dxa"/>
            <w:vMerge w:val="restart"/>
            <w:shd w:val="clear" w:color="000000" w:fill="D0CECE"/>
            <w:vAlign w:val="center"/>
            <w:hideMark/>
          </w:tcPr>
          <w:p w:rsidR="005B33A2" w:rsidRPr="00EA3DE6" w:rsidRDefault="005B33A2" w:rsidP="001141FA">
            <w:pPr>
              <w:spacing w:before="240" w:after="0" w:line="240" w:lineRule="auto"/>
              <w:contextualSpacing/>
              <w:jc w:val="both"/>
              <w:rPr>
                <w:b/>
                <w:bCs/>
                <w:color w:val="000000"/>
              </w:rPr>
            </w:pPr>
            <w:r w:rsidRPr="00EA3DE6">
              <w:rPr>
                <w:b/>
                <w:bCs/>
                <w:color w:val="000000"/>
              </w:rPr>
              <w:t>PRILL</w:t>
            </w:r>
          </w:p>
        </w:tc>
        <w:tc>
          <w:tcPr>
            <w:tcW w:w="900" w:type="dxa"/>
            <w:vMerge w:val="restart"/>
            <w:shd w:val="clear" w:color="000000" w:fill="D0CECE"/>
            <w:vAlign w:val="center"/>
            <w:hideMark/>
          </w:tcPr>
          <w:p w:rsidR="005B33A2" w:rsidRPr="00EA3DE6" w:rsidRDefault="005B33A2" w:rsidP="001141FA">
            <w:pPr>
              <w:spacing w:before="240" w:after="0" w:line="240" w:lineRule="auto"/>
              <w:contextualSpacing/>
              <w:jc w:val="both"/>
              <w:rPr>
                <w:b/>
                <w:bCs/>
                <w:color w:val="000000"/>
              </w:rPr>
            </w:pPr>
            <w:r w:rsidRPr="00EA3DE6">
              <w:rPr>
                <w:b/>
                <w:bCs/>
                <w:color w:val="000000"/>
              </w:rPr>
              <w:t>MAJ</w:t>
            </w:r>
          </w:p>
        </w:tc>
        <w:tc>
          <w:tcPr>
            <w:tcW w:w="1620" w:type="dxa"/>
            <w:vMerge w:val="restart"/>
            <w:shd w:val="clear" w:color="000000" w:fill="D0CECE"/>
            <w:noWrap/>
            <w:vAlign w:val="center"/>
            <w:hideMark/>
          </w:tcPr>
          <w:p w:rsidR="005B33A2" w:rsidRPr="00EA3DE6" w:rsidRDefault="005B33A2" w:rsidP="001141FA">
            <w:pPr>
              <w:spacing w:before="240" w:after="0" w:line="240" w:lineRule="auto"/>
              <w:contextualSpacing/>
              <w:jc w:val="both"/>
              <w:rPr>
                <w:b/>
                <w:bCs/>
                <w:color w:val="000000"/>
              </w:rPr>
            </w:pPr>
            <w:r w:rsidRPr="00EA3DE6">
              <w:rPr>
                <w:b/>
                <w:bCs/>
                <w:color w:val="000000"/>
              </w:rPr>
              <w:t>QERSHOR</w:t>
            </w:r>
          </w:p>
        </w:tc>
        <w:tc>
          <w:tcPr>
            <w:tcW w:w="1260" w:type="dxa"/>
            <w:vMerge w:val="restart"/>
            <w:shd w:val="clear" w:color="000000" w:fill="D0CECE"/>
            <w:vAlign w:val="center"/>
            <w:hideMark/>
          </w:tcPr>
          <w:p w:rsidR="005B33A2" w:rsidRPr="00EA3DE6" w:rsidRDefault="005B33A2" w:rsidP="001141FA">
            <w:pPr>
              <w:spacing w:before="240" w:after="0" w:line="240" w:lineRule="auto"/>
              <w:contextualSpacing/>
              <w:jc w:val="both"/>
              <w:rPr>
                <w:b/>
                <w:bCs/>
                <w:color w:val="000000"/>
              </w:rPr>
            </w:pPr>
            <w:r w:rsidRPr="00EA3DE6">
              <w:rPr>
                <w:b/>
                <w:bCs/>
                <w:color w:val="000000"/>
              </w:rPr>
              <w:t>TOTAL</w:t>
            </w:r>
          </w:p>
        </w:tc>
      </w:tr>
      <w:tr w:rsidR="005B33A2" w:rsidRPr="00EA3DE6" w:rsidTr="001141FA">
        <w:trPr>
          <w:trHeight w:val="450"/>
        </w:trPr>
        <w:tc>
          <w:tcPr>
            <w:tcW w:w="2718" w:type="dxa"/>
            <w:vMerge/>
            <w:vAlign w:val="center"/>
            <w:hideMark/>
          </w:tcPr>
          <w:p w:rsidR="005B33A2" w:rsidRPr="00EA3DE6" w:rsidRDefault="005B33A2" w:rsidP="001141FA">
            <w:pPr>
              <w:spacing w:after="0" w:line="240" w:lineRule="auto"/>
              <w:contextualSpacing/>
              <w:rPr>
                <w:b/>
                <w:bCs/>
                <w:color w:val="000000"/>
              </w:rPr>
            </w:pPr>
          </w:p>
        </w:tc>
        <w:tc>
          <w:tcPr>
            <w:tcW w:w="1170" w:type="dxa"/>
            <w:vMerge/>
            <w:vAlign w:val="center"/>
            <w:hideMark/>
          </w:tcPr>
          <w:p w:rsidR="005B33A2" w:rsidRPr="00EA3DE6" w:rsidRDefault="005B33A2" w:rsidP="001141FA">
            <w:pPr>
              <w:spacing w:after="0" w:line="240" w:lineRule="auto"/>
              <w:contextualSpacing/>
              <w:rPr>
                <w:b/>
                <w:bCs/>
                <w:color w:val="000000"/>
              </w:rPr>
            </w:pPr>
          </w:p>
        </w:tc>
        <w:tc>
          <w:tcPr>
            <w:tcW w:w="1440" w:type="dxa"/>
            <w:vMerge/>
            <w:vAlign w:val="center"/>
            <w:hideMark/>
          </w:tcPr>
          <w:p w:rsidR="005B33A2" w:rsidRPr="00EA3DE6" w:rsidRDefault="005B33A2" w:rsidP="001141FA">
            <w:pPr>
              <w:spacing w:after="0" w:line="240" w:lineRule="auto"/>
              <w:contextualSpacing/>
              <w:rPr>
                <w:b/>
                <w:bCs/>
                <w:color w:val="000000"/>
              </w:rPr>
            </w:pPr>
          </w:p>
        </w:tc>
        <w:tc>
          <w:tcPr>
            <w:tcW w:w="1080" w:type="dxa"/>
            <w:vMerge/>
            <w:vAlign w:val="center"/>
            <w:hideMark/>
          </w:tcPr>
          <w:p w:rsidR="005B33A2" w:rsidRPr="00EA3DE6" w:rsidRDefault="005B33A2" w:rsidP="001141FA">
            <w:pPr>
              <w:spacing w:after="0" w:line="240" w:lineRule="auto"/>
              <w:contextualSpacing/>
              <w:rPr>
                <w:b/>
                <w:bCs/>
                <w:color w:val="000000"/>
              </w:rPr>
            </w:pPr>
          </w:p>
        </w:tc>
        <w:tc>
          <w:tcPr>
            <w:tcW w:w="1080" w:type="dxa"/>
            <w:vMerge/>
            <w:vAlign w:val="center"/>
            <w:hideMark/>
          </w:tcPr>
          <w:p w:rsidR="005B33A2" w:rsidRPr="00EA3DE6" w:rsidRDefault="005B33A2" w:rsidP="001141FA">
            <w:pPr>
              <w:spacing w:after="0" w:line="240" w:lineRule="auto"/>
              <w:contextualSpacing/>
              <w:rPr>
                <w:b/>
                <w:bCs/>
                <w:color w:val="000000"/>
              </w:rPr>
            </w:pPr>
          </w:p>
        </w:tc>
        <w:tc>
          <w:tcPr>
            <w:tcW w:w="900" w:type="dxa"/>
            <w:vMerge/>
            <w:vAlign w:val="center"/>
            <w:hideMark/>
          </w:tcPr>
          <w:p w:rsidR="005B33A2" w:rsidRPr="00EA3DE6" w:rsidRDefault="005B33A2" w:rsidP="001141FA">
            <w:pPr>
              <w:spacing w:after="0" w:line="240" w:lineRule="auto"/>
              <w:contextualSpacing/>
              <w:rPr>
                <w:b/>
                <w:bCs/>
                <w:color w:val="000000"/>
              </w:rPr>
            </w:pPr>
          </w:p>
        </w:tc>
        <w:tc>
          <w:tcPr>
            <w:tcW w:w="1620" w:type="dxa"/>
            <w:vMerge/>
            <w:vAlign w:val="center"/>
            <w:hideMark/>
          </w:tcPr>
          <w:p w:rsidR="005B33A2" w:rsidRPr="00EA3DE6" w:rsidRDefault="005B33A2" w:rsidP="001141FA">
            <w:pPr>
              <w:spacing w:after="0" w:line="240" w:lineRule="auto"/>
              <w:contextualSpacing/>
              <w:rPr>
                <w:b/>
                <w:bCs/>
                <w:color w:val="000000"/>
              </w:rPr>
            </w:pPr>
          </w:p>
        </w:tc>
        <w:tc>
          <w:tcPr>
            <w:tcW w:w="1260" w:type="dxa"/>
            <w:vMerge/>
            <w:vAlign w:val="center"/>
            <w:hideMark/>
          </w:tcPr>
          <w:p w:rsidR="005B33A2" w:rsidRPr="00EA3DE6" w:rsidRDefault="005B33A2" w:rsidP="001141FA">
            <w:pPr>
              <w:spacing w:after="0" w:line="240" w:lineRule="auto"/>
              <w:contextualSpacing/>
              <w:rPr>
                <w:b/>
                <w:bCs/>
                <w:color w:val="000000"/>
              </w:rPr>
            </w:pPr>
          </w:p>
        </w:tc>
      </w:tr>
      <w:tr w:rsidR="005B33A2" w:rsidRPr="00EA3DE6" w:rsidTr="001141FA">
        <w:trPr>
          <w:trHeight w:val="301"/>
        </w:trPr>
        <w:tc>
          <w:tcPr>
            <w:tcW w:w="2718" w:type="dxa"/>
            <w:hideMark/>
          </w:tcPr>
          <w:p w:rsidR="005B33A2" w:rsidRPr="00EA3DE6" w:rsidRDefault="005B33A2" w:rsidP="001141FA">
            <w:pPr>
              <w:spacing w:after="0" w:line="240" w:lineRule="auto"/>
              <w:contextualSpacing/>
              <w:rPr>
                <w:color w:val="000000"/>
              </w:rPr>
            </w:pPr>
            <w:r w:rsidRPr="00EA3DE6">
              <w:rPr>
                <w:color w:val="000000"/>
              </w:rPr>
              <w:t>Shqiptare</w:t>
            </w:r>
          </w:p>
        </w:tc>
        <w:tc>
          <w:tcPr>
            <w:tcW w:w="117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9</w:t>
            </w:r>
          </w:p>
        </w:tc>
        <w:tc>
          <w:tcPr>
            <w:tcW w:w="144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10</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17</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13</w:t>
            </w:r>
          </w:p>
        </w:tc>
        <w:tc>
          <w:tcPr>
            <w:tcW w:w="90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15</w:t>
            </w:r>
          </w:p>
        </w:tc>
        <w:tc>
          <w:tcPr>
            <w:tcW w:w="162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12</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146</w:t>
            </w:r>
          </w:p>
        </w:tc>
      </w:tr>
      <w:tr w:rsidR="005B33A2" w:rsidRPr="00EA3DE6" w:rsidTr="001141FA">
        <w:trPr>
          <w:trHeight w:val="301"/>
        </w:trPr>
        <w:tc>
          <w:tcPr>
            <w:tcW w:w="2718" w:type="dxa"/>
            <w:hideMark/>
          </w:tcPr>
          <w:p w:rsidR="005B33A2" w:rsidRPr="00EA3DE6" w:rsidRDefault="005B33A2" w:rsidP="001141FA">
            <w:pPr>
              <w:spacing w:after="0" w:line="240" w:lineRule="auto"/>
              <w:contextualSpacing/>
              <w:rPr>
                <w:color w:val="000000"/>
              </w:rPr>
            </w:pPr>
            <w:r w:rsidRPr="00EA3DE6">
              <w:rPr>
                <w:color w:val="000000"/>
              </w:rPr>
              <w:t>Rom</w:t>
            </w:r>
          </w:p>
        </w:tc>
        <w:tc>
          <w:tcPr>
            <w:tcW w:w="117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440" w:type="dxa"/>
            <w:vAlign w:val="center"/>
            <w:hideMark/>
          </w:tcPr>
          <w:p w:rsidR="005B33A2" w:rsidRPr="00EA3DE6" w:rsidRDefault="005B33A2" w:rsidP="001141FA">
            <w:pPr>
              <w:spacing w:after="0" w:line="240" w:lineRule="auto"/>
              <w:ind w:left="-198" w:firstLine="180"/>
              <w:contextualSpacing/>
              <w:jc w:val="center"/>
              <w:rPr>
                <w:color w:val="000000"/>
              </w:rPr>
            </w:pPr>
            <w:r w:rsidRPr="00EA3DE6">
              <w:rPr>
                <w:color w:val="000000"/>
              </w:rPr>
              <w:t> </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90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62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r>
      <w:tr w:rsidR="005B33A2" w:rsidRPr="00EA3DE6" w:rsidTr="001141FA">
        <w:trPr>
          <w:trHeight w:val="301"/>
        </w:trPr>
        <w:tc>
          <w:tcPr>
            <w:tcW w:w="2718" w:type="dxa"/>
            <w:hideMark/>
          </w:tcPr>
          <w:p w:rsidR="005B33A2" w:rsidRPr="00EA3DE6" w:rsidRDefault="005B33A2" w:rsidP="001141FA">
            <w:pPr>
              <w:spacing w:after="0" w:line="240" w:lineRule="auto"/>
              <w:contextualSpacing/>
              <w:rPr>
                <w:color w:val="000000"/>
              </w:rPr>
            </w:pPr>
            <w:r w:rsidRPr="00EA3DE6">
              <w:rPr>
                <w:color w:val="000000"/>
              </w:rPr>
              <w:t>Ashkali</w:t>
            </w:r>
          </w:p>
        </w:tc>
        <w:tc>
          <w:tcPr>
            <w:tcW w:w="117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44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90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62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r>
      <w:tr w:rsidR="005B33A2" w:rsidRPr="00EA3DE6" w:rsidTr="001141FA">
        <w:trPr>
          <w:trHeight w:val="301"/>
        </w:trPr>
        <w:tc>
          <w:tcPr>
            <w:tcW w:w="2718" w:type="dxa"/>
            <w:hideMark/>
          </w:tcPr>
          <w:p w:rsidR="005B33A2" w:rsidRPr="00EA3DE6" w:rsidRDefault="005B33A2" w:rsidP="001141FA">
            <w:pPr>
              <w:spacing w:after="0" w:line="240" w:lineRule="auto"/>
              <w:contextualSpacing/>
              <w:rPr>
                <w:color w:val="000000"/>
              </w:rPr>
            </w:pPr>
            <w:r w:rsidRPr="00EA3DE6">
              <w:rPr>
                <w:color w:val="000000"/>
              </w:rPr>
              <w:t>Egjiptian</w:t>
            </w:r>
          </w:p>
        </w:tc>
        <w:tc>
          <w:tcPr>
            <w:tcW w:w="117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44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90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62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r>
      <w:tr w:rsidR="005B33A2" w:rsidRPr="00EA3DE6" w:rsidTr="001141FA">
        <w:trPr>
          <w:trHeight w:val="301"/>
        </w:trPr>
        <w:tc>
          <w:tcPr>
            <w:tcW w:w="2718" w:type="dxa"/>
            <w:hideMark/>
          </w:tcPr>
          <w:p w:rsidR="005B33A2" w:rsidRPr="00EA3DE6" w:rsidRDefault="005B33A2" w:rsidP="001141FA">
            <w:pPr>
              <w:spacing w:after="0" w:line="240" w:lineRule="auto"/>
              <w:contextualSpacing/>
              <w:rPr>
                <w:color w:val="000000"/>
              </w:rPr>
            </w:pPr>
            <w:r w:rsidRPr="00EA3DE6">
              <w:rPr>
                <w:color w:val="000000"/>
              </w:rPr>
              <w:t>Te tjere</w:t>
            </w:r>
          </w:p>
        </w:tc>
        <w:tc>
          <w:tcPr>
            <w:tcW w:w="117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44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90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62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 </w:t>
            </w:r>
          </w:p>
        </w:tc>
      </w:tr>
      <w:tr w:rsidR="005B33A2" w:rsidRPr="00EA3DE6" w:rsidTr="001141FA">
        <w:trPr>
          <w:trHeight w:val="305"/>
        </w:trPr>
        <w:tc>
          <w:tcPr>
            <w:tcW w:w="2718" w:type="dxa"/>
            <w:hideMark/>
          </w:tcPr>
          <w:p w:rsidR="005B33A2" w:rsidRPr="00EA3DE6" w:rsidRDefault="005B33A2" w:rsidP="001141FA">
            <w:pPr>
              <w:spacing w:after="0" w:line="240" w:lineRule="auto"/>
              <w:contextualSpacing/>
              <w:rPr>
                <w:b/>
                <w:bCs/>
                <w:color w:val="000000"/>
              </w:rPr>
            </w:pPr>
            <w:r w:rsidRPr="00EA3DE6">
              <w:rPr>
                <w:b/>
                <w:bCs/>
                <w:color w:val="000000"/>
              </w:rPr>
              <w:t>Numri total i perfituesve</w:t>
            </w:r>
          </w:p>
        </w:tc>
        <w:tc>
          <w:tcPr>
            <w:tcW w:w="117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9</w:t>
            </w:r>
          </w:p>
        </w:tc>
        <w:tc>
          <w:tcPr>
            <w:tcW w:w="144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10</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17</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13</w:t>
            </w:r>
          </w:p>
        </w:tc>
        <w:tc>
          <w:tcPr>
            <w:tcW w:w="90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15</w:t>
            </w:r>
          </w:p>
        </w:tc>
        <w:tc>
          <w:tcPr>
            <w:tcW w:w="162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12</w:t>
            </w:r>
          </w:p>
        </w:tc>
        <w:tc>
          <w:tcPr>
            <w:tcW w:w="126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146</w:t>
            </w:r>
          </w:p>
        </w:tc>
      </w:tr>
      <w:tr w:rsidR="005B33A2" w:rsidRPr="00EA3DE6" w:rsidTr="001141FA">
        <w:trPr>
          <w:trHeight w:val="301"/>
        </w:trPr>
        <w:tc>
          <w:tcPr>
            <w:tcW w:w="2718" w:type="dxa"/>
            <w:hideMark/>
          </w:tcPr>
          <w:p w:rsidR="005B33A2" w:rsidRPr="00EA3DE6" w:rsidRDefault="005B33A2" w:rsidP="001141FA">
            <w:pPr>
              <w:spacing w:after="0" w:line="240" w:lineRule="auto"/>
              <w:contextualSpacing/>
              <w:rPr>
                <w:color w:val="000000"/>
              </w:rPr>
            </w:pPr>
            <w:r w:rsidRPr="00EA3DE6">
              <w:rPr>
                <w:color w:val="000000"/>
              </w:rPr>
              <w:t>Numri i vajzave</w:t>
            </w:r>
          </w:p>
        </w:tc>
        <w:tc>
          <w:tcPr>
            <w:tcW w:w="117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8</w:t>
            </w:r>
          </w:p>
        </w:tc>
        <w:tc>
          <w:tcPr>
            <w:tcW w:w="144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9</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16</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12</w:t>
            </w:r>
          </w:p>
        </w:tc>
        <w:tc>
          <w:tcPr>
            <w:tcW w:w="90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13</w:t>
            </w:r>
          </w:p>
        </w:tc>
        <w:tc>
          <w:tcPr>
            <w:tcW w:w="162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12</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134</w:t>
            </w:r>
          </w:p>
        </w:tc>
      </w:tr>
      <w:tr w:rsidR="005B33A2" w:rsidRPr="00EA3DE6" w:rsidTr="001141FA">
        <w:trPr>
          <w:trHeight w:val="301"/>
        </w:trPr>
        <w:tc>
          <w:tcPr>
            <w:tcW w:w="2718" w:type="dxa"/>
            <w:hideMark/>
          </w:tcPr>
          <w:p w:rsidR="005B33A2" w:rsidRPr="00EA3DE6" w:rsidRDefault="005B33A2" w:rsidP="001141FA">
            <w:pPr>
              <w:spacing w:after="0" w:line="240" w:lineRule="auto"/>
              <w:contextualSpacing/>
              <w:rPr>
                <w:color w:val="000000"/>
              </w:rPr>
            </w:pPr>
            <w:r w:rsidRPr="00EA3DE6">
              <w:rPr>
                <w:color w:val="000000"/>
              </w:rPr>
              <w:t>Numri i çifteve</w:t>
            </w:r>
          </w:p>
        </w:tc>
        <w:tc>
          <w:tcPr>
            <w:tcW w:w="117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1</w:t>
            </w:r>
          </w:p>
        </w:tc>
        <w:tc>
          <w:tcPr>
            <w:tcW w:w="144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w:t>
            </w:r>
          </w:p>
        </w:tc>
        <w:tc>
          <w:tcPr>
            <w:tcW w:w="108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1</w:t>
            </w:r>
          </w:p>
        </w:tc>
        <w:tc>
          <w:tcPr>
            <w:tcW w:w="90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2</w:t>
            </w:r>
          </w:p>
        </w:tc>
        <w:tc>
          <w:tcPr>
            <w:tcW w:w="1620" w:type="dxa"/>
            <w:vAlign w:val="center"/>
            <w:hideMark/>
          </w:tcPr>
          <w:p w:rsidR="005B33A2" w:rsidRPr="00EA3DE6" w:rsidRDefault="005B33A2" w:rsidP="001141FA">
            <w:pPr>
              <w:spacing w:after="0" w:line="240" w:lineRule="auto"/>
              <w:contextualSpacing/>
              <w:jc w:val="center"/>
              <w:rPr>
                <w:color w:val="000000"/>
              </w:rPr>
            </w:pPr>
            <w:r w:rsidRPr="00EA3DE6">
              <w:rPr>
                <w:color w:val="000000"/>
              </w:rPr>
              <w:t>0</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14</w:t>
            </w:r>
          </w:p>
        </w:tc>
      </w:tr>
      <w:tr w:rsidR="005B33A2" w:rsidRPr="00EA3DE6" w:rsidTr="001141FA">
        <w:trPr>
          <w:trHeight w:val="269"/>
        </w:trPr>
        <w:tc>
          <w:tcPr>
            <w:tcW w:w="2718" w:type="dxa"/>
            <w:hideMark/>
          </w:tcPr>
          <w:p w:rsidR="005B33A2" w:rsidRPr="00EA3DE6" w:rsidRDefault="005B33A2" w:rsidP="001141FA">
            <w:pPr>
              <w:spacing w:after="0" w:line="240" w:lineRule="auto"/>
              <w:contextualSpacing/>
              <w:rPr>
                <w:color w:val="000000"/>
              </w:rPr>
            </w:pPr>
            <w:r w:rsidRPr="00EA3DE6">
              <w:rPr>
                <w:color w:val="000000"/>
              </w:rPr>
              <w:t>Numri i grave shtatzena</w:t>
            </w:r>
          </w:p>
        </w:tc>
        <w:tc>
          <w:tcPr>
            <w:tcW w:w="117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4</w:t>
            </w:r>
          </w:p>
        </w:tc>
        <w:tc>
          <w:tcPr>
            <w:tcW w:w="144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6</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9</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7</w:t>
            </w:r>
          </w:p>
        </w:tc>
        <w:tc>
          <w:tcPr>
            <w:tcW w:w="90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9</w:t>
            </w:r>
          </w:p>
        </w:tc>
        <w:tc>
          <w:tcPr>
            <w:tcW w:w="162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8</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79</w:t>
            </w:r>
          </w:p>
        </w:tc>
      </w:tr>
      <w:tr w:rsidR="005B33A2" w:rsidRPr="00EA3DE6" w:rsidTr="001141FA">
        <w:trPr>
          <w:trHeight w:val="301"/>
        </w:trPr>
        <w:tc>
          <w:tcPr>
            <w:tcW w:w="2718" w:type="dxa"/>
            <w:hideMark/>
          </w:tcPr>
          <w:p w:rsidR="005B33A2" w:rsidRPr="00EA3DE6" w:rsidRDefault="005B33A2" w:rsidP="001141FA">
            <w:pPr>
              <w:spacing w:after="0" w:line="240" w:lineRule="auto"/>
              <w:contextualSpacing/>
              <w:rPr>
                <w:color w:val="000000"/>
              </w:rPr>
            </w:pPr>
            <w:r w:rsidRPr="00EA3DE6">
              <w:rPr>
                <w:color w:val="000000"/>
              </w:rPr>
              <w:t>Numri i lehonave</w:t>
            </w:r>
          </w:p>
        </w:tc>
        <w:tc>
          <w:tcPr>
            <w:tcW w:w="117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1</w:t>
            </w:r>
          </w:p>
        </w:tc>
        <w:tc>
          <w:tcPr>
            <w:tcW w:w="144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3</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4</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3</w:t>
            </w:r>
          </w:p>
        </w:tc>
        <w:tc>
          <w:tcPr>
            <w:tcW w:w="90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4</w:t>
            </w:r>
          </w:p>
        </w:tc>
        <w:tc>
          <w:tcPr>
            <w:tcW w:w="162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4</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32</w:t>
            </w:r>
          </w:p>
        </w:tc>
      </w:tr>
      <w:tr w:rsidR="005B33A2" w:rsidRPr="00EA3DE6" w:rsidTr="001141FA">
        <w:trPr>
          <w:trHeight w:val="314"/>
        </w:trPr>
        <w:tc>
          <w:tcPr>
            <w:tcW w:w="2718" w:type="dxa"/>
            <w:hideMark/>
          </w:tcPr>
          <w:p w:rsidR="005B33A2" w:rsidRPr="00EA3DE6" w:rsidRDefault="005B33A2" w:rsidP="001141FA">
            <w:pPr>
              <w:spacing w:after="0" w:line="240" w:lineRule="auto"/>
              <w:contextualSpacing/>
              <w:rPr>
                <w:color w:val="000000"/>
              </w:rPr>
            </w:pPr>
            <w:r w:rsidRPr="00EA3DE6">
              <w:rPr>
                <w:color w:val="000000"/>
              </w:rPr>
              <w:t>Vizitë më shumë se 2 herë</w:t>
            </w:r>
          </w:p>
        </w:tc>
        <w:tc>
          <w:tcPr>
            <w:tcW w:w="117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3</w:t>
            </w:r>
          </w:p>
        </w:tc>
        <w:tc>
          <w:tcPr>
            <w:tcW w:w="144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5</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8</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4</w:t>
            </w:r>
          </w:p>
        </w:tc>
        <w:tc>
          <w:tcPr>
            <w:tcW w:w="90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9</w:t>
            </w:r>
          </w:p>
        </w:tc>
        <w:tc>
          <w:tcPr>
            <w:tcW w:w="162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7</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64</w:t>
            </w:r>
          </w:p>
        </w:tc>
      </w:tr>
      <w:tr w:rsidR="005B33A2" w:rsidRPr="00EA3DE6" w:rsidTr="001141FA">
        <w:trPr>
          <w:trHeight w:val="301"/>
        </w:trPr>
        <w:tc>
          <w:tcPr>
            <w:tcW w:w="2718" w:type="dxa"/>
            <w:hideMark/>
          </w:tcPr>
          <w:p w:rsidR="005B33A2" w:rsidRPr="00EA3DE6" w:rsidRDefault="005B33A2" w:rsidP="001141FA">
            <w:pPr>
              <w:spacing w:after="0" w:line="240" w:lineRule="auto"/>
              <w:contextualSpacing/>
              <w:rPr>
                <w:color w:val="000000"/>
              </w:rPr>
            </w:pPr>
            <w:r w:rsidRPr="00EA3DE6">
              <w:rPr>
                <w:color w:val="000000"/>
              </w:rPr>
              <w:t>Mosha (&lt;18)</w:t>
            </w:r>
          </w:p>
        </w:tc>
        <w:tc>
          <w:tcPr>
            <w:tcW w:w="117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0</w:t>
            </w:r>
          </w:p>
        </w:tc>
        <w:tc>
          <w:tcPr>
            <w:tcW w:w="144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0</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0</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0</w:t>
            </w:r>
          </w:p>
        </w:tc>
        <w:tc>
          <w:tcPr>
            <w:tcW w:w="90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0</w:t>
            </w:r>
          </w:p>
        </w:tc>
        <w:tc>
          <w:tcPr>
            <w:tcW w:w="162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0</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0</w:t>
            </w:r>
          </w:p>
        </w:tc>
      </w:tr>
      <w:tr w:rsidR="005B33A2" w:rsidRPr="00EA3DE6" w:rsidTr="001141FA">
        <w:trPr>
          <w:trHeight w:val="301"/>
        </w:trPr>
        <w:tc>
          <w:tcPr>
            <w:tcW w:w="2718" w:type="dxa"/>
            <w:hideMark/>
          </w:tcPr>
          <w:p w:rsidR="005B33A2" w:rsidRPr="00EA3DE6" w:rsidRDefault="005B33A2" w:rsidP="001141FA">
            <w:pPr>
              <w:spacing w:after="0" w:line="240" w:lineRule="auto"/>
              <w:contextualSpacing/>
              <w:rPr>
                <w:color w:val="000000"/>
              </w:rPr>
            </w:pPr>
            <w:r w:rsidRPr="00EA3DE6">
              <w:rPr>
                <w:color w:val="000000"/>
              </w:rPr>
              <w:t>Mosha prej 18 deri 30</w:t>
            </w:r>
          </w:p>
        </w:tc>
        <w:tc>
          <w:tcPr>
            <w:tcW w:w="117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5</w:t>
            </w:r>
          </w:p>
        </w:tc>
        <w:tc>
          <w:tcPr>
            <w:tcW w:w="144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5</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9</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7</w:t>
            </w:r>
          </w:p>
        </w:tc>
        <w:tc>
          <w:tcPr>
            <w:tcW w:w="90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7</w:t>
            </w:r>
          </w:p>
        </w:tc>
        <w:tc>
          <w:tcPr>
            <w:tcW w:w="162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8</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75</w:t>
            </w:r>
          </w:p>
        </w:tc>
      </w:tr>
      <w:tr w:rsidR="005B33A2" w:rsidRPr="00EA3DE6" w:rsidTr="001141FA">
        <w:trPr>
          <w:trHeight w:val="301"/>
        </w:trPr>
        <w:tc>
          <w:tcPr>
            <w:tcW w:w="2718" w:type="dxa"/>
            <w:hideMark/>
          </w:tcPr>
          <w:p w:rsidR="005B33A2" w:rsidRPr="00EA3DE6" w:rsidRDefault="005B33A2" w:rsidP="001141FA">
            <w:pPr>
              <w:spacing w:after="0" w:line="240" w:lineRule="auto"/>
              <w:contextualSpacing/>
              <w:rPr>
                <w:color w:val="000000"/>
              </w:rPr>
            </w:pPr>
            <w:r w:rsidRPr="00EA3DE6">
              <w:rPr>
                <w:color w:val="000000"/>
              </w:rPr>
              <w:t xml:space="preserve">Mosha prej 31 deri 40 </w:t>
            </w:r>
          </w:p>
        </w:tc>
        <w:tc>
          <w:tcPr>
            <w:tcW w:w="117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3</w:t>
            </w:r>
          </w:p>
        </w:tc>
        <w:tc>
          <w:tcPr>
            <w:tcW w:w="144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6</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7</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5</w:t>
            </w:r>
          </w:p>
        </w:tc>
        <w:tc>
          <w:tcPr>
            <w:tcW w:w="90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6</w:t>
            </w:r>
          </w:p>
        </w:tc>
        <w:tc>
          <w:tcPr>
            <w:tcW w:w="162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4</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55</w:t>
            </w:r>
          </w:p>
        </w:tc>
      </w:tr>
      <w:tr w:rsidR="005B33A2" w:rsidRPr="00EA3DE6" w:rsidTr="001141FA">
        <w:trPr>
          <w:trHeight w:val="301"/>
        </w:trPr>
        <w:tc>
          <w:tcPr>
            <w:tcW w:w="2718" w:type="dxa"/>
            <w:hideMark/>
          </w:tcPr>
          <w:p w:rsidR="005B33A2" w:rsidRPr="00EA3DE6" w:rsidRDefault="005B33A2" w:rsidP="001141FA">
            <w:pPr>
              <w:spacing w:after="0" w:line="240" w:lineRule="auto"/>
              <w:contextualSpacing/>
              <w:rPr>
                <w:color w:val="000000"/>
              </w:rPr>
            </w:pPr>
            <w:r w:rsidRPr="00EA3DE6">
              <w:rPr>
                <w:color w:val="000000"/>
              </w:rPr>
              <w:t xml:space="preserve">Mosha mbi 41 </w:t>
            </w:r>
          </w:p>
        </w:tc>
        <w:tc>
          <w:tcPr>
            <w:tcW w:w="117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0</w:t>
            </w:r>
          </w:p>
        </w:tc>
        <w:tc>
          <w:tcPr>
            <w:tcW w:w="144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3</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0</w:t>
            </w:r>
          </w:p>
        </w:tc>
        <w:tc>
          <w:tcPr>
            <w:tcW w:w="108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0</w:t>
            </w:r>
          </w:p>
        </w:tc>
        <w:tc>
          <w:tcPr>
            <w:tcW w:w="90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0</w:t>
            </w:r>
          </w:p>
        </w:tc>
        <w:tc>
          <w:tcPr>
            <w:tcW w:w="162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0</w:t>
            </w:r>
          </w:p>
        </w:tc>
        <w:tc>
          <w:tcPr>
            <w:tcW w:w="1260" w:type="dxa"/>
            <w:noWrap/>
            <w:vAlign w:val="center"/>
            <w:hideMark/>
          </w:tcPr>
          <w:p w:rsidR="005B33A2" w:rsidRPr="00EA3DE6" w:rsidRDefault="005B33A2" w:rsidP="001141FA">
            <w:pPr>
              <w:spacing w:after="0" w:line="240" w:lineRule="auto"/>
              <w:contextualSpacing/>
              <w:jc w:val="center"/>
              <w:rPr>
                <w:color w:val="000000"/>
              </w:rPr>
            </w:pPr>
            <w:r w:rsidRPr="00EA3DE6">
              <w:rPr>
                <w:color w:val="000000"/>
              </w:rPr>
              <w:t>5</w:t>
            </w:r>
          </w:p>
        </w:tc>
      </w:tr>
    </w:tbl>
    <w:p w:rsidR="000765D8" w:rsidRPr="000765D8" w:rsidRDefault="000765D8" w:rsidP="000765D8"/>
    <w:p w:rsidR="000765D8" w:rsidRPr="000765D8" w:rsidRDefault="000765D8" w:rsidP="000765D8"/>
    <w:p w:rsidR="000765D8" w:rsidRPr="000765D8" w:rsidRDefault="000765D8" w:rsidP="000765D8">
      <w:pPr>
        <w:spacing w:before="100" w:beforeAutospacing="1" w:after="100" w:afterAutospacing="1" w:line="240" w:lineRule="auto"/>
        <w:outlineLvl w:val="2"/>
        <w:rPr>
          <w:rFonts w:ascii="Times New Roman" w:eastAsia="Times New Roman" w:hAnsi="Times New Roman" w:cs="Times New Roman"/>
          <w:b/>
          <w:bCs/>
          <w:sz w:val="27"/>
          <w:szCs w:val="27"/>
        </w:rPr>
      </w:pPr>
      <w:r w:rsidRPr="000765D8">
        <w:rPr>
          <w:rFonts w:ascii="Times New Roman" w:eastAsia="Times New Roman" w:hAnsi="Times New Roman" w:cs="Times New Roman"/>
          <w:b/>
          <w:bCs/>
          <w:sz w:val="27"/>
          <w:szCs w:val="27"/>
        </w:rPr>
        <w:t>Sektori i Diagnostikës</w:t>
      </w:r>
    </w:p>
    <w:p w:rsidR="000765D8" w:rsidRPr="000765D8" w:rsidRDefault="000765D8" w:rsidP="000765D8">
      <w:pPr>
        <w:spacing w:before="100" w:beforeAutospacing="1" w:after="100" w:afterAutospacing="1"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Në periudhën e analizuar, janë siguruar materialet e nevojshme për ofrimin e shërbimeve laboratorike dhe rentgenologjike, duke përfshirë analizat kuantitative dhe cilësore. Reagjentët për analizat laboratorike që ishin mungesë në listën e barnave esenciale, si dhe disa medikamente dhe materiale shpenzuese, janë siguruar nga buxheti komunal. Aparati i rentgenit është tani funksional dhe ofron shërbime të plota.</w:t>
      </w:r>
    </w:p>
    <w:p w:rsidR="000765D8" w:rsidRPr="000765D8" w:rsidRDefault="000765D8" w:rsidP="000765D8">
      <w:pPr>
        <w:spacing w:before="100" w:beforeAutospacing="1" w:after="100" w:afterAutospacing="1"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Të dhënat për analizat laboratorike dhe RTG: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754"/>
        <w:gridCol w:w="1754"/>
        <w:gridCol w:w="1141"/>
        <w:gridCol w:w="1156"/>
      </w:tblGrid>
      <w:tr w:rsidR="000765D8" w:rsidRPr="000765D8" w:rsidTr="000765D8">
        <w:trPr>
          <w:tblHeader/>
          <w:tblCellSpacing w:w="15" w:type="dxa"/>
        </w:trPr>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Muaji</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Laboratori 2024</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Laboratori 2025</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RTG 2024</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RTG 2025</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Janar</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798</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478</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31</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50</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Shkurt</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415</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347</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79</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51</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Mars</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311</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194</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65</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47</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Prill</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394</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244</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118</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52</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Maj</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459</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323</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88</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52</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Qershor</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354</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309</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32</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25</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Totali</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2731</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1895</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413</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277</w:t>
            </w:r>
          </w:p>
        </w:tc>
      </w:tr>
    </w:tbl>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7"/>
          <w:szCs w:val="27"/>
        </w:rPr>
        <w:t>Sektori i Stomatologjisë</w:t>
      </w:r>
    </w:p>
    <w:p w:rsidR="000765D8" w:rsidRPr="000765D8" w:rsidRDefault="000765D8" w:rsidP="000765D8">
      <w:pPr>
        <w:spacing w:before="100" w:beforeAutospacing="1" w:after="100" w:afterAutospacing="1"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Materialet e nevojshme për sektorin e Stomatologjisë janë siguruar, duke ofruar shërbime sasiore dhe cilësore për pacientët.</w:t>
      </w:r>
    </w:p>
    <w:p w:rsidR="000765D8" w:rsidRPr="000765D8" w:rsidRDefault="000765D8" w:rsidP="000765D8">
      <w:pPr>
        <w:spacing w:before="100" w:beforeAutospacing="1" w:after="100" w:afterAutospacing="1"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Shërbimet në sektorin e stomatologjisë:</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007"/>
        <w:gridCol w:w="1022"/>
      </w:tblGrid>
      <w:tr w:rsidR="000765D8" w:rsidRPr="000765D8" w:rsidTr="000765D8">
        <w:trPr>
          <w:tblHeader/>
          <w:tblCellSpacing w:w="15" w:type="dxa"/>
        </w:trPr>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Muaji</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Viti 2024</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Viti 2025</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Janar</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0</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69</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Shkurt</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0</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112</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Mars</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21</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54</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Prill</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87</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89</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Maj</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137</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99</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Qershor</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98</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58</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Totali</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343</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481</w:t>
            </w:r>
          </w:p>
        </w:tc>
      </w:tr>
    </w:tbl>
    <w:p w:rsidR="000765D8" w:rsidRDefault="000765D8" w:rsidP="000765D8">
      <w:pPr>
        <w:spacing w:after="0" w:line="240" w:lineRule="auto"/>
        <w:rPr>
          <w:rFonts w:ascii="Times New Roman" w:eastAsia="Times New Roman" w:hAnsi="Times New Roman" w:cs="Times New Roman"/>
          <w:sz w:val="24"/>
          <w:szCs w:val="24"/>
        </w:rPr>
      </w:pPr>
    </w:p>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7"/>
          <w:szCs w:val="27"/>
        </w:rPr>
        <w:t>Sektori i Emergjencës</w:t>
      </w:r>
    </w:p>
    <w:p w:rsidR="000765D8" w:rsidRPr="000765D8" w:rsidRDefault="000765D8" w:rsidP="000765D8">
      <w:pPr>
        <w:spacing w:before="100" w:beforeAutospacing="1" w:after="100" w:afterAutospacing="1"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Ky sektor ka ofruar shërbime 24/7, përfshirë menaxhimin e rasteve emergjente dhe ofrimin e shërbimeve edhe jashtë QKMF-së. Materialet dhe medikamentet për emergjencat janë furnizuar rregullisht, duke përfshirë shiringa, gjilpëra dhe materiale për fashim.</w:t>
      </w:r>
    </w:p>
    <w:p w:rsidR="000765D8" w:rsidRPr="000765D8" w:rsidRDefault="000765D8" w:rsidP="000765D8">
      <w:pPr>
        <w:spacing w:before="100" w:beforeAutospacing="1" w:after="100" w:afterAutospacing="1"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Të dhënat për emergjencat dhe vizitat shtëpiake: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856"/>
        <w:gridCol w:w="1856"/>
        <w:gridCol w:w="2377"/>
        <w:gridCol w:w="2392"/>
      </w:tblGrid>
      <w:tr w:rsidR="000765D8" w:rsidRPr="000765D8" w:rsidTr="00B37C74">
        <w:trPr>
          <w:tblHeader/>
          <w:tblCellSpacing w:w="15" w:type="dxa"/>
        </w:trPr>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Muaji</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Emergjenca 2024</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Emergjenca 2025</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Vizitat Shtëpiake 2024</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Vizitat Shtëpiake 2025</w:t>
            </w:r>
          </w:p>
        </w:tc>
      </w:tr>
      <w:tr w:rsidR="000765D8" w:rsidRPr="000765D8" w:rsidTr="00B37C74">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Janar</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1425</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2892</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175</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186</w:t>
            </w:r>
          </w:p>
        </w:tc>
      </w:tr>
      <w:tr w:rsidR="000765D8" w:rsidRPr="000765D8" w:rsidTr="00B37C74">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Shkurt</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1115</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1876</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202</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105</w:t>
            </w:r>
          </w:p>
        </w:tc>
      </w:tr>
      <w:tr w:rsidR="000765D8" w:rsidRPr="000765D8" w:rsidTr="00B37C74">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Mars</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1050</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1531</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142</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66</w:t>
            </w:r>
          </w:p>
        </w:tc>
      </w:tr>
      <w:tr w:rsidR="000765D8" w:rsidRPr="000765D8" w:rsidTr="00B37C74">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Prill</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1359</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1881</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202</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182</w:t>
            </w:r>
          </w:p>
        </w:tc>
      </w:tr>
      <w:tr w:rsidR="000765D8" w:rsidRPr="000765D8" w:rsidTr="00B37C74">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Maj</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981</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1362</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128</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145</w:t>
            </w:r>
          </w:p>
        </w:tc>
      </w:tr>
      <w:tr w:rsidR="000765D8" w:rsidRPr="000765D8" w:rsidTr="00B37C74">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Qershor</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1358</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1191</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176</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121</w:t>
            </w:r>
          </w:p>
        </w:tc>
      </w:tr>
      <w:tr w:rsidR="000765D8" w:rsidRPr="000765D8" w:rsidTr="00B37C74">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Totali</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7288</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10733</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1025</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805</w:t>
            </w:r>
          </w:p>
        </w:tc>
      </w:tr>
    </w:tbl>
    <w:p w:rsidR="00B37C74" w:rsidRDefault="00B37C74" w:rsidP="00B37C74">
      <w:pPr>
        <w:spacing w:after="0" w:line="240" w:lineRule="auto"/>
        <w:rPr>
          <w:rFonts w:ascii="Times New Roman" w:eastAsia="Times New Roman" w:hAnsi="Times New Roman" w:cs="Times New Roman"/>
          <w:sz w:val="24"/>
          <w:szCs w:val="24"/>
        </w:rPr>
      </w:pPr>
    </w:p>
    <w:p w:rsidR="000765D8" w:rsidRPr="00B37C74" w:rsidRDefault="000765D8" w:rsidP="00B37C74">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7"/>
          <w:szCs w:val="27"/>
        </w:rPr>
        <w:t>Shërbimet në Ambulancën e Mjekësisë Familjare në Gorancë</w:t>
      </w:r>
    </w:p>
    <w:p w:rsidR="000765D8" w:rsidRPr="000765D8" w:rsidRDefault="000765D8" w:rsidP="000765D8">
      <w:pPr>
        <w:spacing w:before="100" w:beforeAutospacing="1" w:after="100" w:afterAutospacing="1"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Ambulanca e Mjekësisë Familjare në Gorancë ofron shërbime dy herë gjatë javës, të martën dhe të enjten, nga ora 08:00-12:00. Ekipa përbëhet nga një mjek dhe një infermier i QKMF-së.</w:t>
      </w:r>
    </w:p>
    <w:p w:rsidR="00B37C74" w:rsidRDefault="00B37C74" w:rsidP="000765D8">
      <w:pPr>
        <w:spacing w:before="100" w:beforeAutospacing="1" w:after="100" w:afterAutospacing="1" w:line="240" w:lineRule="auto"/>
        <w:rPr>
          <w:rFonts w:ascii="Times New Roman" w:eastAsia="Times New Roman" w:hAnsi="Times New Roman" w:cs="Times New Roman"/>
          <w:b/>
          <w:bCs/>
          <w:sz w:val="24"/>
          <w:szCs w:val="24"/>
        </w:rPr>
      </w:pPr>
    </w:p>
    <w:p w:rsidR="000765D8" w:rsidRPr="000765D8" w:rsidRDefault="000765D8" w:rsidP="000765D8">
      <w:pPr>
        <w:spacing w:before="100" w:beforeAutospacing="1" w:after="100" w:afterAutospacing="1"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Të dhënat për kontrollet dhe vizitat në AMF Gorancë:</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958"/>
        <w:gridCol w:w="958"/>
        <w:gridCol w:w="801"/>
        <w:gridCol w:w="1034"/>
        <w:gridCol w:w="939"/>
        <w:gridCol w:w="976"/>
        <w:gridCol w:w="1004"/>
        <w:gridCol w:w="1257"/>
      </w:tblGrid>
      <w:tr w:rsidR="000765D8" w:rsidRPr="00EA3DE6" w:rsidTr="00B37C74">
        <w:trPr>
          <w:jc w:val="center"/>
        </w:trPr>
        <w:tc>
          <w:tcPr>
            <w:tcW w:w="1635" w:type="dxa"/>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jc w:val="center"/>
              <w:rPr>
                <w:b/>
              </w:rPr>
            </w:pPr>
            <w:r w:rsidRPr="00EA3DE6">
              <w:rPr>
                <w:b/>
              </w:rPr>
              <w:t>Muajt</w:t>
            </w: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rPr>
                <w:b/>
              </w:rPr>
            </w:pPr>
            <w:r>
              <w:rPr>
                <w:b/>
              </w:rPr>
              <w:t xml:space="preserve">      </w:t>
            </w:r>
            <w:r w:rsidRPr="00EA3DE6">
              <w:rPr>
                <w:b/>
              </w:rPr>
              <w:t xml:space="preserve">Kontrollet </w:t>
            </w:r>
            <w:r>
              <w:rPr>
                <w:b/>
              </w:rPr>
              <w:t xml:space="preserve"> </w:t>
            </w:r>
          </w:p>
          <w:p w:rsidR="000765D8" w:rsidRPr="00EA3DE6" w:rsidRDefault="000765D8" w:rsidP="000765D8">
            <w:pPr>
              <w:spacing w:after="0" w:line="240" w:lineRule="auto"/>
              <w:rPr>
                <w:b/>
              </w:rPr>
            </w:pPr>
            <w:r w:rsidRPr="00EA3DE6">
              <w:rPr>
                <w:b/>
              </w:rPr>
              <w:t xml:space="preserve">     mjekësore</w:t>
            </w:r>
          </w:p>
        </w:tc>
        <w:tc>
          <w:tcPr>
            <w:tcW w:w="1835" w:type="dxa"/>
            <w:gridSpan w:val="2"/>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jc w:val="center"/>
              <w:rPr>
                <w:b/>
              </w:rPr>
            </w:pPr>
            <w:r w:rsidRPr="00EA3DE6">
              <w:rPr>
                <w:b/>
              </w:rPr>
              <w:t>Intervenime</w:t>
            </w:r>
          </w:p>
        </w:tc>
        <w:tc>
          <w:tcPr>
            <w:tcW w:w="1915" w:type="dxa"/>
            <w:gridSpan w:val="2"/>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jc w:val="center"/>
              <w:rPr>
                <w:b/>
              </w:rPr>
            </w:pPr>
            <w:r w:rsidRPr="00EA3DE6">
              <w:rPr>
                <w:b/>
              </w:rPr>
              <w:t>Vizitat Shtëpiake</w:t>
            </w:r>
          </w:p>
        </w:tc>
        <w:tc>
          <w:tcPr>
            <w:tcW w:w="2261" w:type="dxa"/>
            <w:gridSpan w:val="2"/>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jc w:val="center"/>
              <w:rPr>
                <w:b/>
              </w:rPr>
            </w:pPr>
            <w:r w:rsidRPr="00EA3DE6">
              <w:rPr>
                <w:b/>
              </w:rPr>
              <w:t>Vizitat për Nëna dhe fëmijë</w:t>
            </w:r>
          </w:p>
        </w:tc>
      </w:tr>
      <w:tr w:rsidR="000765D8" w:rsidRPr="00EA3DE6" w:rsidTr="00B37C74">
        <w:trPr>
          <w:jc w:val="center"/>
        </w:trPr>
        <w:tc>
          <w:tcPr>
            <w:tcW w:w="1635" w:type="dxa"/>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jc w:val="center"/>
              <w:rPr>
                <w:b/>
              </w:rPr>
            </w:pPr>
            <w:r w:rsidRPr="00EA3DE6">
              <w:rPr>
                <w:b/>
              </w:rPr>
              <w:t>Viti</w:t>
            </w:r>
          </w:p>
          <w:p w:rsidR="000765D8" w:rsidRPr="00EA3DE6" w:rsidRDefault="000765D8" w:rsidP="000765D8">
            <w:pPr>
              <w:spacing w:after="0" w:line="240" w:lineRule="auto"/>
              <w:jc w:val="center"/>
              <w:rPr>
                <w:b/>
              </w:rPr>
            </w:pPr>
          </w:p>
        </w:tc>
        <w:tc>
          <w:tcPr>
            <w:tcW w:w="958" w:type="dxa"/>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jc w:val="center"/>
              <w:rPr>
                <w:b/>
              </w:rPr>
            </w:pPr>
            <w:r w:rsidRPr="00EA3DE6">
              <w:rPr>
                <w:b/>
              </w:rPr>
              <w:t>2024</w:t>
            </w:r>
          </w:p>
        </w:tc>
        <w:tc>
          <w:tcPr>
            <w:tcW w:w="958" w:type="dxa"/>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jc w:val="center"/>
              <w:rPr>
                <w:b/>
              </w:rPr>
            </w:pPr>
            <w:r w:rsidRPr="00EA3DE6">
              <w:rPr>
                <w:b/>
              </w:rPr>
              <w:t>2025</w:t>
            </w:r>
          </w:p>
        </w:tc>
        <w:tc>
          <w:tcPr>
            <w:tcW w:w="801" w:type="dxa"/>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jc w:val="center"/>
              <w:rPr>
                <w:b/>
              </w:rPr>
            </w:pPr>
            <w:r w:rsidRPr="00EA3DE6">
              <w:rPr>
                <w:b/>
              </w:rPr>
              <w:t>2024</w:t>
            </w:r>
          </w:p>
        </w:tc>
        <w:tc>
          <w:tcPr>
            <w:tcW w:w="1034" w:type="dxa"/>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jc w:val="center"/>
              <w:rPr>
                <w:b/>
              </w:rPr>
            </w:pPr>
            <w:r w:rsidRPr="00EA3DE6">
              <w:rPr>
                <w:b/>
              </w:rPr>
              <w:t>2025</w:t>
            </w:r>
          </w:p>
        </w:tc>
        <w:tc>
          <w:tcPr>
            <w:tcW w:w="939" w:type="dxa"/>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jc w:val="center"/>
              <w:rPr>
                <w:b/>
              </w:rPr>
            </w:pPr>
            <w:r w:rsidRPr="00EA3DE6">
              <w:rPr>
                <w:b/>
              </w:rPr>
              <w:t>2024</w:t>
            </w:r>
          </w:p>
        </w:tc>
        <w:tc>
          <w:tcPr>
            <w:tcW w:w="976" w:type="dxa"/>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jc w:val="center"/>
              <w:rPr>
                <w:b/>
              </w:rPr>
            </w:pPr>
            <w:r w:rsidRPr="00EA3DE6">
              <w:rPr>
                <w:b/>
              </w:rPr>
              <w:t>2025</w:t>
            </w:r>
          </w:p>
        </w:tc>
        <w:tc>
          <w:tcPr>
            <w:tcW w:w="1004" w:type="dxa"/>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jc w:val="center"/>
              <w:rPr>
                <w:b/>
              </w:rPr>
            </w:pPr>
            <w:r w:rsidRPr="00EA3DE6">
              <w:rPr>
                <w:b/>
              </w:rPr>
              <w:t>2024</w:t>
            </w:r>
          </w:p>
        </w:tc>
        <w:tc>
          <w:tcPr>
            <w:tcW w:w="1257" w:type="dxa"/>
            <w:tcBorders>
              <w:top w:val="single" w:sz="4" w:space="0" w:color="auto"/>
              <w:left w:val="single" w:sz="4" w:space="0" w:color="auto"/>
              <w:bottom w:val="single" w:sz="4" w:space="0" w:color="auto"/>
              <w:right w:val="single" w:sz="4" w:space="0" w:color="auto"/>
            </w:tcBorders>
            <w:vAlign w:val="center"/>
          </w:tcPr>
          <w:p w:rsidR="000765D8" w:rsidRPr="00EA3DE6" w:rsidRDefault="000765D8" w:rsidP="000765D8">
            <w:pPr>
              <w:spacing w:after="0" w:line="240" w:lineRule="auto"/>
              <w:jc w:val="center"/>
              <w:rPr>
                <w:b/>
              </w:rPr>
            </w:pPr>
            <w:r w:rsidRPr="00EA3DE6">
              <w:rPr>
                <w:b/>
              </w:rPr>
              <w:t>2025</w:t>
            </w:r>
          </w:p>
        </w:tc>
      </w:tr>
      <w:tr w:rsidR="000765D8" w:rsidRPr="00EA3DE6" w:rsidTr="00B37C74">
        <w:trPr>
          <w:jc w:val="center"/>
        </w:trPr>
        <w:tc>
          <w:tcPr>
            <w:tcW w:w="1635"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spacing w:after="0" w:line="240" w:lineRule="auto"/>
            </w:pPr>
            <w:r w:rsidRPr="00EA3DE6">
              <w:t xml:space="preserve">Janar </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t>2</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t>25</w:t>
            </w:r>
          </w:p>
        </w:tc>
        <w:tc>
          <w:tcPr>
            <w:tcW w:w="801"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pPr>
            <w:r w:rsidRPr="00EA3DE6">
              <w:t>4</w:t>
            </w:r>
          </w:p>
        </w:tc>
        <w:tc>
          <w:tcPr>
            <w:tcW w:w="1034"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pPr>
            <w:r w:rsidRPr="00EA3DE6">
              <w:t>4</w:t>
            </w:r>
          </w:p>
        </w:tc>
        <w:tc>
          <w:tcPr>
            <w:tcW w:w="939"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t>0</w:t>
            </w:r>
          </w:p>
        </w:tc>
        <w:tc>
          <w:tcPr>
            <w:tcW w:w="976"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t>0</w:t>
            </w:r>
          </w:p>
        </w:tc>
        <w:tc>
          <w:tcPr>
            <w:tcW w:w="1004"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rPr>
                <w:bCs/>
                <w:color w:val="000000"/>
                <w:kern w:val="24"/>
              </w:rPr>
              <w:t xml:space="preserve">00    </w:t>
            </w:r>
          </w:p>
        </w:tc>
        <w:tc>
          <w:tcPr>
            <w:tcW w:w="1257"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rPr>
                <w:bCs/>
                <w:color w:val="000000"/>
                <w:kern w:val="24"/>
              </w:rPr>
              <w:t xml:space="preserve">00    </w:t>
            </w:r>
            <w:r w:rsidRPr="00EA3DE6">
              <w:rPr>
                <w:bCs/>
                <w:color w:val="FFFFFF"/>
                <w:kern w:val="24"/>
              </w:rPr>
              <w:t xml:space="preserve"> </w:t>
            </w:r>
          </w:p>
        </w:tc>
      </w:tr>
      <w:tr w:rsidR="000765D8" w:rsidRPr="00EA3DE6" w:rsidTr="00B37C74">
        <w:trPr>
          <w:jc w:val="center"/>
        </w:trPr>
        <w:tc>
          <w:tcPr>
            <w:tcW w:w="1635"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spacing w:after="0" w:line="240" w:lineRule="auto"/>
            </w:pPr>
            <w:r w:rsidRPr="00EA3DE6">
              <w:t xml:space="preserve">Shkurt </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rPr>
                <w:color w:val="000000"/>
                <w:kern w:val="24"/>
              </w:rPr>
              <w:t xml:space="preserve">00 </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rPr>
                <w:color w:val="000000"/>
                <w:kern w:val="24"/>
              </w:rPr>
              <w:t xml:space="preserve">16 </w:t>
            </w:r>
          </w:p>
        </w:tc>
        <w:tc>
          <w:tcPr>
            <w:tcW w:w="801"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pPr>
            <w:r w:rsidRPr="00EA3DE6">
              <w:rPr>
                <w:color w:val="000000"/>
                <w:kern w:val="24"/>
              </w:rPr>
              <w:t xml:space="preserve">13 </w:t>
            </w:r>
          </w:p>
        </w:tc>
        <w:tc>
          <w:tcPr>
            <w:tcW w:w="1034"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pPr>
            <w:r w:rsidRPr="00EA3DE6">
              <w:rPr>
                <w:color w:val="000000"/>
                <w:kern w:val="24"/>
              </w:rPr>
              <w:t xml:space="preserve">5 </w:t>
            </w:r>
          </w:p>
        </w:tc>
        <w:tc>
          <w:tcPr>
            <w:tcW w:w="939"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rPr>
                <w:color w:val="000000"/>
                <w:kern w:val="24"/>
              </w:rPr>
              <w:t xml:space="preserve">1 </w:t>
            </w:r>
          </w:p>
        </w:tc>
        <w:tc>
          <w:tcPr>
            <w:tcW w:w="976"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rPr>
                <w:color w:val="000000"/>
                <w:kern w:val="24"/>
              </w:rPr>
              <w:t xml:space="preserve">0 </w:t>
            </w:r>
          </w:p>
        </w:tc>
        <w:tc>
          <w:tcPr>
            <w:tcW w:w="1004"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rPr>
                <w:color w:val="000000"/>
                <w:kern w:val="24"/>
              </w:rPr>
              <w:t xml:space="preserve">00 </w:t>
            </w:r>
          </w:p>
        </w:tc>
        <w:tc>
          <w:tcPr>
            <w:tcW w:w="1257"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rPr>
                <w:color w:val="000000"/>
                <w:kern w:val="24"/>
              </w:rPr>
              <w:t xml:space="preserve">00 </w:t>
            </w:r>
          </w:p>
        </w:tc>
      </w:tr>
      <w:tr w:rsidR="000765D8" w:rsidRPr="00EA3DE6" w:rsidTr="00B37C74">
        <w:trPr>
          <w:trHeight w:val="305"/>
          <w:jc w:val="center"/>
        </w:trPr>
        <w:tc>
          <w:tcPr>
            <w:tcW w:w="1635"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spacing w:after="0" w:line="240" w:lineRule="auto"/>
            </w:pPr>
            <w:r w:rsidRPr="00EA3DE6">
              <w:t>Mars</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rPr>
                <w:color w:val="000000"/>
                <w:kern w:val="24"/>
              </w:rPr>
              <w:t xml:space="preserve">21 </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rPr>
                <w:color w:val="000000"/>
                <w:kern w:val="24"/>
              </w:rPr>
              <w:t xml:space="preserve">17 </w:t>
            </w:r>
          </w:p>
        </w:tc>
        <w:tc>
          <w:tcPr>
            <w:tcW w:w="801"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pPr>
            <w:r w:rsidRPr="00EA3DE6">
              <w:rPr>
                <w:color w:val="000000"/>
                <w:kern w:val="24"/>
              </w:rPr>
              <w:t xml:space="preserve">10    </w:t>
            </w:r>
          </w:p>
        </w:tc>
        <w:tc>
          <w:tcPr>
            <w:tcW w:w="1034"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pPr>
            <w:r w:rsidRPr="00EA3DE6">
              <w:rPr>
                <w:color w:val="000000"/>
                <w:kern w:val="24"/>
              </w:rPr>
              <w:t xml:space="preserve">7   </w:t>
            </w:r>
          </w:p>
        </w:tc>
        <w:tc>
          <w:tcPr>
            <w:tcW w:w="939"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pPr>
            <w:r w:rsidRPr="00EA3DE6">
              <w:rPr>
                <w:color w:val="000000"/>
                <w:kern w:val="24"/>
              </w:rPr>
              <w:t xml:space="preserve">0 </w:t>
            </w:r>
          </w:p>
        </w:tc>
        <w:tc>
          <w:tcPr>
            <w:tcW w:w="976" w:type="dxa"/>
            <w:tcBorders>
              <w:top w:val="single" w:sz="4" w:space="0" w:color="auto"/>
              <w:left w:val="single" w:sz="4" w:space="0" w:color="auto"/>
              <w:bottom w:val="single" w:sz="4" w:space="0" w:color="auto"/>
              <w:right w:val="single" w:sz="4" w:space="0" w:color="auto"/>
            </w:tcBorders>
          </w:tcPr>
          <w:p w:rsidR="000765D8" w:rsidRPr="000765D8" w:rsidRDefault="000765D8" w:rsidP="000765D8">
            <w:pPr>
              <w:pStyle w:val="NormalWeb"/>
              <w:spacing w:before="0" w:beforeAutospacing="0" w:after="0" w:afterAutospacing="0"/>
              <w:jc w:val="right"/>
              <w:rPr>
                <w:color w:val="000000"/>
                <w:kern w:val="24"/>
              </w:rPr>
            </w:pPr>
            <w:r w:rsidRPr="00EA3DE6">
              <w:rPr>
                <w:color w:val="000000"/>
                <w:kern w:val="24"/>
              </w:rPr>
              <w:t xml:space="preserve">1 </w:t>
            </w:r>
          </w:p>
        </w:tc>
        <w:tc>
          <w:tcPr>
            <w:tcW w:w="1004" w:type="dxa"/>
            <w:tcBorders>
              <w:top w:val="single" w:sz="4" w:space="0" w:color="auto"/>
              <w:left w:val="single" w:sz="4" w:space="0" w:color="auto"/>
              <w:bottom w:val="single" w:sz="4" w:space="0" w:color="auto"/>
              <w:right w:val="single" w:sz="4" w:space="0" w:color="auto"/>
            </w:tcBorders>
          </w:tcPr>
          <w:p w:rsidR="000765D8" w:rsidRPr="000765D8" w:rsidRDefault="000765D8" w:rsidP="000765D8">
            <w:pPr>
              <w:pStyle w:val="NormalWeb"/>
              <w:tabs>
                <w:tab w:val="center" w:pos="394"/>
                <w:tab w:val="right" w:pos="788"/>
              </w:tabs>
              <w:spacing w:before="0" w:beforeAutospacing="0" w:after="0" w:afterAutospacing="0"/>
              <w:rPr>
                <w:color w:val="000000"/>
                <w:kern w:val="24"/>
              </w:rPr>
            </w:pPr>
            <w:r>
              <w:rPr>
                <w:color w:val="000000"/>
                <w:kern w:val="24"/>
              </w:rPr>
              <w:tab/>
              <w:t xml:space="preserve">         </w:t>
            </w:r>
            <w:r w:rsidRPr="00EA3DE6">
              <w:rPr>
                <w:color w:val="000000"/>
                <w:kern w:val="24"/>
              </w:rPr>
              <w:t xml:space="preserve">00 </w:t>
            </w:r>
          </w:p>
        </w:tc>
        <w:tc>
          <w:tcPr>
            <w:tcW w:w="1257"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pPr>
            <w:r>
              <w:rPr>
                <w:color w:val="000000"/>
                <w:kern w:val="24"/>
              </w:rPr>
              <w:t xml:space="preserve">             </w:t>
            </w:r>
            <w:r w:rsidRPr="00EA3DE6">
              <w:rPr>
                <w:color w:val="000000"/>
                <w:kern w:val="24"/>
              </w:rPr>
              <w:t>00</w:t>
            </w:r>
          </w:p>
        </w:tc>
      </w:tr>
      <w:tr w:rsidR="000765D8" w:rsidRPr="00EA3DE6" w:rsidTr="00B37C74">
        <w:trPr>
          <w:jc w:val="center"/>
        </w:trPr>
        <w:tc>
          <w:tcPr>
            <w:tcW w:w="1635"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spacing w:after="0" w:line="240" w:lineRule="auto"/>
            </w:pPr>
            <w:r w:rsidRPr="00EA3DE6">
              <w:t xml:space="preserve">Prill </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20</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11</w:t>
            </w:r>
          </w:p>
        </w:tc>
        <w:tc>
          <w:tcPr>
            <w:tcW w:w="801"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rPr>
                <w:color w:val="000000"/>
                <w:kern w:val="24"/>
              </w:rPr>
            </w:pPr>
            <w:r w:rsidRPr="00EA3DE6">
              <w:rPr>
                <w:color w:val="000000"/>
                <w:kern w:val="24"/>
              </w:rPr>
              <w:t>17</w:t>
            </w:r>
          </w:p>
        </w:tc>
        <w:tc>
          <w:tcPr>
            <w:tcW w:w="1034"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rPr>
                <w:color w:val="000000"/>
                <w:kern w:val="24"/>
              </w:rPr>
            </w:pPr>
            <w:r w:rsidRPr="00EA3DE6">
              <w:rPr>
                <w:color w:val="000000"/>
                <w:kern w:val="24"/>
              </w:rPr>
              <w:t>6</w:t>
            </w:r>
          </w:p>
        </w:tc>
        <w:tc>
          <w:tcPr>
            <w:tcW w:w="939"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2</w:t>
            </w:r>
          </w:p>
        </w:tc>
        <w:tc>
          <w:tcPr>
            <w:tcW w:w="976"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1</w:t>
            </w:r>
          </w:p>
        </w:tc>
        <w:tc>
          <w:tcPr>
            <w:tcW w:w="1004"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00</w:t>
            </w:r>
          </w:p>
        </w:tc>
        <w:tc>
          <w:tcPr>
            <w:tcW w:w="1257"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00</w:t>
            </w:r>
          </w:p>
        </w:tc>
      </w:tr>
      <w:tr w:rsidR="000765D8" w:rsidRPr="00EA3DE6" w:rsidTr="00B37C74">
        <w:trPr>
          <w:jc w:val="center"/>
        </w:trPr>
        <w:tc>
          <w:tcPr>
            <w:tcW w:w="1635"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spacing w:after="0" w:line="240" w:lineRule="auto"/>
            </w:pPr>
            <w:r w:rsidRPr="00EA3DE6">
              <w:t>Maj</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26</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25</w:t>
            </w:r>
          </w:p>
        </w:tc>
        <w:tc>
          <w:tcPr>
            <w:tcW w:w="801"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rPr>
                <w:color w:val="000000"/>
                <w:kern w:val="24"/>
              </w:rPr>
            </w:pPr>
            <w:r w:rsidRPr="00EA3DE6">
              <w:rPr>
                <w:color w:val="000000"/>
                <w:kern w:val="24"/>
              </w:rPr>
              <w:t>13</w:t>
            </w:r>
          </w:p>
        </w:tc>
        <w:tc>
          <w:tcPr>
            <w:tcW w:w="1034"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rPr>
                <w:color w:val="000000"/>
                <w:kern w:val="24"/>
              </w:rPr>
            </w:pPr>
            <w:r w:rsidRPr="00EA3DE6">
              <w:rPr>
                <w:color w:val="000000"/>
                <w:kern w:val="24"/>
              </w:rPr>
              <w:t>7</w:t>
            </w:r>
          </w:p>
        </w:tc>
        <w:tc>
          <w:tcPr>
            <w:tcW w:w="939"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1</w:t>
            </w:r>
          </w:p>
        </w:tc>
        <w:tc>
          <w:tcPr>
            <w:tcW w:w="976"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2</w:t>
            </w:r>
          </w:p>
        </w:tc>
        <w:tc>
          <w:tcPr>
            <w:tcW w:w="1004"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00</w:t>
            </w:r>
          </w:p>
        </w:tc>
        <w:tc>
          <w:tcPr>
            <w:tcW w:w="1257"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00</w:t>
            </w:r>
          </w:p>
        </w:tc>
      </w:tr>
      <w:tr w:rsidR="000765D8" w:rsidRPr="00EA3DE6" w:rsidTr="00B37C74">
        <w:trPr>
          <w:jc w:val="center"/>
        </w:trPr>
        <w:tc>
          <w:tcPr>
            <w:tcW w:w="1635"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spacing w:after="0" w:line="240" w:lineRule="auto"/>
            </w:pPr>
            <w:r w:rsidRPr="00EA3DE6">
              <w:t xml:space="preserve">Qershor </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19</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11</w:t>
            </w:r>
          </w:p>
        </w:tc>
        <w:tc>
          <w:tcPr>
            <w:tcW w:w="801"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rPr>
                <w:color w:val="000000"/>
                <w:kern w:val="24"/>
              </w:rPr>
            </w:pPr>
            <w:r w:rsidRPr="00EA3DE6">
              <w:rPr>
                <w:color w:val="000000"/>
                <w:kern w:val="24"/>
              </w:rPr>
              <w:t>17</w:t>
            </w:r>
          </w:p>
        </w:tc>
        <w:tc>
          <w:tcPr>
            <w:tcW w:w="1034"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rPr>
                <w:color w:val="000000"/>
                <w:kern w:val="24"/>
              </w:rPr>
            </w:pPr>
            <w:r w:rsidRPr="00EA3DE6">
              <w:rPr>
                <w:color w:val="000000"/>
                <w:kern w:val="24"/>
              </w:rPr>
              <w:t>6</w:t>
            </w:r>
          </w:p>
        </w:tc>
        <w:tc>
          <w:tcPr>
            <w:tcW w:w="939"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2</w:t>
            </w:r>
          </w:p>
        </w:tc>
        <w:tc>
          <w:tcPr>
            <w:tcW w:w="976"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1</w:t>
            </w:r>
          </w:p>
        </w:tc>
        <w:tc>
          <w:tcPr>
            <w:tcW w:w="1004"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00</w:t>
            </w:r>
          </w:p>
        </w:tc>
        <w:tc>
          <w:tcPr>
            <w:tcW w:w="1257"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color w:val="000000"/>
                <w:kern w:val="24"/>
              </w:rPr>
            </w:pPr>
            <w:r w:rsidRPr="00EA3DE6">
              <w:rPr>
                <w:color w:val="000000"/>
                <w:kern w:val="24"/>
              </w:rPr>
              <w:t>00</w:t>
            </w:r>
          </w:p>
        </w:tc>
      </w:tr>
      <w:tr w:rsidR="000765D8" w:rsidRPr="00EA3DE6" w:rsidTr="00B37C74">
        <w:trPr>
          <w:jc w:val="center"/>
        </w:trPr>
        <w:tc>
          <w:tcPr>
            <w:tcW w:w="1635"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spacing w:after="0" w:line="240" w:lineRule="auto"/>
              <w:rPr>
                <w:b/>
              </w:rPr>
            </w:pPr>
            <w:r w:rsidRPr="00EA3DE6">
              <w:rPr>
                <w:b/>
              </w:rPr>
              <w:t>Totali</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b/>
              </w:rPr>
            </w:pPr>
            <w:r w:rsidRPr="00EA3DE6">
              <w:rPr>
                <w:b/>
                <w:color w:val="000000"/>
                <w:kern w:val="24"/>
              </w:rPr>
              <w:t xml:space="preserve">88 </w:t>
            </w:r>
          </w:p>
        </w:tc>
        <w:tc>
          <w:tcPr>
            <w:tcW w:w="958"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b/>
              </w:rPr>
            </w:pPr>
            <w:r w:rsidRPr="00EA3DE6">
              <w:rPr>
                <w:b/>
              </w:rPr>
              <w:t>105</w:t>
            </w:r>
          </w:p>
        </w:tc>
        <w:tc>
          <w:tcPr>
            <w:tcW w:w="801"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rPr>
                <w:b/>
              </w:rPr>
            </w:pPr>
            <w:r w:rsidRPr="00EA3DE6">
              <w:rPr>
                <w:b/>
              </w:rPr>
              <w:t>74</w:t>
            </w:r>
          </w:p>
        </w:tc>
        <w:tc>
          <w:tcPr>
            <w:tcW w:w="1034"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rPr>
                <w:b/>
              </w:rPr>
            </w:pPr>
            <w:r w:rsidRPr="00EA3DE6">
              <w:rPr>
                <w:b/>
              </w:rPr>
              <w:t xml:space="preserve">     35</w:t>
            </w:r>
          </w:p>
        </w:tc>
        <w:tc>
          <w:tcPr>
            <w:tcW w:w="939"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rPr>
                <w:b/>
              </w:rPr>
            </w:pPr>
            <w:r>
              <w:rPr>
                <w:b/>
                <w:color w:val="000000"/>
                <w:kern w:val="24"/>
              </w:rPr>
              <w:t xml:space="preserve">         </w:t>
            </w:r>
            <w:r w:rsidRPr="00EA3DE6">
              <w:rPr>
                <w:b/>
                <w:color w:val="000000"/>
                <w:kern w:val="24"/>
              </w:rPr>
              <w:t xml:space="preserve">6 </w:t>
            </w:r>
          </w:p>
        </w:tc>
        <w:tc>
          <w:tcPr>
            <w:tcW w:w="976"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rPr>
                <w:b/>
              </w:rPr>
            </w:pPr>
            <w:r>
              <w:rPr>
                <w:b/>
              </w:rPr>
              <w:t xml:space="preserve">          </w:t>
            </w:r>
            <w:r w:rsidRPr="00EA3DE6">
              <w:rPr>
                <w:b/>
              </w:rPr>
              <w:t>5</w:t>
            </w:r>
          </w:p>
        </w:tc>
        <w:tc>
          <w:tcPr>
            <w:tcW w:w="1004"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right"/>
              <w:rPr>
                <w:b/>
              </w:rPr>
            </w:pPr>
            <w:r w:rsidRPr="00EA3DE6">
              <w:rPr>
                <w:b/>
                <w:bCs/>
                <w:color w:val="000000"/>
                <w:kern w:val="24"/>
              </w:rPr>
              <w:t>00</w:t>
            </w:r>
          </w:p>
        </w:tc>
        <w:tc>
          <w:tcPr>
            <w:tcW w:w="1257" w:type="dxa"/>
            <w:tcBorders>
              <w:top w:val="single" w:sz="4" w:space="0" w:color="auto"/>
              <w:left w:val="single" w:sz="4" w:space="0" w:color="auto"/>
              <w:bottom w:val="single" w:sz="4" w:space="0" w:color="auto"/>
              <w:right w:val="single" w:sz="4" w:space="0" w:color="auto"/>
            </w:tcBorders>
          </w:tcPr>
          <w:p w:rsidR="000765D8" w:rsidRPr="00EA3DE6" w:rsidRDefault="000765D8" w:rsidP="000765D8">
            <w:pPr>
              <w:pStyle w:val="NormalWeb"/>
              <w:spacing w:before="0" w:beforeAutospacing="0" w:after="0" w:afterAutospacing="0"/>
              <w:jc w:val="center"/>
              <w:rPr>
                <w:b/>
              </w:rPr>
            </w:pPr>
            <w:r w:rsidRPr="00EA3DE6">
              <w:rPr>
                <w:b/>
                <w:color w:val="000000"/>
                <w:kern w:val="24"/>
              </w:rPr>
              <w:t xml:space="preserve">    </w:t>
            </w:r>
            <w:r>
              <w:rPr>
                <w:b/>
                <w:color w:val="000000"/>
                <w:kern w:val="24"/>
              </w:rPr>
              <w:t xml:space="preserve">    </w:t>
            </w:r>
            <w:r w:rsidRPr="00EA3DE6">
              <w:rPr>
                <w:b/>
                <w:color w:val="000000"/>
                <w:kern w:val="24"/>
              </w:rPr>
              <w:t xml:space="preserve">     00</w:t>
            </w:r>
          </w:p>
        </w:tc>
      </w:tr>
    </w:tbl>
    <w:p w:rsidR="000765D8" w:rsidRPr="000765D8" w:rsidRDefault="000765D8" w:rsidP="000765D8">
      <w:pPr>
        <w:spacing w:after="0" w:line="240" w:lineRule="auto"/>
        <w:rPr>
          <w:rFonts w:ascii="Times New Roman" w:eastAsia="Times New Roman" w:hAnsi="Times New Roman" w:cs="Times New Roman"/>
          <w:sz w:val="24"/>
          <w:szCs w:val="24"/>
        </w:rPr>
      </w:pPr>
    </w:p>
    <w:p w:rsidR="000765D8" w:rsidRPr="000765D8" w:rsidRDefault="000765D8" w:rsidP="000765D8">
      <w:pPr>
        <w:spacing w:before="100" w:beforeAutospacing="1" w:after="100" w:afterAutospacing="1" w:line="240" w:lineRule="auto"/>
        <w:outlineLvl w:val="2"/>
        <w:rPr>
          <w:rFonts w:ascii="Times New Roman" w:eastAsia="Times New Roman" w:hAnsi="Times New Roman" w:cs="Times New Roman"/>
          <w:b/>
          <w:bCs/>
          <w:sz w:val="27"/>
          <w:szCs w:val="27"/>
        </w:rPr>
      </w:pPr>
      <w:r w:rsidRPr="000765D8">
        <w:rPr>
          <w:rFonts w:ascii="Times New Roman" w:eastAsia="Times New Roman" w:hAnsi="Times New Roman" w:cs="Times New Roman"/>
          <w:b/>
          <w:bCs/>
          <w:sz w:val="27"/>
          <w:szCs w:val="27"/>
        </w:rPr>
        <w:t>Rastet e Sëmundjeve Malinje në Komunën e Hanit të Elezit</w:t>
      </w:r>
    </w:p>
    <w:p w:rsidR="000765D8" w:rsidRPr="000765D8" w:rsidRDefault="000765D8" w:rsidP="000765D8">
      <w:pPr>
        <w:spacing w:before="100" w:beforeAutospacing="1" w:after="100" w:afterAutospacing="1"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Në periudhën e raportuar, janë identifikuar disa raste të sëmundjeve malinje, me detaje të lokalizimeve dhe kodifikimit sipas sistemit ICD-O.</w:t>
      </w:r>
    </w:p>
    <w:p w:rsidR="000765D8" w:rsidRPr="000765D8" w:rsidRDefault="000765D8" w:rsidP="000765D8">
      <w:pPr>
        <w:spacing w:before="100" w:beforeAutospacing="1" w:after="100" w:afterAutospacing="1"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Rastet e kancerit të regjistruar: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2"/>
        <w:gridCol w:w="734"/>
        <w:gridCol w:w="1615"/>
        <w:gridCol w:w="1297"/>
        <w:gridCol w:w="1472"/>
        <w:gridCol w:w="2032"/>
        <w:gridCol w:w="1198"/>
      </w:tblGrid>
      <w:tr w:rsidR="000765D8" w:rsidRPr="000765D8" w:rsidTr="000765D8">
        <w:trPr>
          <w:tblHeader/>
          <w:tblCellSpacing w:w="15" w:type="dxa"/>
        </w:trPr>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Mbiemri</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Gjinia</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Numri Personal</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Viti i Lindjes</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Vendi i Lindjes</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Lokalizimi i Kancerit</w:t>
            </w:r>
          </w:p>
        </w:tc>
        <w:tc>
          <w:tcPr>
            <w:tcW w:w="0" w:type="auto"/>
            <w:vAlign w:val="center"/>
            <w:hideMark/>
          </w:tcPr>
          <w:p w:rsidR="000765D8" w:rsidRPr="000765D8" w:rsidRDefault="000765D8" w:rsidP="000765D8">
            <w:pPr>
              <w:spacing w:after="0" w:line="240" w:lineRule="auto"/>
              <w:jc w:val="center"/>
              <w:rPr>
                <w:rFonts w:ascii="Times New Roman" w:eastAsia="Times New Roman" w:hAnsi="Times New Roman" w:cs="Times New Roman"/>
                <w:b/>
                <w:bCs/>
                <w:sz w:val="24"/>
                <w:szCs w:val="24"/>
              </w:rPr>
            </w:pPr>
            <w:r w:rsidRPr="000765D8">
              <w:rPr>
                <w:rFonts w:ascii="Times New Roman" w:eastAsia="Times New Roman" w:hAnsi="Times New Roman" w:cs="Times New Roman"/>
                <w:b/>
                <w:bCs/>
                <w:sz w:val="24"/>
                <w:szCs w:val="24"/>
              </w:rPr>
              <w:t>Kodi ICD-O</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Kalisi</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F</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1004505227</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1979</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Neqafc</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Disc. mamae sin</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C50</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Loku</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F</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1004430600</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1965</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H. Elezit</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Sigma</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C18</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Curri</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M</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1001496910</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1951</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H. Elezit</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Prostat</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C61</w:t>
            </w:r>
          </w:p>
        </w:tc>
      </w:tr>
      <w:tr w:rsidR="000765D8" w:rsidRPr="000765D8" w:rsidTr="000765D8">
        <w:trPr>
          <w:tblCellSpacing w:w="15" w:type="dxa"/>
        </w:trPr>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Loku</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F</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1004435784</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1979</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H. Elezit</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Coloni</w:t>
            </w:r>
          </w:p>
        </w:tc>
        <w:tc>
          <w:tcPr>
            <w:tcW w:w="0" w:type="auto"/>
            <w:vAlign w:val="center"/>
            <w:hideMark/>
          </w:tcPr>
          <w:p w:rsidR="000765D8" w:rsidRPr="000765D8" w:rsidRDefault="000765D8" w:rsidP="000765D8">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C18</w:t>
            </w:r>
          </w:p>
        </w:tc>
      </w:tr>
    </w:tbl>
    <w:p w:rsidR="000765D8" w:rsidRPr="000765D8" w:rsidRDefault="000765D8" w:rsidP="000765D8">
      <w:pPr>
        <w:spacing w:after="0" w:line="240" w:lineRule="auto"/>
        <w:rPr>
          <w:rFonts w:ascii="Times New Roman" w:eastAsia="Times New Roman" w:hAnsi="Times New Roman" w:cs="Times New Roman"/>
          <w:sz w:val="24"/>
          <w:szCs w:val="24"/>
        </w:rPr>
      </w:pPr>
    </w:p>
    <w:p w:rsidR="000765D8" w:rsidRDefault="000765D8" w:rsidP="000765D8">
      <w:pPr>
        <w:spacing w:before="100" w:beforeAutospacing="1" w:after="100" w:afterAutospacing="1" w:line="240" w:lineRule="auto"/>
        <w:outlineLvl w:val="2"/>
        <w:rPr>
          <w:rFonts w:ascii="Times New Roman" w:eastAsia="Times New Roman" w:hAnsi="Times New Roman" w:cs="Times New Roman"/>
          <w:b/>
          <w:bCs/>
          <w:sz w:val="27"/>
          <w:szCs w:val="27"/>
        </w:rPr>
      </w:pPr>
    </w:p>
    <w:p w:rsidR="000765D8" w:rsidRPr="000765D8" w:rsidRDefault="000765D8" w:rsidP="000765D8">
      <w:pPr>
        <w:spacing w:before="100" w:beforeAutospacing="1" w:after="100" w:afterAutospacing="1" w:line="240" w:lineRule="auto"/>
        <w:outlineLvl w:val="2"/>
        <w:rPr>
          <w:rFonts w:ascii="Times New Roman" w:eastAsia="Times New Roman" w:hAnsi="Times New Roman" w:cs="Times New Roman"/>
          <w:b/>
          <w:bCs/>
          <w:sz w:val="27"/>
          <w:szCs w:val="27"/>
        </w:rPr>
      </w:pPr>
      <w:r w:rsidRPr="000765D8">
        <w:rPr>
          <w:rFonts w:ascii="Times New Roman" w:eastAsia="Times New Roman" w:hAnsi="Times New Roman" w:cs="Times New Roman"/>
          <w:b/>
          <w:bCs/>
          <w:sz w:val="27"/>
          <w:szCs w:val="27"/>
        </w:rPr>
        <w:t>Raport lidhur me Edukimin e Vazhdueshëm Profesional</w:t>
      </w:r>
    </w:p>
    <w:p w:rsidR="000765D8" w:rsidRPr="000765D8" w:rsidRDefault="000765D8" w:rsidP="000765D8">
      <w:pPr>
        <w:spacing w:before="100" w:beforeAutospacing="1" w:after="100" w:afterAutospacing="1"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Qendra trajnuese e Mjekësisë Familjare në Hani i Elezit ka organizuar një sërë aktivitetesh trajnimi për infermierë dhe profesionistë të tjerë shëndetësor. Aktivitetet u mbajtën për të rritur kompetencën dhe për të plotësuar standardet e kujdesit shëndetësor. Këto aktivitete ishin të akredituara nga Bordi për Edukimin e Vazhdueshëm Profesional dhe Oda e Infermierëve të Kosovës. 6 ligjërata janë mbajtur deri tani, dhe planifikohen edhe 4 të tjera deri në fund të vitit 2025. Në fund të trajnimit, pjesëmarrësit do të pajisen me certifikata të nënshkruara nga Bordi për EVP.</w:t>
      </w:r>
    </w:p>
    <w:p w:rsidR="000765D8" w:rsidRPr="000765D8" w:rsidRDefault="000765D8" w:rsidP="000765D8">
      <w:pPr>
        <w:spacing w:before="100" w:beforeAutospacing="1" w:after="100" w:afterAutospacing="1"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4"/>
          <w:szCs w:val="24"/>
        </w:rPr>
        <w:t>Numri i pjesëmarrësve:</w:t>
      </w:r>
      <w:r w:rsidRPr="000765D8">
        <w:rPr>
          <w:rFonts w:ascii="Times New Roman" w:eastAsia="Times New Roman" w:hAnsi="Times New Roman" w:cs="Times New Roman"/>
          <w:sz w:val="24"/>
          <w:szCs w:val="24"/>
        </w:rPr>
        <w:t xml:space="preserve"> 33 infermierë dhe profesionistë të tjerë.</w:t>
      </w:r>
    </w:p>
    <w:p w:rsidR="000765D8" w:rsidRPr="00B37C74" w:rsidRDefault="000765D8" w:rsidP="00B37C74">
      <w:pPr>
        <w:spacing w:after="0"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b/>
          <w:bCs/>
          <w:sz w:val="27"/>
          <w:szCs w:val="27"/>
        </w:rPr>
        <w:t>Të Hyrat Vetanake</w:t>
      </w:r>
    </w:p>
    <w:p w:rsidR="000765D8" w:rsidRDefault="000765D8" w:rsidP="000765D8">
      <w:pPr>
        <w:spacing w:before="100" w:beforeAutospacing="1" w:after="100" w:afterAutospacing="1" w:line="240" w:lineRule="auto"/>
        <w:rPr>
          <w:rFonts w:ascii="Times New Roman" w:eastAsia="Times New Roman" w:hAnsi="Times New Roman" w:cs="Times New Roman"/>
          <w:sz w:val="24"/>
          <w:szCs w:val="24"/>
        </w:rPr>
      </w:pPr>
      <w:r w:rsidRPr="000765D8">
        <w:rPr>
          <w:rFonts w:ascii="Times New Roman" w:eastAsia="Times New Roman" w:hAnsi="Times New Roman" w:cs="Times New Roman"/>
          <w:sz w:val="24"/>
          <w:szCs w:val="24"/>
        </w:rPr>
        <w:t xml:space="preserve">Gjatë periudhës janar-qershor 2025, QKMF-ja ka realizuar të hyrat vetanake prej </w:t>
      </w:r>
      <w:r w:rsidR="0088680D">
        <w:rPr>
          <w:rFonts w:ascii="Times New Roman" w:eastAsia="Times New Roman" w:hAnsi="Times New Roman" w:cs="Times New Roman"/>
          <w:b/>
          <w:bCs/>
          <w:sz w:val="24"/>
          <w:szCs w:val="24"/>
        </w:rPr>
        <w:t>5054</w:t>
      </w:r>
      <w:r w:rsidRPr="000765D8">
        <w:rPr>
          <w:rFonts w:ascii="Times New Roman" w:eastAsia="Times New Roman" w:hAnsi="Times New Roman" w:cs="Times New Roman"/>
          <w:b/>
          <w:bCs/>
          <w:sz w:val="24"/>
          <w:szCs w:val="24"/>
        </w:rPr>
        <w:t xml:space="preserve"> euro</w:t>
      </w:r>
      <w:r w:rsidRPr="000765D8">
        <w:rPr>
          <w:rFonts w:ascii="Times New Roman" w:eastAsia="Times New Roman" w:hAnsi="Times New Roman" w:cs="Times New Roman"/>
          <w:sz w:val="24"/>
          <w:szCs w:val="24"/>
        </w:rPr>
        <w:t>, nga të cilat një pjesë janë përdorur për furnizimin me barna dhe material shpenzues për pacientët.</w:t>
      </w:r>
    </w:p>
    <w:tbl>
      <w:tblPr>
        <w:tblStyle w:val="TableGrid"/>
        <w:tblW w:w="0" w:type="auto"/>
        <w:tblLook w:val="04A0" w:firstRow="1" w:lastRow="0" w:firstColumn="1" w:lastColumn="0" w:noHBand="0" w:noVBand="1"/>
      </w:tblPr>
      <w:tblGrid>
        <w:gridCol w:w="3116"/>
        <w:gridCol w:w="1559"/>
        <w:gridCol w:w="1440"/>
        <w:gridCol w:w="1440"/>
      </w:tblGrid>
      <w:tr w:rsidR="0088680D" w:rsidTr="004037BE">
        <w:tc>
          <w:tcPr>
            <w:tcW w:w="3116" w:type="dxa"/>
          </w:tcPr>
          <w:p w:rsidR="0088680D" w:rsidRPr="0088680D" w:rsidRDefault="0088680D" w:rsidP="00004E42">
            <w:pPr>
              <w:spacing w:before="100" w:beforeAutospacing="1" w:after="100" w:afterAutospacing="1"/>
              <w:rPr>
                <w:rFonts w:ascii="Times New Roman" w:eastAsia="Times New Roman" w:hAnsi="Times New Roman" w:cs="Times New Roman"/>
                <w:b/>
                <w:sz w:val="24"/>
                <w:szCs w:val="24"/>
              </w:rPr>
            </w:pPr>
            <w:r w:rsidRPr="0088680D">
              <w:rPr>
                <w:rFonts w:ascii="Times New Roman" w:eastAsia="Times New Roman" w:hAnsi="Times New Roman" w:cs="Times New Roman"/>
                <w:b/>
                <w:sz w:val="24"/>
                <w:szCs w:val="24"/>
              </w:rPr>
              <w:t>Viti</w:t>
            </w:r>
          </w:p>
        </w:tc>
        <w:tc>
          <w:tcPr>
            <w:tcW w:w="1559" w:type="dxa"/>
          </w:tcPr>
          <w:p w:rsidR="0088680D" w:rsidRPr="0088680D" w:rsidRDefault="0088680D" w:rsidP="00004E42">
            <w:pPr>
              <w:spacing w:before="100" w:beforeAutospacing="1" w:after="100" w:afterAutospacing="1"/>
              <w:rPr>
                <w:rFonts w:ascii="Times New Roman" w:eastAsia="Times New Roman" w:hAnsi="Times New Roman" w:cs="Times New Roman"/>
                <w:b/>
                <w:sz w:val="24"/>
                <w:szCs w:val="24"/>
              </w:rPr>
            </w:pPr>
            <w:r w:rsidRPr="0088680D">
              <w:rPr>
                <w:rFonts w:ascii="Times New Roman" w:eastAsia="Times New Roman" w:hAnsi="Times New Roman" w:cs="Times New Roman"/>
                <w:b/>
                <w:sz w:val="24"/>
                <w:szCs w:val="24"/>
              </w:rPr>
              <w:t>2025</w:t>
            </w:r>
          </w:p>
        </w:tc>
        <w:tc>
          <w:tcPr>
            <w:tcW w:w="1440" w:type="dxa"/>
          </w:tcPr>
          <w:p w:rsidR="0088680D" w:rsidRPr="0088680D" w:rsidRDefault="0088680D" w:rsidP="00004E42">
            <w:pPr>
              <w:spacing w:before="100" w:beforeAutospacing="1" w:after="100" w:afterAutospacing="1"/>
              <w:rPr>
                <w:rFonts w:ascii="Times New Roman" w:eastAsia="Times New Roman" w:hAnsi="Times New Roman" w:cs="Times New Roman"/>
                <w:b/>
                <w:sz w:val="24"/>
                <w:szCs w:val="24"/>
              </w:rPr>
            </w:pPr>
            <w:r w:rsidRPr="0088680D">
              <w:rPr>
                <w:rFonts w:ascii="Times New Roman" w:eastAsia="Times New Roman" w:hAnsi="Times New Roman" w:cs="Times New Roman"/>
                <w:b/>
                <w:sz w:val="24"/>
                <w:szCs w:val="24"/>
              </w:rPr>
              <w:t>2024</w:t>
            </w:r>
          </w:p>
        </w:tc>
        <w:tc>
          <w:tcPr>
            <w:tcW w:w="1440" w:type="dxa"/>
          </w:tcPr>
          <w:p w:rsidR="0088680D" w:rsidRPr="0088680D" w:rsidRDefault="0088680D" w:rsidP="00004E42">
            <w:pPr>
              <w:spacing w:before="100" w:beforeAutospacing="1" w:after="100" w:afterAutospacing="1"/>
              <w:rPr>
                <w:rFonts w:ascii="Times New Roman" w:eastAsia="Times New Roman" w:hAnsi="Times New Roman" w:cs="Times New Roman"/>
                <w:b/>
                <w:sz w:val="24"/>
                <w:szCs w:val="24"/>
              </w:rPr>
            </w:pPr>
            <w:r w:rsidRPr="0088680D">
              <w:rPr>
                <w:rFonts w:ascii="Times New Roman" w:eastAsia="Times New Roman" w:hAnsi="Times New Roman" w:cs="Times New Roman"/>
                <w:b/>
                <w:sz w:val="24"/>
                <w:szCs w:val="24"/>
              </w:rPr>
              <w:t>Diferenca</w:t>
            </w:r>
          </w:p>
        </w:tc>
      </w:tr>
      <w:tr w:rsidR="0088680D" w:rsidTr="004037BE">
        <w:tc>
          <w:tcPr>
            <w:tcW w:w="3116"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Taksat për shërbime sociale</w:t>
            </w:r>
          </w:p>
        </w:tc>
        <w:tc>
          <w:tcPr>
            <w:tcW w:w="1559"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147.00</w:t>
            </w:r>
          </w:p>
        </w:tc>
        <w:tc>
          <w:tcPr>
            <w:tcW w:w="1440"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1440"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121.00</w:t>
            </w:r>
          </w:p>
        </w:tc>
      </w:tr>
      <w:tr w:rsidR="0088680D" w:rsidTr="004037BE">
        <w:tc>
          <w:tcPr>
            <w:tcW w:w="3116"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Participimet</w:t>
            </w:r>
          </w:p>
        </w:tc>
        <w:tc>
          <w:tcPr>
            <w:tcW w:w="1559"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4,018.95</w:t>
            </w:r>
          </w:p>
        </w:tc>
        <w:tc>
          <w:tcPr>
            <w:tcW w:w="1440"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3,936.15</w:t>
            </w:r>
          </w:p>
        </w:tc>
        <w:tc>
          <w:tcPr>
            <w:tcW w:w="1440"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82.80</w:t>
            </w:r>
          </w:p>
        </w:tc>
      </w:tr>
      <w:tr w:rsidR="0088680D" w:rsidTr="004037BE">
        <w:tc>
          <w:tcPr>
            <w:tcW w:w="3116"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Çertifikatat mjekësore</w:t>
            </w:r>
          </w:p>
        </w:tc>
        <w:tc>
          <w:tcPr>
            <w:tcW w:w="1559"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1,035.00</w:t>
            </w:r>
          </w:p>
        </w:tc>
        <w:tc>
          <w:tcPr>
            <w:tcW w:w="1440"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40"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1,035.00</w:t>
            </w:r>
          </w:p>
        </w:tc>
      </w:tr>
      <w:tr w:rsidR="0088680D" w:rsidTr="004037BE">
        <w:tc>
          <w:tcPr>
            <w:tcW w:w="3116" w:type="dxa"/>
          </w:tcPr>
          <w:p w:rsidR="0088680D" w:rsidRDefault="0088680D" w:rsidP="00004E42">
            <w:pPr>
              <w:spacing w:before="100" w:beforeAutospacing="1" w:after="100" w:afterAutospacing="1"/>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Totali</w:t>
            </w:r>
          </w:p>
        </w:tc>
        <w:tc>
          <w:tcPr>
            <w:tcW w:w="1559"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5,200.95</w:t>
            </w:r>
          </w:p>
        </w:tc>
        <w:tc>
          <w:tcPr>
            <w:tcW w:w="1440"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3,962.15</w:t>
            </w:r>
          </w:p>
        </w:tc>
        <w:tc>
          <w:tcPr>
            <w:tcW w:w="1440" w:type="dxa"/>
          </w:tcPr>
          <w:p w:rsidR="0088680D" w:rsidRDefault="0088680D" w:rsidP="00004E4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1,238.80</w:t>
            </w:r>
          </w:p>
        </w:tc>
      </w:tr>
    </w:tbl>
    <w:p w:rsidR="00B37C74" w:rsidRDefault="00B37C74" w:rsidP="00004E42">
      <w:pPr>
        <w:spacing w:before="100" w:beforeAutospacing="1" w:after="100" w:afterAutospacing="1" w:line="240" w:lineRule="auto"/>
        <w:rPr>
          <w:rFonts w:ascii="Times New Roman" w:eastAsia="Times New Roman" w:hAnsi="Times New Roman" w:cs="Times New Roman"/>
          <w:sz w:val="24"/>
          <w:szCs w:val="24"/>
        </w:rPr>
      </w:pPr>
    </w:p>
    <w:p w:rsidR="008F6E6F" w:rsidRPr="008F6E6F" w:rsidRDefault="008F6E6F" w:rsidP="008F6E6F">
      <w:pPr>
        <w:spacing w:before="100" w:beforeAutospacing="1" w:after="100" w:afterAutospacing="1"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b/>
          <w:bCs/>
          <w:sz w:val="24"/>
          <w:szCs w:val="24"/>
        </w:rPr>
        <w:t>Raporti për Furnizimin me Barna dhe Insulinë në Barnatoren Qendrore (Janar – Qershor 2025)</w:t>
      </w:r>
    </w:p>
    <w:p w:rsidR="008F6E6F" w:rsidRPr="008F6E6F" w:rsidRDefault="008F6E6F" w:rsidP="008F6E6F">
      <w:pPr>
        <w:spacing w:before="100" w:beforeAutospacing="1" w:after="100" w:afterAutospacing="1"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Furnizimi me barna, materiale esenciale dhe shpenzues nga Ministria e Shëndetësisë dhe kompania e kontraktuar nga Komuna është realizuar në mënyrë të rregullt, sipas kërkesave dhe planifikimeve të caktuara. Gjatë periudhës Janar – Qershor 2025, në QKMF “Menduh Kaloshi”, janë furnizuar gjithsej 358 pacientë me insulinë të llojeve të ndryshme.</w:t>
      </w:r>
    </w:p>
    <w:p w:rsidR="008F6E6F" w:rsidRPr="008F6E6F" w:rsidRDefault="008F6E6F" w:rsidP="008F6E6F">
      <w:pPr>
        <w:spacing w:before="100" w:beforeAutospacing="1" w:after="100" w:afterAutospacing="1"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b/>
          <w:bCs/>
          <w:sz w:val="24"/>
          <w:szCs w:val="24"/>
        </w:rPr>
        <w:t>Shpërndarja e insulinave për pacientët: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1888"/>
        <w:gridCol w:w="2061"/>
        <w:gridCol w:w="1849"/>
      </w:tblGrid>
      <w:tr w:rsidR="008F6E6F" w:rsidRPr="008F6E6F" w:rsidTr="008F6E6F">
        <w:trPr>
          <w:tblHeader/>
          <w:tblCellSpacing w:w="15" w:type="dxa"/>
        </w:trPr>
        <w:tc>
          <w:tcPr>
            <w:tcW w:w="0" w:type="auto"/>
            <w:vAlign w:val="center"/>
            <w:hideMark/>
          </w:tcPr>
          <w:p w:rsidR="008F6E6F" w:rsidRPr="008F6E6F" w:rsidRDefault="008F6E6F" w:rsidP="008F6E6F">
            <w:pPr>
              <w:spacing w:after="0" w:line="240" w:lineRule="auto"/>
              <w:jc w:val="center"/>
              <w:rPr>
                <w:rFonts w:ascii="Times New Roman" w:eastAsia="Times New Roman" w:hAnsi="Times New Roman" w:cs="Times New Roman"/>
                <w:b/>
                <w:bCs/>
                <w:sz w:val="24"/>
                <w:szCs w:val="24"/>
              </w:rPr>
            </w:pPr>
            <w:r w:rsidRPr="008F6E6F">
              <w:rPr>
                <w:rFonts w:ascii="Times New Roman" w:eastAsia="Times New Roman" w:hAnsi="Times New Roman" w:cs="Times New Roman"/>
                <w:b/>
                <w:bCs/>
                <w:sz w:val="24"/>
                <w:szCs w:val="24"/>
              </w:rPr>
              <w:t>Muaji</w:t>
            </w:r>
          </w:p>
        </w:tc>
        <w:tc>
          <w:tcPr>
            <w:tcW w:w="0" w:type="auto"/>
            <w:vAlign w:val="center"/>
            <w:hideMark/>
          </w:tcPr>
          <w:p w:rsidR="008F6E6F" w:rsidRPr="008F6E6F" w:rsidRDefault="008F6E6F" w:rsidP="008F6E6F">
            <w:pPr>
              <w:spacing w:after="0" w:line="240" w:lineRule="auto"/>
              <w:jc w:val="center"/>
              <w:rPr>
                <w:rFonts w:ascii="Times New Roman" w:eastAsia="Times New Roman" w:hAnsi="Times New Roman" w:cs="Times New Roman"/>
                <w:b/>
                <w:bCs/>
                <w:sz w:val="24"/>
                <w:szCs w:val="24"/>
              </w:rPr>
            </w:pPr>
            <w:r w:rsidRPr="008F6E6F">
              <w:rPr>
                <w:rFonts w:ascii="Times New Roman" w:eastAsia="Times New Roman" w:hAnsi="Times New Roman" w:cs="Times New Roman"/>
                <w:b/>
                <w:bCs/>
                <w:sz w:val="24"/>
                <w:szCs w:val="24"/>
              </w:rPr>
              <w:t>Insulinë Novomix</w:t>
            </w:r>
          </w:p>
        </w:tc>
        <w:tc>
          <w:tcPr>
            <w:tcW w:w="0" w:type="auto"/>
            <w:vAlign w:val="center"/>
            <w:hideMark/>
          </w:tcPr>
          <w:p w:rsidR="008F6E6F" w:rsidRPr="008F6E6F" w:rsidRDefault="008F6E6F" w:rsidP="008F6E6F">
            <w:pPr>
              <w:spacing w:after="0" w:line="240" w:lineRule="auto"/>
              <w:jc w:val="center"/>
              <w:rPr>
                <w:rFonts w:ascii="Times New Roman" w:eastAsia="Times New Roman" w:hAnsi="Times New Roman" w:cs="Times New Roman"/>
                <w:b/>
                <w:bCs/>
                <w:sz w:val="24"/>
                <w:szCs w:val="24"/>
              </w:rPr>
            </w:pPr>
            <w:r w:rsidRPr="008F6E6F">
              <w:rPr>
                <w:rFonts w:ascii="Times New Roman" w:eastAsia="Times New Roman" w:hAnsi="Times New Roman" w:cs="Times New Roman"/>
                <w:b/>
                <w:bCs/>
                <w:sz w:val="24"/>
                <w:szCs w:val="24"/>
              </w:rPr>
              <w:t>Insulinë Novorapid</w:t>
            </w:r>
          </w:p>
        </w:tc>
        <w:tc>
          <w:tcPr>
            <w:tcW w:w="0" w:type="auto"/>
            <w:vAlign w:val="center"/>
            <w:hideMark/>
          </w:tcPr>
          <w:p w:rsidR="008F6E6F" w:rsidRPr="008F6E6F" w:rsidRDefault="008F6E6F" w:rsidP="008F6E6F">
            <w:pPr>
              <w:spacing w:after="0" w:line="240" w:lineRule="auto"/>
              <w:jc w:val="center"/>
              <w:rPr>
                <w:rFonts w:ascii="Times New Roman" w:eastAsia="Times New Roman" w:hAnsi="Times New Roman" w:cs="Times New Roman"/>
                <w:b/>
                <w:bCs/>
                <w:sz w:val="24"/>
                <w:szCs w:val="24"/>
              </w:rPr>
            </w:pPr>
            <w:r w:rsidRPr="008F6E6F">
              <w:rPr>
                <w:rFonts w:ascii="Times New Roman" w:eastAsia="Times New Roman" w:hAnsi="Times New Roman" w:cs="Times New Roman"/>
                <w:b/>
                <w:bCs/>
                <w:sz w:val="24"/>
                <w:szCs w:val="24"/>
              </w:rPr>
              <w:t>Insulinë Levemir</w:t>
            </w:r>
          </w:p>
        </w:tc>
      </w:tr>
      <w:tr w:rsidR="008F6E6F" w:rsidRPr="008F6E6F" w:rsidTr="008F6E6F">
        <w:trPr>
          <w:tblCellSpacing w:w="15" w:type="dxa"/>
        </w:trPr>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Janar</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51</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20</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11</w:t>
            </w:r>
          </w:p>
        </w:tc>
      </w:tr>
      <w:tr w:rsidR="008F6E6F" w:rsidRPr="008F6E6F" w:rsidTr="008F6E6F">
        <w:trPr>
          <w:tblCellSpacing w:w="15" w:type="dxa"/>
        </w:trPr>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Shkurt</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41</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19</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13</w:t>
            </w:r>
          </w:p>
        </w:tc>
      </w:tr>
      <w:tr w:rsidR="008F6E6F" w:rsidRPr="008F6E6F" w:rsidTr="008F6E6F">
        <w:trPr>
          <w:tblCellSpacing w:w="15" w:type="dxa"/>
        </w:trPr>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Mars</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44</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20</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14</w:t>
            </w:r>
          </w:p>
        </w:tc>
      </w:tr>
      <w:tr w:rsidR="008F6E6F" w:rsidRPr="008F6E6F" w:rsidTr="008F6E6F">
        <w:trPr>
          <w:tblCellSpacing w:w="15" w:type="dxa"/>
        </w:trPr>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Prill</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47</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17</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10</w:t>
            </w:r>
          </w:p>
        </w:tc>
      </w:tr>
      <w:tr w:rsidR="008F6E6F" w:rsidRPr="008F6E6F" w:rsidTr="008F6E6F">
        <w:trPr>
          <w:tblCellSpacing w:w="15" w:type="dxa"/>
        </w:trPr>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Maj</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45</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17</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12</w:t>
            </w:r>
          </w:p>
        </w:tc>
      </w:tr>
      <w:tr w:rsidR="008F6E6F" w:rsidRPr="008F6E6F" w:rsidTr="008F6E6F">
        <w:trPr>
          <w:tblCellSpacing w:w="15" w:type="dxa"/>
        </w:trPr>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Qershor</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50</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16</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sz w:val="24"/>
                <w:szCs w:val="24"/>
              </w:rPr>
              <w:t>12</w:t>
            </w:r>
          </w:p>
        </w:tc>
      </w:tr>
      <w:tr w:rsidR="008F6E6F" w:rsidRPr="008F6E6F" w:rsidTr="008F6E6F">
        <w:trPr>
          <w:tblCellSpacing w:w="15" w:type="dxa"/>
        </w:trPr>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4"/>
                <w:szCs w:val="24"/>
              </w:rPr>
            </w:pPr>
            <w:r w:rsidRPr="008F6E6F">
              <w:rPr>
                <w:rFonts w:ascii="Times New Roman" w:eastAsia="Times New Roman" w:hAnsi="Times New Roman" w:cs="Times New Roman"/>
                <w:b/>
                <w:bCs/>
                <w:sz w:val="24"/>
                <w:szCs w:val="24"/>
              </w:rPr>
              <w:t>Totali</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278</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109</w:t>
            </w:r>
          </w:p>
        </w:tc>
        <w:tc>
          <w:tcPr>
            <w:tcW w:w="0" w:type="auto"/>
            <w:vAlign w:val="center"/>
            <w:hideMark/>
          </w:tcPr>
          <w:p w:rsidR="008F6E6F" w:rsidRPr="008F6E6F" w:rsidRDefault="008F6E6F" w:rsidP="008F6E6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r>
    </w:tbl>
    <w:p w:rsidR="004037BE" w:rsidRPr="004037BE" w:rsidRDefault="004037BE" w:rsidP="004037BE">
      <w:pPr>
        <w:spacing w:before="100" w:beforeAutospacing="1" w:after="100" w:afterAutospacing="1" w:line="240" w:lineRule="auto"/>
        <w:rPr>
          <w:rFonts w:ascii="Times New Roman" w:eastAsia="Times New Roman" w:hAnsi="Times New Roman" w:cs="Times New Roman"/>
          <w:sz w:val="32"/>
          <w:szCs w:val="32"/>
        </w:rPr>
      </w:pPr>
      <w:r w:rsidRPr="004037BE">
        <w:rPr>
          <w:rFonts w:ascii="Times New Roman" w:eastAsia="Times New Roman" w:hAnsi="Times New Roman" w:cs="Times New Roman"/>
          <w:b/>
          <w:bCs/>
          <w:sz w:val="32"/>
          <w:szCs w:val="32"/>
        </w:rPr>
        <w:t>Qendra për Punë Sociale – Han i Elezit ( Janar-Qershor)</w:t>
      </w:r>
    </w:p>
    <w:p w:rsidR="004037BE" w:rsidRPr="004037BE" w:rsidRDefault="004037BE" w:rsidP="004037BE">
      <w:pPr>
        <w:spacing w:before="100" w:beforeAutospacing="1" w:after="100" w:afterAutospacing="1"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Gjatë periudhës janar–qershor 2025, Qendra për Punë Sociale në Han të Elezit ka vijuar me realizimin e detyrave dhe përgjegjësive të rregullta institucionale, në përputhje me legjislacionin në fuqi dhe nevojat e komunitetit.</w:t>
      </w:r>
    </w:p>
    <w:p w:rsidR="004037BE" w:rsidRPr="004037BE" w:rsidRDefault="004037BE" w:rsidP="004037BE">
      <w:pPr>
        <w:spacing w:before="100" w:beforeAutospacing="1" w:after="100" w:afterAutospacing="1" w:line="240" w:lineRule="auto"/>
        <w:outlineLvl w:val="3"/>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Aktivitete të përgjithshme:</w:t>
      </w:r>
    </w:p>
    <w:p w:rsidR="004037BE" w:rsidRPr="004037BE" w:rsidRDefault="004037BE" w:rsidP="004037B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Janë organizuar takime dhe punëtori të ndryshme në fushën e shërbimeve sociale dhe të skemës së ndihmës sociale.</w:t>
      </w:r>
    </w:p>
    <w:p w:rsidR="004037BE" w:rsidRPr="004037BE" w:rsidRDefault="004037BE" w:rsidP="004037B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Është zhvilluar bashkëpunim ndërinstitucional me: Policinë e Kosovës, Gjykatat, Prokurorinë, Qendrat për Punë Sociale në komunat tjera, Departamentin për Politika Sociale dhe Familjare, Shkollat, QKMF-në, si dhe organizata si OSBE, IOM, KFOR, OJQ etj.</w:t>
      </w:r>
    </w:p>
    <w:p w:rsidR="004037BE" w:rsidRPr="004037BE" w:rsidRDefault="004037BE" w:rsidP="004037B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Zyrtarë të QPS kanë marrë pjesë si anëtarë të komisioneve për vlerësimin e fëmijëve me nevoja të veçanta nëpër shkolla.</w:t>
      </w:r>
    </w:p>
    <w:p w:rsidR="004037BE" w:rsidRPr="004037BE" w:rsidRDefault="004037BE" w:rsidP="004037B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Janë realizuar trajnime të ndryshme mbi temat si: rehabilitimi dhe integrimi i personave të radikalizuar, mbrojtja e fëmijëve, riatdhesimi, si dhe pilotimi i reformës së re të ndihmës sociale, i cili vazhdon të zbatohet.</w:t>
      </w:r>
    </w:p>
    <w:p w:rsidR="004037BE" w:rsidRPr="004037BE" w:rsidRDefault="004037BE" w:rsidP="004037BE">
      <w:pPr>
        <w:spacing w:before="100" w:beforeAutospacing="1" w:after="100" w:afterAutospacing="1" w:line="240" w:lineRule="auto"/>
        <w:outlineLvl w:val="3"/>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Bashkëpunimi me donatorë dhe ndihma humanitare:</w:t>
      </w:r>
    </w:p>
    <w:p w:rsidR="004037BE" w:rsidRPr="004037BE" w:rsidRDefault="004037BE" w:rsidP="004037BE">
      <w:pPr>
        <w:spacing w:before="100" w:beforeAutospacing="1" w:after="100" w:afterAutospacing="1"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Gjatë kësaj periudhe, QPS ka siguruar përkrahje të konsiderueshme për familjet në nevojë, falë donatorëve të ndryshëm: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0"/>
        <w:gridCol w:w="4007"/>
        <w:gridCol w:w="1203"/>
      </w:tblGrid>
      <w:tr w:rsidR="004037BE" w:rsidRPr="004037BE" w:rsidTr="004037BE">
        <w:trPr>
          <w:tblHeader/>
          <w:tblCellSpacing w:w="15" w:type="dxa"/>
        </w:trPr>
        <w:tc>
          <w:tcPr>
            <w:tcW w:w="0" w:type="auto"/>
            <w:vAlign w:val="center"/>
            <w:hideMark/>
          </w:tcPr>
          <w:p w:rsidR="004037BE" w:rsidRPr="004037BE" w:rsidRDefault="004037BE" w:rsidP="004037BE">
            <w:pPr>
              <w:spacing w:after="0" w:line="240" w:lineRule="auto"/>
              <w:jc w:val="center"/>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Ndihma</w:t>
            </w:r>
          </w:p>
        </w:tc>
        <w:tc>
          <w:tcPr>
            <w:tcW w:w="0" w:type="auto"/>
            <w:vAlign w:val="center"/>
            <w:hideMark/>
          </w:tcPr>
          <w:p w:rsidR="004037BE" w:rsidRPr="004037BE" w:rsidRDefault="004037BE" w:rsidP="004037BE">
            <w:pPr>
              <w:spacing w:after="0" w:line="240" w:lineRule="auto"/>
              <w:jc w:val="center"/>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Donatori</w:t>
            </w:r>
          </w:p>
        </w:tc>
        <w:tc>
          <w:tcPr>
            <w:tcW w:w="0" w:type="auto"/>
            <w:vAlign w:val="center"/>
            <w:hideMark/>
          </w:tcPr>
          <w:p w:rsidR="004037BE" w:rsidRPr="004037BE" w:rsidRDefault="004037BE" w:rsidP="004037BE">
            <w:pPr>
              <w:spacing w:after="0" w:line="240" w:lineRule="auto"/>
              <w:jc w:val="center"/>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Sasia</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Pako ushqimore dhe miell</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Donator anonim</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 pako</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Pako ushqimore dhe miell</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Arabia Saudite (përmes Bereqetit dhe BIK)</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250 pako</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Pako ushqimore dhe miell</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Relief Kosova</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50 pako</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Pako ushqimore dhe miell</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Ambasada e Shteteve Arabe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100 pako</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Pako me mish</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Humanity First</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50 pako</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Veshmbathje për 300 familje (vlera 9,000 €)</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ALBA GROUP</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Pako ushqimore dhe higjienike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ALBA GROUP</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50 pako</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Mish kurbani</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Humanity First</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51 pako</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Dhurata për Kurban Bajram</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ALBA GROUP</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830 dhurata</w:t>
            </w:r>
          </w:p>
        </w:tc>
      </w:tr>
    </w:tbl>
    <w:p w:rsidR="004037BE" w:rsidRDefault="004037BE" w:rsidP="004037BE">
      <w:pPr>
        <w:spacing w:after="0" w:line="240" w:lineRule="auto"/>
        <w:rPr>
          <w:rFonts w:ascii="Times New Roman" w:eastAsia="Times New Roman" w:hAnsi="Times New Roman" w:cs="Times New Roman"/>
          <w:sz w:val="24"/>
          <w:szCs w:val="24"/>
        </w:rPr>
      </w:pPr>
    </w:p>
    <w:p w:rsidR="00855FA8" w:rsidRDefault="00855FA8" w:rsidP="004037BE">
      <w:pPr>
        <w:spacing w:after="0" w:line="240" w:lineRule="auto"/>
        <w:rPr>
          <w:rFonts w:ascii="Times New Roman" w:eastAsia="Times New Roman" w:hAnsi="Times New Roman" w:cs="Times New Roman"/>
          <w:b/>
          <w:bCs/>
          <w:sz w:val="27"/>
          <w:szCs w:val="27"/>
        </w:rPr>
      </w:pPr>
    </w:p>
    <w:p w:rsidR="00855FA8" w:rsidRDefault="00855FA8" w:rsidP="004037BE">
      <w:pPr>
        <w:spacing w:after="0" w:line="240" w:lineRule="auto"/>
        <w:rPr>
          <w:rFonts w:ascii="Times New Roman" w:eastAsia="Times New Roman" w:hAnsi="Times New Roman" w:cs="Times New Roman"/>
          <w:b/>
          <w:bCs/>
          <w:sz w:val="27"/>
          <w:szCs w:val="27"/>
        </w:rPr>
      </w:pPr>
    </w:p>
    <w:p w:rsidR="00271E6D" w:rsidRDefault="00271E6D" w:rsidP="004037BE">
      <w:pPr>
        <w:spacing w:after="0" w:line="240" w:lineRule="auto"/>
        <w:rPr>
          <w:rFonts w:ascii="Times New Roman" w:eastAsia="Times New Roman" w:hAnsi="Times New Roman" w:cs="Times New Roman"/>
          <w:b/>
          <w:bCs/>
          <w:sz w:val="27"/>
          <w:szCs w:val="27"/>
        </w:rPr>
      </w:pPr>
    </w:p>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b/>
          <w:bCs/>
          <w:sz w:val="27"/>
          <w:szCs w:val="27"/>
        </w:rPr>
        <w:t>I. Skema e Ndihmës Sociale</w:t>
      </w:r>
    </w:p>
    <w:p w:rsidR="004037BE" w:rsidRPr="004037BE" w:rsidRDefault="004037BE" w:rsidP="004037BE">
      <w:pPr>
        <w:spacing w:before="100" w:beforeAutospacing="1" w:after="100" w:afterAutospacing="1"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b/>
          <w:bCs/>
          <w:sz w:val="24"/>
          <w:szCs w:val="24"/>
        </w:rPr>
        <w:t>Numri i familjeve përfituese nga ndihma sociale (krahasimi për muajt Janar–Qershor):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9"/>
        <w:gridCol w:w="560"/>
        <w:gridCol w:w="560"/>
        <w:gridCol w:w="4674"/>
      </w:tblGrid>
      <w:tr w:rsidR="004037BE" w:rsidRPr="004037BE" w:rsidTr="004037BE">
        <w:trPr>
          <w:tblHeader/>
          <w:tblCellSpacing w:w="15" w:type="dxa"/>
        </w:trPr>
        <w:tc>
          <w:tcPr>
            <w:tcW w:w="0" w:type="auto"/>
            <w:vAlign w:val="center"/>
            <w:hideMark/>
          </w:tcPr>
          <w:p w:rsidR="004037BE" w:rsidRPr="004037BE" w:rsidRDefault="004037BE" w:rsidP="004037BE">
            <w:pPr>
              <w:spacing w:after="0" w:line="240" w:lineRule="auto"/>
              <w:jc w:val="center"/>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Muaji</w:t>
            </w:r>
          </w:p>
        </w:tc>
        <w:tc>
          <w:tcPr>
            <w:tcW w:w="0" w:type="auto"/>
            <w:vAlign w:val="center"/>
            <w:hideMark/>
          </w:tcPr>
          <w:p w:rsidR="004037BE" w:rsidRPr="004037BE" w:rsidRDefault="004037BE" w:rsidP="004037BE">
            <w:pPr>
              <w:spacing w:after="0" w:line="240" w:lineRule="auto"/>
              <w:jc w:val="center"/>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2024</w:t>
            </w:r>
          </w:p>
        </w:tc>
        <w:tc>
          <w:tcPr>
            <w:tcW w:w="0" w:type="auto"/>
            <w:vAlign w:val="center"/>
            <w:hideMark/>
          </w:tcPr>
          <w:p w:rsidR="004037BE" w:rsidRPr="004037BE" w:rsidRDefault="004037BE" w:rsidP="004037BE">
            <w:pPr>
              <w:spacing w:after="0" w:line="240" w:lineRule="auto"/>
              <w:jc w:val="center"/>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2025</w:t>
            </w:r>
          </w:p>
        </w:tc>
        <w:tc>
          <w:tcPr>
            <w:tcW w:w="0" w:type="auto"/>
            <w:vAlign w:val="center"/>
            <w:hideMark/>
          </w:tcPr>
          <w:p w:rsidR="004037BE" w:rsidRPr="004037BE" w:rsidRDefault="004037BE" w:rsidP="004037BE">
            <w:pPr>
              <w:spacing w:after="0" w:line="240" w:lineRule="auto"/>
              <w:jc w:val="center"/>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Koment</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Janar</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113</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89</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Shkurt</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109</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87</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Mars</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111</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81</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Ndërprerje përmes ATK, mungesë riaplikimesh</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Prill</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108</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83</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Maj</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108</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81</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Qershor</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107</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84</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p>
        </w:tc>
      </w:tr>
    </w:tbl>
    <w:p w:rsidR="004037BE" w:rsidRPr="004037BE" w:rsidRDefault="004037BE" w:rsidP="004037BE">
      <w:pPr>
        <w:spacing w:before="100" w:beforeAutospacing="1" w:after="100" w:afterAutospacing="1"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b/>
          <w:bCs/>
          <w:sz w:val="24"/>
          <w:szCs w:val="24"/>
        </w:rPr>
        <w:t>Statistikat për shërbimet e skemës sociale: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1"/>
        <w:gridCol w:w="560"/>
        <w:gridCol w:w="575"/>
      </w:tblGrid>
      <w:tr w:rsidR="004037BE" w:rsidRPr="004037BE" w:rsidTr="004037BE">
        <w:trPr>
          <w:tblHeader/>
          <w:tblCellSpacing w:w="15" w:type="dxa"/>
        </w:trPr>
        <w:tc>
          <w:tcPr>
            <w:tcW w:w="0" w:type="auto"/>
            <w:vAlign w:val="center"/>
            <w:hideMark/>
          </w:tcPr>
          <w:p w:rsidR="004037BE" w:rsidRPr="004037BE" w:rsidRDefault="004037BE" w:rsidP="004037BE">
            <w:pPr>
              <w:spacing w:after="0" w:line="240" w:lineRule="auto"/>
              <w:jc w:val="center"/>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Shërbimi</w:t>
            </w:r>
          </w:p>
        </w:tc>
        <w:tc>
          <w:tcPr>
            <w:tcW w:w="0" w:type="auto"/>
            <w:vAlign w:val="center"/>
            <w:hideMark/>
          </w:tcPr>
          <w:p w:rsidR="004037BE" w:rsidRPr="004037BE" w:rsidRDefault="004037BE" w:rsidP="004037BE">
            <w:pPr>
              <w:spacing w:after="0" w:line="240" w:lineRule="auto"/>
              <w:jc w:val="center"/>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2024</w:t>
            </w:r>
          </w:p>
        </w:tc>
        <w:tc>
          <w:tcPr>
            <w:tcW w:w="0" w:type="auto"/>
            <w:vAlign w:val="center"/>
            <w:hideMark/>
          </w:tcPr>
          <w:p w:rsidR="004037BE" w:rsidRPr="004037BE" w:rsidRDefault="004037BE" w:rsidP="004037BE">
            <w:pPr>
              <w:spacing w:after="0" w:line="240" w:lineRule="auto"/>
              <w:jc w:val="center"/>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2025</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Aplikues të rinj</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3</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3</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Lëndë për Komision Mjekësor</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49</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42</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Lëndë të refuzuara</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3</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3</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Lëndë për plotësim dokumentacioni</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Lëndë të aprovuara</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45</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42</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Lëshim i kartonëve të ndihmës sociale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46</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24</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Verifikime të familjeve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82</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63</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Aplikime / riaplikime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81</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56</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Vërtetime si përfitues</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Konsultime për dokumentacion</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28</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31</w:t>
            </w:r>
          </w:p>
        </w:tc>
      </w:tr>
    </w:tbl>
    <w:p w:rsidR="004037BE" w:rsidRDefault="004037BE" w:rsidP="004037BE">
      <w:pPr>
        <w:spacing w:after="0" w:line="240" w:lineRule="auto"/>
        <w:rPr>
          <w:rFonts w:ascii="Times New Roman" w:eastAsia="Times New Roman" w:hAnsi="Times New Roman" w:cs="Times New Roman"/>
          <w:sz w:val="24"/>
          <w:szCs w:val="24"/>
        </w:rPr>
      </w:pPr>
    </w:p>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b/>
          <w:bCs/>
          <w:sz w:val="27"/>
          <w:szCs w:val="27"/>
        </w:rPr>
        <w:t>II. Shërbimet Sociale</w:t>
      </w:r>
    </w:p>
    <w:p w:rsidR="004037BE" w:rsidRPr="004037BE" w:rsidRDefault="004037BE" w:rsidP="004037BE">
      <w:pPr>
        <w:spacing w:before="100" w:beforeAutospacing="1" w:after="100" w:afterAutospacing="1"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b/>
          <w:bCs/>
          <w:sz w:val="24"/>
          <w:szCs w:val="24"/>
        </w:rPr>
        <w:t>Krahasimi i shërbimeve sociale për vitin 2024 dhe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14"/>
        <w:gridCol w:w="560"/>
        <w:gridCol w:w="575"/>
      </w:tblGrid>
      <w:tr w:rsidR="004037BE" w:rsidRPr="004037BE" w:rsidTr="004037BE">
        <w:trPr>
          <w:tblHeader/>
          <w:tblCellSpacing w:w="15" w:type="dxa"/>
        </w:trPr>
        <w:tc>
          <w:tcPr>
            <w:tcW w:w="0" w:type="auto"/>
            <w:vAlign w:val="center"/>
            <w:hideMark/>
          </w:tcPr>
          <w:p w:rsidR="004037BE" w:rsidRPr="004037BE" w:rsidRDefault="004037BE" w:rsidP="004037BE">
            <w:pPr>
              <w:spacing w:after="0" w:line="240" w:lineRule="auto"/>
              <w:jc w:val="center"/>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Shërbimi</w:t>
            </w:r>
          </w:p>
        </w:tc>
        <w:tc>
          <w:tcPr>
            <w:tcW w:w="0" w:type="auto"/>
            <w:vAlign w:val="center"/>
            <w:hideMark/>
          </w:tcPr>
          <w:p w:rsidR="004037BE" w:rsidRPr="004037BE" w:rsidRDefault="004037BE" w:rsidP="004037BE">
            <w:pPr>
              <w:spacing w:after="0" w:line="240" w:lineRule="auto"/>
              <w:jc w:val="center"/>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2024</w:t>
            </w:r>
          </w:p>
        </w:tc>
        <w:tc>
          <w:tcPr>
            <w:tcW w:w="0" w:type="auto"/>
            <w:vAlign w:val="center"/>
            <w:hideMark/>
          </w:tcPr>
          <w:p w:rsidR="004037BE" w:rsidRPr="004037BE" w:rsidRDefault="004037BE" w:rsidP="004037BE">
            <w:pPr>
              <w:spacing w:after="0" w:line="240" w:lineRule="auto"/>
              <w:jc w:val="center"/>
              <w:rPr>
                <w:rFonts w:ascii="Times New Roman" w:eastAsia="Times New Roman" w:hAnsi="Times New Roman" w:cs="Times New Roman"/>
                <w:b/>
                <w:bCs/>
                <w:sz w:val="24"/>
                <w:szCs w:val="24"/>
              </w:rPr>
            </w:pPr>
            <w:r w:rsidRPr="004037BE">
              <w:rPr>
                <w:rFonts w:ascii="Times New Roman" w:eastAsia="Times New Roman" w:hAnsi="Times New Roman" w:cs="Times New Roman"/>
                <w:b/>
                <w:bCs/>
                <w:sz w:val="24"/>
                <w:szCs w:val="24"/>
              </w:rPr>
              <w:t>2025</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Trafikim i qenieve njerëzore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Përdorim i substancave narkotike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Regjistrim i vonuar i fëmijëve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Vërtetim për zotësi veprimi/pune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31</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32</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Propozim për besimin e fëmijëve (Gjykatë)</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Përkujdesje institucionale për të moshuar</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Të mitur në konflikt me ligjin</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38</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Vërtetim për mos-shfrytëzim të ndihmës sociale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4</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16</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Dhunë në familje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4</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4</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Sanim i marrëdhënieve bashkëshortore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Mbikëqyrje për të mitur</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2</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2</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Aplikime për fëmijë me aftësi të kufizuara</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2</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Pagesa për fëmijët me aftësi të kufizuara</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22</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26</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Pagesa për fëmijët në strehim familjar</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5</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4</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Prindër të miratuar për adoptim</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Braktisje e fëmijës</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Vërtetim për humbje shtetësie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Konstatime zyrtare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Përfaqësim në gjykatë</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2</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2</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Mbrojtje e viktimës së mitur në polici</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6</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Këshillime psiko-sociale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28</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20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Kontakt fëmijë-prind</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3</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Vizita familjare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48</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13</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Caktim kujdestarie për të mitur</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Fëmijë me forma të rënda pune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Adoptim fëmijësh pa përkujdesje prindërore</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Përkujdesje për të moshuar</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Viktima të krimit seksual</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Ndihmë për të rritur me aftësi të kufizuara</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6</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Lëndë të dërguara në Gjykatë</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9</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11</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Njoftime nga gjykata/prokuroria</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23</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10</w:t>
            </w:r>
          </w:p>
        </w:tc>
      </w:tr>
      <w:tr w:rsidR="004037BE" w:rsidRPr="004037BE" w:rsidTr="004037BE">
        <w:trPr>
          <w:tblCellSpacing w:w="15" w:type="dxa"/>
        </w:trPr>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Shkresa/njoftime me institucione tjera</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13</w:t>
            </w:r>
          </w:p>
        </w:tc>
        <w:tc>
          <w:tcPr>
            <w:tcW w:w="0" w:type="auto"/>
            <w:vAlign w:val="center"/>
            <w:hideMark/>
          </w:tcPr>
          <w:p w:rsidR="004037BE" w:rsidRPr="004037BE" w:rsidRDefault="004037BE" w:rsidP="004037BE">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sz w:val="24"/>
                <w:szCs w:val="24"/>
              </w:rPr>
              <w:t>10</w:t>
            </w:r>
          </w:p>
        </w:tc>
      </w:tr>
    </w:tbl>
    <w:p w:rsidR="002B35CA" w:rsidRDefault="002B35CA" w:rsidP="004037BE">
      <w:pPr>
        <w:spacing w:after="0" w:line="240" w:lineRule="auto"/>
        <w:rPr>
          <w:rFonts w:ascii="Times New Roman" w:eastAsia="Times New Roman" w:hAnsi="Times New Roman" w:cs="Times New Roman"/>
          <w:b/>
          <w:bCs/>
          <w:sz w:val="27"/>
          <w:szCs w:val="27"/>
        </w:rPr>
      </w:pPr>
    </w:p>
    <w:p w:rsidR="004037BE" w:rsidRPr="004037BE" w:rsidRDefault="004037BE" w:rsidP="00855FA8">
      <w:pPr>
        <w:spacing w:after="0" w:line="240" w:lineRule="auto"/>
        <w:rPr>
          <w:rFonts w:ascii="Times New Roman" w:eastAsia="Times New Roman" w:hAnsi="Times New Roman" w:cs="Times New Roman"/>
          <w:sz w:val="24"/>
          <w:szCs w:val="24"/>
        </w:rPr>
      </w:pPr>
      <w:r w:rsidRPr="004037BE">
        <w:rPr>
          <w:rFonts w:ascii="Times New Roman" w:eastAsia="Times New Roman" w:hAnsi="Times New Roman" w:cs="Times New Roman"/>
          <w:b/>
          <w:bCs/>
          <w:sz w:val="27"/>
          <w:szCs w:val="27"/>
        </w:rPr>
        <w:t>Përfundim:</w:t>
      </w:r>
      <w:r w:rsidRPr="004037BE">
        <w:rPr>
          <w:rFonts w:ascii="Times New Roman" w:eastAsia="Times New Roman" w:hAnsi="Times New Roman" w:cs="Times New Roman"/>
          <w:sz w:val="24"/>
          <w:szCs w:val="24"/>
        </w:rPr>
        <w:t>Qendra për Punë Sociale në Han të Elezit ka kryer me përkushtim detyrat e saj ligjore dhe ka ofruar ndihmë të rëndësishme për kategoritë në nevojë, si nëpërmjet shërbimeve institucionale ashtu edhe në bashkëpunim me donatorë. Vlen të theksohet rënia e rasteve sociale në disa kategori, ndërsa theksohet edhe sfida në vazhdimin e implementimit të reformave të reja sociale.</w:t>
      </w:r>
    </w:p>
    <w:p w:rsidR="00855FA8" w:rsidRDefault="00855FA8" w:rsidP="00855FA8">
      <w:pPr>
        <w:ind w:left="6480" w:firstLine="720"/>
      </w:pPr>
    </w:p>
    <w:p w:rsidR="00855FA8" w:rsidRDefault="00855FA8" w:rsidP="00855FA8">
      <w:pPr>
        <w:spacing w:after="0" w:line="240" w:lineRule="auto"/>
        <w:ind w:left="6480"/>
        <w:rPr>
          <w:rFonts w:ascii="Times New Roman" w:hAnsi="Times New Roman" w:cs="Times New Roman"/>
          <w:sz w:val="24"/>
          <w:szCs w:val="24"/>
        </w:rPr>
      </w:pPr>
    </w:p>
    <w:p w:rsidR="00855FA8" w:rsidRDefault="00855FA8" w:rsidP="00855FA8">
      <w:pPr>
        <w:spacing w:after="0" w:line="240" w:lineRule="auto"/>
        <w:ind w:left="6480"/>
        <w:rPr>
          <w:rFonts w:ascii="Times New Roman" w:hAnsi="Times New Roman" w:cs="Times New Roman"/>
          <w:sz w:val="24"/>
          <w:szCs w:val="24"/>
        </w:rPr>
      </w:pPr>
    </w:p>
    <w:p w:rsidR="00855FA8" w:rsidRPr="00855FA8" w:rsidRDefault="00855FA8" w:rsidP="00855FA8">
      <w:pPr>
        <w:spacing w:after="0" w:line="240" w:lineRule="auto"/>
        <w:ind w:left="6480"/>
        <w:rPr>
          <w:rFonts w:ascii="Times New Roman" w:hAnsi="Times New Roman" w:cs="Times New Roman"/>
          <w:sz w:val="24"/>
          <w:szCs w:val="24"/>
        </w:rPr>
      </w:pPr>
      <w:r w:rsidRPr="00855FA8">
        <w:rPr>
          <w:rFonts w:ascii="Times New Roman" w:hAnsi="Times New Roman" w:cs="Times New Roman"/>
          <w:sz w:val="24"/>
          <w:szCs w:val="24"/>
        </w:rPr>
        <w:t xml:space="preserve">Kimete Kuka Hasallari                                                            </w:t>
      </w:r>
    </w:p>
    <w:p w:rsidR="00855FA8" w:rsidRPr="00855FA8" w:rsidRDefault="00855FA8" w:rsidP="00855FA8">
      <w:pPr>
        <w:spacing w:after="0" w:line="240" w:lineRule="auto"/>
        <w:ind w:left="5760" w:firstLine="720"/>
        <w:rPr>
          <w:rFonts w:ascii="Times New Roman" w:hAnsi="Times New Roman" w:cs="Times New Roman"/>
          <w:sz w:val="24"/>
          <w:szCs w:val="24"/>
        </w:rPr>
      </w:pPr>
      <w:r w:rsidRPr="00855FA8">
        <w:rPr>
          <w:rFonts w:ascii="Times New Roman" w:hAnsi="Times New Roman" w:cs="Times New Roman"/>
          <w:sz w:val="24"/>
          <w:szCs w:val="24"/>
        </w:rPr>
        <w:t>Drejtore e DSHMS-së</w:t>
      </w:r>
    </w:p>
    <w:p w:rsidR="00855FA8" w:rsidRPr="000765D8" w:rsidRDefault="00855FA8" w:rsidP="00855FA8">
      <w:pPr>
        <w:ind w:left="5760" w:firstLine="720"/>
      </w:pPr>
      <w:r>
        <w:t>___________________</w:t>
      </w:r>
    </w:p>
    <w:p w:rsidR="000765D8" w:rsidRPr="000765D8" w:rsidRDefault="000765D8" w:rsidP="000765D8"/>
    <w:p w:rsidR="000765D8" w:rsidRPr="000765D8" w:rsidRDefault="000765D8" w:rsidP="000765D8"/>
    <w:p w:rsidR="000765D8" w:rsidRPr="000765D8" w:rsidRDefault="000765D8" w:rsidP="000765D8"/>
    <w:p w:rsidR="000765D8" w:rsidRPr="000765D8" w:rsidRDefault="000765D8" w:rsidP="000765D8"/>
    <w:p w:rsidR="000765D8" w:rsidRPr="000765D8" w:rsidRDefault="000765D8" w:rsidP="000765D8"/>
    <w:p w:rsidR="000765D8" w:rsidRPr="000765D8" w:rsidRDefault="000765D8" w:rsidP="000765D8"/>
    <w:p w:rsidR="000765D8" w:rsidRPr="000765D8" w:rsidRDefault="000765D8" w:rsidP="000765D8"/>
    <w:p w:rsidR="001141FA" w:rsidRPr="000765D8" w:rsidRDefault="001141FA" w:rsidP="000765D8"/>
    <w:sectPr w:rsidR="001141FA" w:rsidRPr="000765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E0A" w:rsidRDefault="00176E0A" w:rsidP="003A1566">
      <w:pPr>
        <w:spacing w:after="0" w:line="240" w:lineRule="auto"/>
      </w:pPr>
      <w:r>
        <w:separator/>
      </w:r>
    </w:p>
  </w:endnote>
  <w:endnote w:type="continuationSeparator" w:id="0">
    <w:p w:rsidR="00176E0A" w:rsidRDefault="00176E0A" w:rsidP="003A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E0A" w:rsidRDefault="00176E0A" w:rsidP="003A1566">
      <w:pPr>
        <w:spacing w:after="0" w:line="240" w:lineRule="auto"/>
      </w:pPr>
      <w:r>
        <w:separator/>
      </w:r>
    </w:p>
  </w:footnote>
  <w:footnote w:type="continuationSeparator" w:id="0">
    <w:p w:rsidR="00176E0A" w:rsidRDefault="00176E0A" w:rsidP="003A1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64220"/>
    <w:multiLevelType w:val="multilevel"/>
    <w:tmpl w:val="0BD2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242B4"/>
    <w:multiLevelType w:val="multilevel"/>
    <w:tmpl w:val="670C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93A03"/>
    <w:multiLevelType w:val="multilevel"/>
    <w:tmpl w:val="A772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9211F"/>
    <w:multiLevelType w:val="multilevel"/>
    <w:tmpl w:val="C9F2CD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C1CEF"/>
    <w:multiLevelType w:val="multilevel"/>
    <w:tmpl w:val="88AA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D84AA8"/>
    <w:multiLevelType w:val="multilevel"/>
    <w:tmpl w:val="A7AC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F5"/>
    <w:rsid w:val="00000307"/>
    <w:rsid w:val="00004E42"/>
    <w:rsid w:val="00053458"/>
    <w:rsid w:val="000765D8"/>
    <w:rsid w:val="00111910"/>
    <w:rsid w:val="001141FA"/>
    <w:rsid w:val="00176E0A"/>
    <w:rsid w:val="0022682E"/>
    <w:rsid w:val="002409CF"/>
    <w:rsid w:val="00271E6D"/>
    <w:rsid w:val="002B35CA"/>
    <w:rsid w:val="003A1566"/>
    <w:rsid w:val="003F3483"/>
    <w:rsid w:val="004037BE"/>
    <w:rsid w:val="00453BC0"/>
    <w:rsid w:val="00471612"/>
    <w:rsid w:val="004D07E1"/>
    <w:rsid w:val="005B33A2"/>
    <w:rsid w:val="005B7C90"/>
    <w:rsid w:val="006B2C3B"/>
    <w:rsid w:val="00726CC6"/>
    <w:rsid w:val="007C5722"/>
    <w:rsid w:val="00855FA8"/>
    <w:rsid w:val="0088158D"/>
    <w:rsid w:val="0088680D"/>
    <w:rsid w:val="008F6E6F"/>
    <w:rsid w:val="009E42F5"/>
    <w:rsid w:val="00AC13B9"/>
    <w:rsid w:val="00B37C74"/>
    <w:rsid w:val="00C26139"/>
    <w:rsid w:val="00C82693"/>
    <w:rsid w:val="00DE6B4D"/>
    <w:rsid w:val="00E62DB1"/>
    <w:rsid w:val="00E77FB3"/>
    <w:rsid w:val="00FB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774EC-4E60-4828-BDC3-D28ED81A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42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42F5"/>
    <w:rPr>
      <w:b/>
      <w:bCs/>
    </w:rPr>
  </w:style>
  <w:style w:type="table" w:styleId="TableGrid">
    <w:name w:val="Table Grid"/>
    <w:basedOn w:val="TableNormal"/>
    <w:uiPriority w:val="39"/>
    <w:rsid w:val="0000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1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566"/>
  </w:style>
  <w:style w:type="paragraph" w:styleId="Footer">
    <w:name w:val="footer"/>
    <w:basedOn w:val="Normal"/>
    <w:link w:val="FooterChar"/>
    <w:uiPriority w:val="99"/>
    <w:unhideWhenUsed/>
    <w:rsid w:val="003A1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99345">
      <w:bodyDiv w:val="1"/>
      <w:marLeft w:val="0"/>
      <w:marRight w:val="0"/>
      <w:marTop w:val="0"/>
      <w:marBottom w:val="0"/>
      <w:divBdr>
        <w:top w:val="none" w:sz="0" w:space="0" w:color="auto"/>
        <w:left w:val="none" w:sz="0" w:space="0" w:color="auto"/>
        <w:bottom w:val="none" w:sz="0" w:space="0" w:color="auto"/>
        <w:right w:val="none" w:sz="0" w:space="0" w:color="auto"/>
      </w:divBdr>
      <w:divsChild>
        <w:div w:id="1646471798">
          <w:marLeft w:val="0"/>
          <w:marRight w:val="0"/>
          <w:marTop w:val="0"/>
          <w:marBottom w:val="0"/>
          <w:divBdr>
            <w:top w:val="none" w:sz="0" w:space="0" w:color="auto"/>
            <w:left w:val="none" w:sz="0" w:space="0" w:color="auto"/>
            <w:bottom w:val="none" w:sz="0" w:space="0" w:color="auto"/>
            <w:right w:val="none" w:sz="0" w:space="0" w:color="auto"/>
          </w:divBdr>
          <w:divsChild>
            <w:div w:id="2028479540">
              <w:marLeft w:val="0"/>
              <w:marRight w:val="0"/>
              <w:marTop w:val="0"/>
              <w:marBottom w:val="0"/>
              <w:divBdr>
                <w:top w:val="none" w:sz="0" w:space="0" w:color="auto"/>
                <w:left w:val="none" w:sz="0" w:space="0" w:color="auto"/>
                <w:bottom w:val="none" w:sz="0" w:space="0" w:color="auto"/>
                <w:right w:val="none" w:sz="0" w:space="0" w:color="auto"/>
              </w:divBdr>
              <w:divsChild>
                <w:div w:id="1844932082">
                  <w:marLeft w:val="0"/>
                  <w:marRight w:val="0"/>
                  <w:marTop w:val="0"/>
                  <w:marBottom w:val="0"/>
                  <w:divBdr>
                    <w:top w:val="none" w:sz="0" w:space="0" w:color="auto"/>
                    <w:left w:val="none" w:sz="0" w:space="0" w:color="auto"/>
                    <w:bottom w:val="none" w:sz="0" w:space="0" w:color="auto"/>
                    <w:right w:val="none" w:sz="0" w:space="0" w:color="auto"/>
                  </w:divBdr>
                  <w:divsChild>
                    <w:div w:id="1762532103">
                      <w:marLeft w:val="0"/>
                      <w:marRight w:val="0"/>
                      <w:marTop w:val="0"/>
                      <w:marBottom w:val="0"/>
                      <w:divBdr>
                        <w:top w:val="none" w:sz="0" w:space="0" w:color="auto"/>
                        <w:left w:val="none" w:sz="0" w:space="0" w:color="auto"/>
                        <w:bottom w:val="none" w:sz="0" w:space="0" w:color="auto"/>
                        <w:right w:val="none" w:sz="0" w:space="0" w:color="auto"/>
                      </w:divBdr>
                      <w:divsChild>
                        <w:div w:id="1510366337">
                          <w:marLeft w:val="0"/>
                          <w:marRight w:val="0"/>
                          <w:marTop w:val="0"/>
                          <w:marBottom w:val="0"/>
                          <w:divBdr>
                            <w:top w:val="none" w:sz="0" w:space="0" w:color="auto"/>
                            <w:left w:val="none" w:sz="0" w:space="0" w:color="auto"/>
                            <w:bottom w:val="none" w:sz="0" w:space="0" w:color="auto"/>
                            <w:right w:val="none" w:sz="0" w:space="0" w:color="auto"/>
                          </w:divBdr>
                          <w:divsChild>
                            <w:div w:id="12198019">
                              <w:marLeft w:val="0"/>
                              <w:marRight w:val="0"/>
                              <w:marTop w:val="0"/>
                              <w:marBottom w:val="0"/>
                              <w:divBdr>
                                <w:top w:val="none" w:sz="0" w:space="0" w:color="auto"/>
                                <w:left w:val="none" w:sz="0" w:space="0" w:color="auto"/>
                                <w:bottom w:val="none" w:sz="0" w:space="0" w:color="auto"/>
                                <w:right w:val="none" w:sz="0" w:space="0" w:color="auto"/>
                              </w:divBdr>
                              <w:divsChild>
                                <w:div w:id="1559047171">
                                  <w:marLeft w:val="0"/>
                                  <w:marRight w:val="0"/>
                                  <w:marTop w:val="0"/>
                                  <w:marBottom w:val="0"/>
                                  <w:divBdr>
                                    <w:top w:val="none" w:sz="0" w:space="0" w:color="auto"/>
                                    <w:left w:val="none" w:sz="0" w:space="0" w:color="auto"/>
                                    <w:bottom w:val="none" w:sz="0" w:space="0" w:color="auto"/>
                                    <w:right w:val="none" w:sz="0" w:space="0" w:color="auto"/>
                                  </w:divBdr>
                                  <w:divsChild>
                                    <w:div w:id="11230117">
                                      <w:marLeft w:val="0"/>
                                      <w:marRight w:val="0"/>
                                      <w:marTop w:val="0"/>
                                      <w:marBottom w:val="0"/>
                                      <w:divBdr>
                                        <w:top w:val="none" w:sz="0" w:space="0" w:color="auto"/>
                                        <w:left w:val="none" w:sz="0" w:space="0" w:color="auto"/>
                                        <w:bottom w:val="none" w:sz="0" w:space="0" w:color="auto"/>
                                        <w:right w:val="none" w:sz="0" w:space="0" w:color="auto"/>
                                      </w:divBdr>
                                      <w:divsChild>
                                        <w:div w:id="553346642">
                                          <w:marLeft w:val="0"/>
                                          <w:marRight w:val="0"/>
                                          <w:marTop w:val="0"/>
                                          <w:marBottom w:val="0"/>
                                          <w:divBdr>
                                            <w:top w:val="none" w:sz="0" w:space="0" w:color="auto"/>
                                            <w:left w:val="none" w:sz="0" w:space="0" w:color="auto"/>
                                            <w:bottom w:val="none" w:sz="0" w:space="0" w:color="auto"/>
                                            <w:right w:val="none" w:sz="0" w:space="0" w:color="auto"/>
                                          </w:divBdr>
                                          <w:divsChild>
                                            <w:div w:id="1065877868">
                                              <w:marLeft w:val="0"/>
                                              <w:marRight w:val="0"/>
                                              <w:marTop w:val="0"/>
                                              <w:marBottom w:val="0"/>
                                              <w:divBdr>
                                                <w:top w:val="none" w:sz="0" w:space="0" w:color="auto"/>
                                                <w:left w:val="none" w:sz="0" w:space="0" w:color="auto"/>
                                                <w:bottom w:val="none" w:sz="0" w:space="0" w:color="auto"/>
                                                <w:right w:val="none" w:sz="0" w:space="0" w:color="auto"/>
                                              </w:divBdr>
                                              <w:divsChild>
                                                <w:div w:id="1725988183">
                                                  <w:marLeft w:val="0"/>
                                                  <w:marRight w:val="0"/>
                                                  <w:marTop w:val="0"/>
                                                  <w:marBottom w:val="0"/>
                                                  <w:divBdr>
                                                    <w:top w:val="none" w:sz="0" w:space="0" w:color="auto"/>
                                                    <w:left w:val="none" w:sz="0" w:space="0" w:color="auto"/>
                                                    <w:bottom w:val="none" w:sz="0" w:space="0" w:color="auto"/>
                                                    <w:right w:val="none" w:sz="0" w:space="0" w:color="auto"/>
                                                  </w:divBdr>
                                                  <w:divsChild>
                                                    <w:div w:id="89546541">
                                                      <w:marLeft w:val="0"/>
                                                      <w:marRight w:val="0"/>
                                                      <w:marTop w:val="0"/>
                                                      <w:marBottom w:val="0"/>
                                                      <w:divBdr>
                                                        <w:top w:val="none" w:sz="0" w:space="0" w:color="auto"/>
                                                        <w:left w:val="none" w:sz="0" w:space="0" w:color="auto"/>
                                                        <w:bottom w:val="none" w:sz="0" w:space="0" w:color="auto"/>
                                                        <w:right w:val="none" w:sz="0" w:space="0" w:color="auto"/>
                                                      </w:divBdr>
                                                    </w:div>
                                                  </w:divsChild>
                                                </w:div>
                                                <w:div w:id="376662750">
                                                  <w:marLeft w:val="0"/>
                                                  <w:marRight w:val="0"/>
                                                  <w:marTop w:val="0"/>
                                                  <w:marBottom w:val="0"/>
                                                  <w:divBdr>
                                                    <w:top w:val="none" w:sz="0" w:space="0" w:color="auto"/>
                                                    <w:left w:val="none" w:sz="0" w:space="0" w:color="auto"/>
                                                    <w:bottom w:val="none" w:sz="0" w:space="0" w:color="auto"/>
                                                    <w:right w:val="none" w:sz="0" w:space="0" w:color="auto"/>
                                                  </w:divBdr>
                                                  <w:divsChild>
                                                    <w:div w:id="1642072746">
                                                      <w:marLeft w:val="0"/>
                                                      <w:marRight w:val="0"/>
                                                      <w:marTop w:val="0"/>
                                                      <w:marBottom w:val="0"/>
                                                      <w:divBdr>
                                                        <w:top w:val="none" w:sz="0" w:space="0" w:color="auto"/>
                                                        <w:left w:val="none" w:sz="0" w:space="0" w:color="auto"/>
                                                        <w:bottom w:val="none" w:sz="0" w:space="0" w:color="auto"/>
                                                        <w:right w:val="none" w:sz="0" w:space="0" w:color="auto"/>
                                                      </w:divBdr>
                                                    </w:div>
                                                  </w:divsChild>
                                                </w:div>
                                                <w:div w:id="792017815">
                                                  <w:marLeft w:val="0"/>
                                                  <w:marRight w:val="0"/>
                                                  <w:marTop w:val="0"/>
                                                  <w:marBottom w:val="0"/>
                                                  <w:divBdr>
                                                    <w:top w:val="none" w:sz="0" w:space="0" w:color="auto"/>
                                                    <w:left w:val="none" w:sz="0" w:space="0" w:color="auto"/>
                                                    <w:bottom w:val="none" w:sz="0" w:space="0" w:color="auto"/>
                                                    <w:right w:val="none" w:sz="0" w:space="0" w:color="auto"/>
                                                  </w:divBdr>
                                                  <w:divsChild>
                                                    <w:div w:id="705175408">
                                                      <w:marLeft w:val="0"/>
                                                      <w:marRight w:val="0"/>
                                                      <w:marTop w:val="0"/>
                                                      <w:marBottom w:val="0"/>
                                                      <w:divBdr>
                                                        <w:top w:val="none" w:sz="0" w:space="0" w:color="auto"/>
                                                        <w:left w:val="none" w:sz="0" w:space="0" w:color="auto"/>
                                                        <w:bottom w:val="none" w:sz="0" w:space="0" w:color="auto"/>
                                                        <w:right w:val="none" w:sz="0" w:space="0" w:color="auto"/>
                                                      </w:divBdr>
                                                    </w:div>
                                                  </w:divsChild>
                                                </w:div>
                                                <w:div w:id="1661345289">
                                                  <w:marLeft w:val="0"/>
                                                  <w:marRight w:val="0"/>
                                                  <w:marTop w:val="0"/>
                                                  <w:marBottom w:val="0"/>
                                                  <w:divBdr>
                                                    <w:top w:val="none" w:sz="0" w:space="0" w:color="auto"/>
                                                    <w:left w:val="none" w:sz="0" w:space="0" w:color="auto"/>
                                                    <w:bottom w:val="none" w:sz="0" w:space="0" w:color="auto"/>
                                                    <w:right w:val="none" w:sz="0" w:space="0" w:color="auto"/>
                                                  </w:divBdr>
                                                  <w:divsChild>
                                                    <w:div w:id="16044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223967">
      <w:bodyDiv w:val="1"/>
      <w:marLeft w:val="0"/>
      <w:marRight w:val="0"/>
      <w:marTop w:val="0"/>
      <w:marBottom w:val="0"/>
      <w:divBdr>
        <w:top w:val="none" w:sz="0" w:space="0" w:color="auto"/>
        <w:left w:val="none" w:sz="0" w:space="0" w:color="auto"/>
        <w:bottom w:val="none" w:sz="0" w:space="0" w:color="auto"/>
        <w:right w:val="none" w:sz="0" w:space="0" w:color="auto"/>
      </w:divBdr>
      <w:divsChild>
        <w:div w:id="1928729048">
          <w:marLeft w:val="0"/>
          <w:marRight w:val="0"/>
          <w:marTop w:val="0"/>
          <w:marBottom w:val="0"/>
          <w:divBdr>
            <w:top w:val="none" w:sz="0" w:space="0" w:color="auto"/>
            <w:left w:val="none" w:sz="0" w:space="0" w:color="auto"/>
            <w:bottom w:val="none" w:sz="0" w:space="0" w:color="auto"/>
            <w:right w:val="none" w:sz="0" w:space="0" w:color="auto"/>
          </w:divBdr>
          <w:divsChild>
            <w:div w:id="1034577990">
              <w:marLeft w:val="0"/>
              <w:marRight w:val="0"/>
              <w:marTop w:val="0"/>
              <w:marBottom w:val="0"/>
              <w:divBdr>
                <w:top w:val="none" w:sz="0" w:space="0" w:color="auto"/>
                <w:left w:val="none" w:sz="0" w:space="0" w:color="auto"/>
                <w:bottom w:val="none" w:sz="0" w:space="0" w:color="auto"/>
                <w:right w:val="none" w:sz="0" w:space="0" w:color="auto"/>
              </w:divBdr>
            </w:div>
          </w:divsChild>
        </w:div>
        <w:div w:id="1994142641">
          <w:marLeft w:val="0"/>
          <w:marRight w:val="0"/>
          <w:marTop w:val="0"/>
          <w:marBottom w:val="0"/>
          <w:divBdr>
            <w:top w:val="none" w:sz="0" w:space="0" w:color="auto"/>
            <w:left w:val="none" w:sz="0" w:space="0" w:color="auto"/>
            <w:bottom w:val="none" w:sz="0" w:space="0" w:color="auto"/>
            <w:right w:val="none" w:sz="0" w:space="0" w:color="auto"/>
          </w:divBdr>
          <w:divsChild>
            <w:div w:id="1588614486">
              <w:marLeft w:val="0"/>
              <w:marRight w:val="0"/>
              <w:marTop w:val="0"/>
              <w:marBottom w:val="0"/>
              <w:divBdr>
                <w:top w:val="none" w:sz="0" w:space="0" w:color="auto"/>
                <w:left w:val="none" w:sz="0" w:space="0" w:color="auto"/>
                <w:bottom w:val="none" w:sz="0" w:space="0" w:color="auto"/>
                <w:right w:val="none" w:sz="0" w:space="0" w:color="auto"/>
              </w:divBdr>
            </w:div>
          </w:divsChild>
        </w:div>
        <w:div w:id="1563173315">
          <w:marLeft w:val="0"/>
          <w:marRight w:val="0"/>
          <w:marTop w:val="0"/>
          <w:marBottom w:val="0"/>
          <w:divBdr>
            <w:top w:val="none" w:sz="0" w:space="0" w:color="auto"/>
            <w:left w:val="none" w:sz="0" w:space="0" w:color="auto"/>
            <w:bottom w:val="none" w:sz="0" w:space="0" w:color="auto"/>
            <w:right w:val="none" w:sz="0" w:space="0" w:color="auto"/>
          </w:divBdr>
          <w:divsChild>
            <w:div w:id="105009357">
              <w:marLeft w:val="0"/>
              <w:marRight w:val="0"/>
              <w:marTop w:val="0"/>
              <w:marBottom w:val="0"/>
              <w:divBdr>
                <w:top w:val="none" w:sz="0" w:space="0" w:color="auto"/>
                <w:left w:val="none" w:sz="0" w:space="0" w:color="auto"/>
                <w:bottom w:val="none" w:sz="0" w:space="0" w:color="auto"/>
                <w:right w:val="none" w:sz="0" w:space="0" w:color="auto"/>
              </w:divBdr>
            </w:div>
          </w:divsChild>
        </w:div>
        <w:div w:id="1243175153">
          <w:marLeft w:val="0"/>
          <w:marRight w:val="0"/>
          <w:marTop w:val="0"/>
          <w:marBottom w:val="0"/>
          <w:divBdr>
            <w:top w:val="none" w:sz="0" w:space="0" w:color="auto"/>
            <w:left w:val="none" w:sz="0" w:space="0" w:color="auto"/>
            <w:bottom w:val="none" w:sz="0" w:space="0" w:color="auto"/>
            <w:right w:val="none" w:sz="0" w:space="0" w:color="auto"/>
          </w:divBdr>
          <w:divsChild>
            <w:div w:id="15360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78">
      <w:bodyDiv w:val="1"/>
      <w:marLeft w:val="0"/>
      <w:marRight w:val="0"/>
      <w:marTop w:val="0"/>
      <w:marBottom w:val="0"/>
      <w:divBdr>
        <w:top w:val="none" w:sz="0" w:space="0" w:color="auto"/>
        <w:left w:val="none" w:sz="0" w:space="0" w:color="auto"/>
        <w:bottom w:val="none" w:sz="0" w:space="0" w:color="auto"/>
        <w:right w:val="none" w:sz="0" w:space="0" w:color="auto"/>
      </w:divBdr>
      <w:divsChild>
        <w:div w:id="1998725454">
          <w:marLeft w:val="0"/>
          <w:marRight w:val="0"/>
          <w:marTop w:val="0"/>
          <w:marBottom w:val="0"/>
          <w:divBdr>
            <w:top w:val="none" w:sz="0" w:space="0" w:color="auto"/>
            <w:left w:val="none" w:sz="0" w:space="0" w:color="auto"/>
            <w:bottom w:val="none" w:sz="0" w:space="0" w:color="auto"/>
            <w:right w:val="none" w:sz="0" w:space="0" w:color="auto"/>
          </w:divBdr>
          <w:divsChild>
            <w:div w:id="85002430">
              <w:marLeft w:val="0"/>
              <w:marRight w:val="0"/>
              <w:marTop w:val="0"/>
              <w:marBottom w:val="0"/>
              <w:divBdr>
                <w:top w:val="none" w:sz="0" w:space="0" w:color="auto"/>
                <w:left w:val="none" w:sz="0" w:space="0" w:color="auto"/>
                <w:bottom w:val="none" w:sz="0" w:space="0" w:color="auto"/>
                <w:right w:val="none" w:sz="0" w:space="0" w:color="auto"/>
              </w:divBdr>
              <w:divsChild>
                <w:div w:id="1224029561">
                  <w:marLeft w:val="0"/>
                  <w:marRight w:val="0"/>
                  <w:marTop w:val="0"/>
                  <w:marBottom w:val="0"/>
                  <w:divBdr>
                    <w:top w:val="none" w:sz="0" w:space="0" w:color="auto"/>
                    <w:left w:val="none" w:sz="0" w:space="0" w:color="auto"/>
                    <w:bottom w:val="none" w:sz="0" w:space="0" w:color="auto"/>
                    <w:right w:val="none" w:sz="0" w:space="0" w:color="auto"/>
                  </w:divBdr>
                  <w:divsChild>
                    <w:div w:id="1492479135">
                      <w:marLeft w:val="0"/>
                      <w:marRight w:val="0"/>
                      <w:marTop w:val="0"/>
                      <w:marBottom w:val="0"/>
                      <w:divBdr>
                        <w:top w:val="none" w:sz="0" w:space="0" w:color="auto"/>
                        <w:left w:val="none" w:sz="0" w:space="0" w:color="auto"/>
                        <w:bottom w:val="none" w:sz="0" w:space="0" w:color="auto"/>
                        <w:right w:val="none" w:sz="0" w:space="0" w:color="auto"/>
                      </w:divBdr>
                      <w:divsChild>
                        <w:div w:id="2033068754">
                          <w:marLeft w:val="0"/>
                          <w:marRight w:val="0"/>
                          <w:marTop w:val="0"/>
                          <w:marBottom w:val="0"/>
                          <w:divBdr>
                            <w:top w:val="none" w:sz="0" w:space="0" w:color="auto"/>
                            <w:left w:val="none" w:sz="0" w:space="0" w:color="auto"/>
                            <w:bottom w:val="none" w:sz="0" w:space="0" w:color="auto"/>
                            <w:right w:val="none" w:sz="0" w:space="0" w:color="auto"/>
                          </w:divBdr>
                          <w:divsChild>
                            <w:div w:id="896823660">
                              <w:marLeft w:val="0"/>
                              <w:marRight w:val="0"/>
                              <w:marTop w:val="0"/>
                              <w:marBottom w:val="0"/>
                              <w:divBdr>
                                <w:top w:val="none" w:sz="0" w:space="0" w:color="auto"/>
                                <w:left w:val="none" w:sz="0" w:space="0" w:color="auto"/>
                                <w:bottom w:val="none" w:sz="0" w:space="0" w:color="auto"/>
                                <w:right w:val="none" w:sz="0" w:space="0" w:color="auto"/>
                              </w:divBdr>
                              <w:divsChild>
                                <w:div w:id="1427726037">
                                  <w:marLeft w:val="0"/>
                                  <w:marRight w:val="0"/>
                                  <w:marTop w:val="0"/>
                                  <w:marBottom w:val="0"/>
                                  <w:divBdr>
                                    <w:top w:val="none" w:sz="0" w:space="0" w:color="auto"/>
                                    <w:left w:val="none" w:sz="0" w:space="0" w:color="auto"/>
                                    <w:bottom w:val="none" w:sz="0" w:space="0" w:color="auto"/>
                                    <w:right w:val="none" w:sz="0" w:space="0" w:color="auto"/>
                                  </w:divBdr>
                                  <w:divsChild>
                                    <w:div w:id="78755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975951">
      <w:bodyDiv w:val="1"/>
      <w:marLeft w:val="0"/>
      <w:marRight w:val="0"/>
      <w:marTop w:val="0"/>
      <w:marBottom w:val="0"/>
      <w:divBdr>
        <w:top w:val="none" w:sz="0" w:space="0" w:color="auto"/>
        <w:left w:val="none" w:sz="0" w:space="0" w:color="auto"/>
        <w:bottom w:val="none" w:sz="0" w:space="0" w:color="auto"/>
        <w:right w:val="none" w:sz="0" w:space="0" w:color="auto"/>
      </w:divBdr>
      <w:divsChild>
        <w:div w:id="448554020">
          <w:marLeft w:val="0"/>
          <w:marRight w:val="0"/>
          <w:marTop w:val="0"/>
          <w:marBottom w:val="0"/>
          <w:divBdr>
            <w:top w:val="none" w:sz="0" w:space="0" w:color="auto"/>
            <w:left w:val="none" w:sz="0" w:space="0" w:color="auto"/>
            <w:bottom w:val="none" w:sz="0" w:space="0" w:color="auto"/>
            <w:right w:val="none" w:sz="0" w:space="0" w:color="auto"/>
          </w:divBdr>
          <w:divsChild>
            <w:div w:id="19025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1626">
      <w:bodyDiv w:val="1"/>
      <w:marLeft w:val="0"/>
      <w:marRight w:val="0"/>
      <w:marTop w:val="0"/>
      <w:marBottom w:val="0"/>
      <w:divBdr>
        <w:top w:val="none" w:sz="0" w:space="0" w:color="auto"/>
        <w:left w:val="none" w:sz="0" w:space="0" w:color="auto"/>
        <w:bottom w:val="none" w:sz="0" w:space="0" w:color="auto"/>
        <w:right w:val="none" w:sz="0" w:space="0" w:color="auto"/>
      </w:divBdr>
      <w:divsChild>
        <w:div w:id="691802965">
          <w:marLeft w:val="0"/>
          <w:marRight w:val="0"/>
          <w:marTop w:val="0"/>
          <w:marBottom w:val="0"/>
          <w:divBdr>
            <w:top w:val="none" w:sz="0" w:space="0" w:color="auto"/>
            <w:left w:val="none" w:sz="0" w:space="0" w:color="auto"/>
            <w:bottom w:val="none" w:sz="0" w:space="0" w:color="auto"/>
            <w:right w:val="none" w:sz="0" w:space="0" w:color="auto"/>
          </w:divBdr>
          <w:divsChild>
            <w:div w:id="1866601571">
              <w:marLeft w:val="0"/>
              <w:marRight w:val="0"/>
              <w:marTop w:val="0"/>
              <w:marBottom w:val="0"/>
              <w:divBdr>
                <w:top w:val="none" w:sz="0" w:space="0" w:color="auto"/>
                <w:left w:val="none" w:sz="0" w:space="0" w:color="auto"/>
                <w:bottom w:val="none" w:sz="0" w:space="0" w:color="auto"/>
                <w:right w:val="none" w:sz="0" w:space="0" w:color="auto"/>
              </w:divBdr>
            </w:div>
          </w:divsChild>
        </w:div>
        <w:div w:id="1061296090">
          <w:marLeft w:val="0"/>
          <w:marRight w:val="0"/>
          <w:marTop w:val="0"/>
          <w:marBottom w:val="0"/>
          <w:divBdr>
            <w:top w:val="none" w:sz="0" w:space="0" w:color="auto"/>
            <w:left w:val="none" w:sz="0" w:space="0" w:color="auto"/>
            <w:bottom w:val="none" w:sz="0" w:space="0" w:color="auto"/>
            <w:right w:val="none" w:sz="0" w:space="0" w:color="auto"/>
          </w:divBdr>
          <w:divsChild>
            <w:div w:id="665089404">
              <w:marLeft w:val="0"/>
              <w:marRight w:val="0"/>
              <w:marTop w:val="0"/>
              <w:marBottom w:val="0"/>
              <w:divBdr>
                <w:top w:val="none" w:sz="0" w:space="0" w:color="auto"/>
                <w:left w:val="none" w:sz="0" w:space="0" w:color="auto"/>
                <w:bottom w:val="none" w:sz="0" w:space="0" w:color="auto"/>
                <w:right w:val="none" w:sz="0" w:space="0" w:color="auto"/>
              </w:divBdr>
            </w:div>
          </w:divsChild>
        </w:div>
        <w:div w:id="472480069">
          <w:marLeft w:val="0"/>
          <w:marRight w:val="0"/>
          <w:marTop w:val="0"/>
          <w:marBottom w:val="0"/>
          <w:divBdr>
            <w:top w:val="none" w:sz="0" w:space="0" w:color="auto"/>
            <w:left w:val="none" w:sz="0" w:space="0" w:color="auto"/>
            <w:bottom w:val="none" w:sz="0" w:space="0" w:color="auto"/>
            <w:right w:val="none" w:sz="0" w:space="0" w:color="auto"/>
          </w:divBdr>
          <w:divsChild>
            <w:div w:id="15828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30112">
      <w:bodyDiv w:val="1"/>
      <w:marLeft w:val="0"/>
      <w:marRight w:val="0"/>
      <w:marTop w:val="0"/>
      <w:marBottom w:val="0"/>
      <w:divBdr>
        <w:top w:val="none" w:sz="0" w:space="0" w:color="auto"/>
        <w:left w:val="none" w:sz="0" w:space="0" w:color="auto"/>
        <w:bottom w:val="none" w:sz="0" w:space="0" w:color="auto"/>
        <w:right w:val="none" w:sz="0" w:space="0" w:color="auto"/>
      </w:divBdr>
      <w:divsChild>
        <w:div w:id="1885680767">
          <w:marLeft w:val="0"/>
          <w:marRight w:val="0"/>
          <w:marTop w:val="0"/>
          <w:marBottom w:val="0"/>
          <w:divBdr>
            <w:top w:val="none" w:sz="0" w:space="0" w:color="auto"/>
            <w:left w:val="none" w:sz="0" w:space="0" w:color="auto"/>
            <w:bottom w:val="none" w:sz="0" w:space="0" w:color="auto"/>
            <w:right w:val="none" w:sz="0" w:space="0" w:color="auto"/>
          </w:divBdr>
          <w:divsChild>
            <w:div w:id="1396123850">
              <w:marLeft w:val="0"/>
              <w:marRight w:val="0"/>
              <w:marTop w:val="0"/>
              <w:marBottom w:val="0"/>
              <w:divBdr>
                <w:top w:val="none" w:sz="0" w:space="0" w:color="auto"/>
                <w:left w:val="none" w:sz="0" w:space="0" w:color="auto"/>
                <w:bottom w:val="none" w:sz="0" w:space="0" w:color="auto"/>
                <w:right w:val="none" w:sz="0" w:space="0" w:color="auto"/>
              </w:divBdr>
              <w:divsChild>
                <w:div w:id="1736736212">
                  <w:marLeft w:val="0"/>
                  <w:marRight w:val="0"/>
                  <w:marTop w:val="0"/>
                  <w:marBottom w:val="0"/>
                  <w:divBdr>
                    <w:top w:val="none" w:sz="0" w:space="0" w:color="auto"/>
                    <w:left w:val="none" w:sz="0" w:space="0" w:color="auto"/>
                    <w:bottom w:val="none" w:sz="0" w:space="0" w:color="auto"/>
                    <w:right w:val="none" w:sz="0" w:space="0" w:color="auto"/>
                  </w:divBdr>
                  <w:divsChild>
                    <w:div w:id="247275742">
                      <w:marLeft w:val="0"/>
                      <w:marRight w:val="0"/>
                      <w:marTop w:val="0"/>
                      <w:marBottom w:val="0"/>
                      <w:divBdr>
                        <w:top w:val="none" w:sz="0" w:space="0" w:color="auto"/>
                        <w:left w:val="none" w:sz="0" w:space="0" w:color="auto"/>
                        <w:bottom w:val="none" w:sz="0" w:space="0" w:color="auto"/>
                        <w:right w:val="none" w:sz="0" w:space="0" w:color="auto"/>
                      </w:divBdr>
                      <w:divsChild>
                        <w:div w:id="1998414345">
                          <w:marLeft w:val="0"/>
                          <w:marRight w:val="0"/>
                          <w:marTop w:val="0"/>
                          <w:marBottom w:val="0"/>
                          <w:divBdr>
                            <w:top w:val="none" w:sz="0" w:space="0" w:color="auto"/>
                            <w:left w:val="none" w:sz="0" w:space="0" w:color="auto"/>
                            <w:bottom w:val="none" w:sz="0" w:space="0" w:color="auto"/>
                            <w:right w:val="none" w:sz="0" w:space="0" w:color="auto"/>
                          </w:divBdr>
                          <w:divsChild>
                            <w:div w:id="1715230749">
                              <w:marLeft w:val="0"/>
                              <w:marRight w:val="0"/>
                              <w:marTop w:val="0"/>
                              <w:marBottom w:val="0"/>
                              <w:divBdr>
                                <w:top w:val="none" w:sz="0" w:space="0" w:color="auto"/>
                                <w:left w:val="none" w:sz="0" w:space="0" w:color="auto"/>
                                <w:bottom w:val="none" w:sz="0" w:space="0" w:color="auto"/>
                                <w:right w:val="none" w:sz="0" w:space="0" w:color="auto"/>
                              </w:divBdr>
                              <w:divsChild>
                                <w:div w:id="307788560">
                                  <w:marLeft w:val="0"/>
                                  <w:marRight w:val="0"/>
                                  <w:marTop w:val="0"/>
                                  <w:marBottom w:val="0"/>
                                  <w:divBdr>
                                    <w:top w:val="none" w:sz="0" w:space="0" w:color="auto"/>
                                    <w:left w:val="none" w:sz="0" w:space="0" w:color="auto"/>
                                    <w:bottom w:val="none" w:sz="0" w:space="0" w:color="auto"/>
                                    <w:right w:val="none" w:sz="0" w:space="0" w:color="auto"/>
                                  </w:divBdr>
                                  <w:divsChild>
                                    <w:div w:id="1364551731">
                                      <w:marLeft w:val="0"/>
                                      <w:marRight w:val="0"/>
                                      <w:marTop w:val="0"/>
                                      <w:marBottom w:val="0"/>
                                      <w:divBdr>
                                        <w:top w:val="none" w:sz="0" w:space="0" w:color="auto"/>
                                        <w:left w:val="none" w:sz="0" w:space="0" w:color="auto"/>
                                        <w:bottom w:val="none" w:sz="0" w:space="0" w:color="auto"/>
                                        <w:right w:val="none" w:sz="0" w:space="0" w:color="auto"/>
                                      </w:divBdr>
                                    </w:div>
                                  </w:divsChild>
                                </w:div>
                                <w:div w:id="141193535">
                                  <w:marLeft w:val="0"/>
                                  <w:marRight w:val="0"/>
                                  <w:marTop w:val="0"/>
                                  <w:marBottom w:val="0"/>
                                  <w:divBdr>
                                    <w:top w:val="none" w:sz="0" w:space="0" w:color="auto"/>
                                    <w:left w:val="none" w:sz="0" w:space="0" w:color="auto"/>
                                    <w:bottom w:val="none" w:sz="0" w:space="0" w:color="auto"/>
                                    <w:right w:val="none" w:sz="0" w:space="0" w:color="auto"/>
                                  </w:divBdr>
                                  <w:divsChild>
                                    <w:div w:id="1043015943">
                                      <w:marLeft w:val="0"/>
                                      <w:marRight w:val="0"/>
                                      <w:marTop w:val="0"/>
                                      <w:marBottom w:val="0"/>
                                      <w:divBdr>
                                        <w:top w:val="none" w:sz="0" w:space="0" w:color="auto"/>
                                        <w:left w:val="none" w:sz="0" w:space="0" w:color="auto"/>
                                        <w:bottom w:val="none" w:sz="0" w:space="0" w:color="auto"/>
                                        <w:right w:val="none" w:sz="0" w:space="0" w:color="auto"/>
                                      </w:divBdr>
                                    </w:div>
                                  </w:divsChild>
                                </w:div>
                                <w:div w:id="1286159222">
                                  <w:marLeft w:val="0"/>
                                  <w:marRight w:val="0"/>
                                  <w:marTop w:val="0"/>
                                  <w:marBottom w:val="0"/>
                                  <w:divBdr>
                                    <w:top w:val="none" w:sz="0" w:space="0" w:color="auto"/>
                                    <w:left w:val="none" w:sz="0" w:space="0" w:color="auto"/>
                                    <w:bottom w:val="none" w:sz="0" w:space="0" w:color="auto"/>
                                    <w:right w:val="none" w:sz="0" w:space="0" w:color="auto"/>
                                  </w:divBdr>
                                  <w:divsChild>
                                    <w:div w:id="201066345">
                                      <w:marLeft w:val="0"/>
                                      <w:marRight w:val="0"/>
                                      <w:marTop w:val="0"/>
                                      <w:marBottom w:val="0"/>
                                      <w:divBdr>
                                        <w:top w:val="none" w:sz="0" w:space="0" w:color="auto"/>
                                        <w:left w:val="none" w:sz="0" w:space="0" w:color="auto"/>
                                        <w:bottom w:val="none" w:sz="0" w:space="0" w:color="auto"/>
                                        <w:right w:val="none" w:sz="0" w:space="0" w:color="auto"/>
                                      </w:divBdr>
                                    </w:div>
                                  </w:divsChild>
                                </w:div>
                                <w:div w:id="716778771">
                                  <w:marLeft w:val="0"/>
                                  <w:marRight w:val="0"/>
                                  <w:marTop w:val="0"/>
                                  <w:marBottom w:val="0"/>
                                  <w:divBdr>
                                    <w:top w:val="none" w:sz="0" w:space="0" w:color="auto"/>
                                    <w:left w:val="none" w:sz="0" w:space="0" w:color="auto"/>
                                    <w:bottom w:val="none" w:sz="0" w:space="0" w:color="auto"/>
                                    <w:right w:val="none" w:sz="0" w:space="0" w:color="auto"/>
                                  </w:divBdr>
                                  <w:divsChild>
                                    <w:div w:id="953900847">
                                      <w:marLeft w:val="0"/>
                                      <w:marRight w:val="0"/>
                                      <w:marTop w:val="0"/>
                                      <w:marBottom w:val="0"/>
                                      <w:divBdr>
                                        <w:top w:val="none" w:sz="0" w:space="0" w:color="auto"/>
                                        <w:left w:val="none" w:sz="0" w:space="0" w:color="auto"/>
                                        <w:bottom w:val="none" w:sz="0" w:space="0" w:color="auto"/>
                                        <w:right w:val="none" w:sz="0" w:space="0" w:color="auto"/>
                                      </w:divBdr>
                                    </w:div>
                                  </w:divsChild>
                                </w:div>
                                <w:div w:id="1268347624">
                                  <w:marLeft w:val="0"/>
                                  <w:marRight w:val="0"/>
                                  <w:marTop w:val="0"/>
                                  <w:marBottom w:val="0"/>
                                  <w:divBdr>
                                    <w:top w:val="none" w:sz="0" w:space="0" w:color="auto"/>
                                    <w:left w:val="none" w:sz="0" w:space="0" w:color="auto"/>
                                    <w:bottom w:val="none" w:sz="0" w:space="0" w:color="auto"/>
                                    <w:right w:val="none" w:sz="0" w:space="0" w:color="auto"/>
                                  </w:divBdr>
                                  <w:divsChild>
                                    <w:div w:id="1247301342">
                                      <w:marLeft w:val="0"/>
                                      <w:marRight w:val="0"/>
                                      <w:marTop w:val="0"/>
                                      <w:marBottom w:val="0"/>
                                      <w:divBdr>
                                        <w:top w:val="none" w:sz="0" w:space="0" w:color="auto"/>
                                        <w:left w:val="none" w:sz="0" w:space="0" w:color="auto"/>
                                        <w:bottom w:val="none" w:sz="0" w:space="0" w:color="auto"/>
                                        <w:right w:val="none" w:sz="0" w:space="0" w:color="auto"/>
                                      </w:divBdr>
                                    </w:div>
                                  </w:divsChild>
                                </w:div>
                                <w:div w:id="1542210397">
                                  <w:marLeft w:val="0"/>
                                  <w:marRight w:val="0"/>
                                  <w:marTop w:val="0"/>
                                  <w:marBottom w:val="0"/>
                                  <w:divBdr>
                                    <w:top w:val="none" w:sz="0" w:space="0" w:color="auto"/>
                                    <w:left w:val="none" w:sz="0" w:space="0" w:color="auto"/>
                                    <w:bottom w:val="none" w:sz="0" w:space="0" w:color="auto"/>
                                    <w:right w:val="none" w:sz="0" w:space="0" w:color="auto"/>
                                  </w:divBdr>
                                  <w:divsChild>
                                    <w:div w:id="17825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394091">
                  <w:marLeft w:val="0"/>
                  <w:marRight w:val="0"/>
                  <w:marTop w:val="0"/>
                  <w:marBottom w:val="0"/>
                  <w:divBdr>
                    <w:top w:val="none" w:sz="0" w:space="0" w:color="auto"/>
                    <w:left w:val="none" w:sz="0" w:space="0" w:color="auto"/>
                    <w:bottom w:val="none" w:sz="0" w:space="0" w:color="auto"/>
                    <w:right w:val="none" w:sz="0" w:space="0" w:color="auto"/>
                  </w:divBdr>
                  <w:divsChild>
                    <w:div w:id="16107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D1984-71AA-47D7-806D-2F4D1398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3627</Words>
  <Characters>20678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Windows User</cp:lastModifiedBy>
  <cp:revision>2</cp:revision>
  <dcterms:created xsi:type="dcterms:W3CDTF">2025-09-10T08:44:00Z</dcterms:created>
  <dcterms:modified xsi:type="dcterms:W3CDTF">2025-09-10T08:44:00Z</dcterms:modified>
</cp:coreProperties>
</file>