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3F42" w14:textId="08025C06" w:rsidR="002341C6" w:rsidRPr="007C4543" w:rsidRDefault="002341C6" w:rsidP="007C4543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7C4543">
        <w:rPr>
          <w:rFonts w:ascii="Times New Roman" w:hAnsi="Times New Roman" w:cs="Times New Roman"/>
          <w:noProof/>
          <w:color w:val="auto"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1B1BAF24" wp14:editId="101ABA2B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C4543">
        <w:rPr>
          <w:rFonts w:ascii="Times New Roman" w:hAnsi="Times New Roman" w:cs="Times New Roman"/>
          <w:noProof/>
          <w:color w:val="auto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6C64BF09" wp14:editId="7001BE0B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>Republika e Kosovës</w:t>
      </w:r>
      <w:r w:rsidR="007C4543"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7C4543"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>Republic of Kosovo</w:t>
      </w:r>
    </w:p>
    <w:p w14:paraId="1F059D4C" w14:textId="72D72F61" w:rsidR="007C4543" w:rsidRPr="007C4543" w:rsidRDefault="007C4543" w:rsidP="007C4543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</w:t>
      </w:r>
      <w:r w:rsidR="002341C6" w:rsidRPr="007C4543">
        <w:rPr>
          <w:rFonts w:ascii="Times New Roman" w:hAnsi="Times New Roman" w:cs="Times New Roman"/>
          <w:color w:val="auto"/>
          <w:sz w:val="26"/>
          <w:szCs w:val="26"/>
        </w:rPr>
        <w:t>Komuna</w:t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41C6" w:rsidRPr="007C4543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41C6" w:rsidRPr="007C4543">
        <w:rPr>
          <w:rFonts w:ascii="Times New Roman" w:hAnsi="Times New Roman" w:cs="Times New Roman"/>
          <w:color w:val="auto"/>
          <w:sz w:val="26"/>
          <w:szCs w:val="26"/>
        </w:rPr>
        <w:t>Municipality</w:t>
      </w:r>
      <w:r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D8C8907" w14:textId="2F905461" w:rsidR="002341C6" w:rsidRPr="007C4543" w:rsidRDefault="007C4543" w:rsidP="007C4543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C454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</w:t>
      </w:r>
      <w:r w:rsidR="002341C6" w:rsidRPr="007C4543">
        <w:rPr>
          <w:rFonts w:ascii="Times New Roman" w:hAnsi="Times New Roman" w:cs="Times New Roman"/>
          <w:color w:val="auto"/>
          <w:sz w:val="26"/>
          <w:szCs w:val="26"/>
        </w:rPr>
        <w:t>Hani i Elezit</w:t>
      </w:r>
    </w:p>
    <w:p w14:paraId="7371BE90" w14:textId="53754D75" w:rsidR="002341C6" w:rsidRPr="00B3474B" w:rsidRDefault="002341C6" w:rsidP="002341C6">
      <w:pPr>
        <w:tabs>
          <w:tab w:val="left" w:pos="3720"/>
          <w:tab w:val="left" w:pos="7725"/>
          <w:tab w:val="left" w:pos="8640"/>
        </w:tabs>
        <w:jc w:val="right"/>
        <w:rPr>
          <w:rFonts w:ascii="Times New Roman" w:hAnsi="Times New Roman" w:cs="Times New Roman"/>
          <w:noProof/>
          <w:lang w:val="en-US"/>
        </w:rPr>
      </w:pPr>
      <w:r w:rsidRPr="00B3474B">
        <w:rPr>
          <w:rFonts w:ascii="Times New Roman" w:hAnsi="Times New Roman" w:cs="Times New Roman"/>
          <w:noProof/>
          <w:lang w:val="en-US"/>
        </w:rPr>
        <w:t>_____________________________________________________________________________________</w:t>
      </w:r>
      <w:r w:rsidRPr="00B3474B">
        <w:rPr>
          <w:rFonts w:ascii="Times New Roman" w:hAnsi="Times New Roman" w:cs="Times New Roman"/>
          <w:noProof/>
          <w:lang w:val="en-US"/>
        </w:rPr>
        <w:tab/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B60ADF">
        <w:rPr>
          <w:rFonts w:ascii="Times New Roman" w:hAnsi="Times New Roman" w:cs="Times New Roman"/>
          <w:b/>
          <w:sz w:val="24"/>
          <w:szCs w:val="24"/>
          <w:u w:val="single"/>
        </w:rPr>
        <w:t>6910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6DA87F2A" w14:textId="77777777" w:rsidR="002341C6" w:rsidRPr="00B3474B" w:rsidRDefault="002341C6" w:rsidP="002341C6">
      <w:pPr>
        <w:rPr>
          <w:rFonts w:ascii="Times New Roman" w:hAnsi="Times New Roman" w:cs="Times New Roman"/>
        </w:rPr>
      </w:pPr>
    </w:p>
    <w:p w14:paraId="74235AFA" w14:textId="77777777" w:rsidR="002341C6" w:rsidRPr="00B3474B" w:rsidRDefault="002341C6" w:rsidP="002341C6">
      <w:pPr>
        <w:jc w:val="center"/>
        <w:rPr>
          <w:rFonts w:ascii="Times New Roman" w:hAnsi="Times New Roman" w:cs="Times New Roman"/>
        </w:rPr>
      </w:pPr>
      <w:r w:rsidRPr="00B3474B">
        <w:rPr>
          <w:rFonts w:ascii="Times New Roman" w:hAnsi="Times New Roman" w:cs="Times New Roman"/>
        </w:rPr>
        <w:tab/>
      </w:r>
    </w:p>
    <w:p w14:paraId="0B66183E" w14:textId="77777777" w:rsidR="002341C6" w:rsidRPr="00B3474B" w:rsidRDefault="002341C6" w:rsidP="002341C6">
      <w:pPr>
        <w:jc w:val="center"/>
        <w:rPr>
          <w:rFonts w:ascii="Times New Roman" w:hAnsi="Times New Roman" w:cs="Times New Roman"/>
        </w:rPr>
      </w:pPr>
    </w:p>
    <w:p w14:paraId="66BCB9E5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48"/>
          <w:szCs w:val="24"/>
        </w:rPr>
      </w:pPr>
      <w:r w:rsidRPr="00B3474B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713468F2" w14:textId="77777777" w:rsidR="002341C6" w:rsidRPr="00B3474B" w:rsidRDefault="002341C6" w:rsidP="002341C6">
      <w:pPr>
        <w:rPr>
          <w:rFonts w:ascii="Times New Roman" w:hAnsi="Times New Roman" w:cs="Times New Roman"/>
          <w:sz w:val="72"/>
          <w:szCs w:val="24"/>
        </w:rPr>
      </w:pPr>
    </w:p>
    <w:p w14:paraId="02AAF531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738D1437" w14:textId="3725FC19" w:rsidR="002341C6" w:rsidRPr="00B3474B" w:rsidRDefault="002341C6" w:rsidP="002341C6">
      <w:pPr>
        <w:jc w:val="center"/>
        <w:rPr>
          <w:rFonts w:ascii="Times New Roman" w:hAnsi="Times New Roman" w:cs="Times New Roman"/>
          <w:sz w:val="44"/>
          <w:szCs w:val="24"/>
        </w:rPr>
      </w:pPr>
      <w:r w:rsidRPr="00B3474B">
        <w:rPr>
          <w:rFonts w:ascii="Times New Roman" w:hAnsi="Times New Roman" w:cs="Times New Roman"/>
          <w:sz w:val="44"/>
          <w:szCs w:val="24"/>
        </w:rPr>
        <w:t xml:space="preserve">RAPORTI I PUNËS DHE AKTIVITETEVE PËR MUAJIN </w:t>
      </w:r>
      <w:r>
        <w:rPr>
          <w:rFonts w:ascii="Times New Roman" w:hAnsi="Times New Roman" w:cs="Times New Roman"/>
          <w:sz w:val="44"/>
          <w:szCs w:val="24"/>
        </w:rPr>
        <w:t>KORRIK</w:t>
      </w:r>
      <w:r w:rsidRPr="00B3474B">
        <w:rPr>
          <w:rFonts w:ascii="Times New Roman" w:hAnsi="Times New Roman" w:cs="Times New Roman"/>
          <w:sz w:val="44"/>
          <w:szCs w:val="24"/>
        </w:rPr>
        <w:t xml:space="preserve"> 2025</w:t>
      </w:r>
    </w:p>
    <w:p w14:paraId="064D83C3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66C48B1B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1D197EA6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761C7919" w14:textId="77777777" w:rsidR="002341C6" w:rsidRPr="00B3474B" w:rsidRDefault="002341C6" w:rsidP="002341C6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3D5EA945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3909933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D523144" w14:textId="77777777" w:rsidR="002341C6" w:rsidRPr="00B3474B" w:rsidRDefault="002341C6" w:rsidP="002341C6">
      <w:pPr>
        <w:jc w:val="center"/>
        <w:rPr>
          <w:rFonts w:ascii="Times New Roman" w:hAnsi="Times New Roman" w:cs="Times New Roman"/>
          <w:sz w:val="28"/>
          <w:szCs w:val="32"/>
        </w:rPr>
      </w:pPr>
      <w:r w:rsidRPr="00B3474B">
        <w:rPr>
          <w:rFonts w:ascii="Times New Roman" w:hAnsi="Times New Roman" w:cs="Times New Roman"/>
          <w:sz w:val="28"/>
          <w:szCs w:val="32"/>
        </w:rPr>
        <w:t>Hani i Elezit, 2025</w:t>
      </w:r>
    </w:p>
    <w:p w14:paraId="2538BB5F" w14:textId="77777777" w:rsidR="002341C6" w:rsidRPr="00B3474B" w:rsidRDefault="002341C6" w:rsidP="002341C6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DREJTORIA PËR BUXHET DHE FINANCA </w:t>
      </w:r>
    </w:p>
    <w:p w14:paraId="0C78F1CC" w14:textId="77777777" w:rsidR="002341C6" w:rsidRPr="00B3474B" w:rsidRDefault="002341C6" w:rsidP="002341C6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E0E120" w14:textId="22655275" w:rsidR="002341C6" w:rsidRPr="00B3474B" w:rsidRDefault="002341C6" w:rsidP="002341C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Drejtoria për Buxhet dhe Financa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Korrik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vetëqeverisjen lokale, Ligjin mbi tatimin në pronën e paluajtshme, Rregulloret dhe udhëzimet administrative nga Ministria e Financave, Punës dhe Transfereve (MFPT).</w:t>
      </w:r>
    </w:p>
    <w:p w14:paraId="4C293D13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kompetencave dhe përgjegjësive, ka funksionuar kryesisht në katër (4) sektorë:</w:t>
      </w:r>
    </w:p>
    <w:p w14:paraId="6518E16F" w14:textId="77777777" w:rsidR="002341C6" w:rsidRPr="00B3474B" w:rsidRDefault="002341C6" w:rsidP="002341C6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068D4FDF" w14:textId="77777777" w:rsidR="002341C6" w:rsidRPr="00B3474B" w:rsidRDefault="002341C6" w:rsidP="002341C6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763DCABE" w14:textId="77777777" w:rsidR="002341C6" w:rsidRPr="00B3474B" w:rsidRDefault="002341C6" w:rsidP="002341C6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 dhe</w:t>
      </w:r>
    </w:p>
    <w:p w14:paraId="3B97C5B9" w14:textId="77777777" w:rsidR="002341C6" w:rsidRPr="00B3474B" w:rsidRDefault="002341C6" w:rsidP="002341C6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pronë.</w:t>
      </w:r>
    </w:p>
    <w:p w14:paraId="488916DC" w14:textId="77777777" w:rsidR="002341C6" w:rsidRPr="00B3474B" w:rsidRDefault="002341C6" w:rsidP="002341C6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EC8CB" w14:textId="64C56E6B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e menaxhuar nga drejtoresha e drejtorisë dhe me një staf prej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6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) zyrtarëve, gjatë muajit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Korrik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2025 kishte një angazhim permanent, me një përkushtim të madh në drejtim të realizimit sa më të suksesshëm të të gjitha objektivave dhe detyrave të parashikuara në planin e punës së drejtorisë. Aktiviteti i drejtorisë ka qenë i përqëndruar në realizimin e buxhetit sipas dinamikës së planifikuar dhe menaxhimin sa më efikas të buxhetit. </w:t>
      </w:r>
    </w:p>
    <w:p w14:paraId="59A9E98A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6712C25" w14:textId="77777777" w:rsidR="002341C6" w:rsidRPr="00B3474B" w:rsidRDefault="002341C6" w:rsidP="002341C6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Buxheti i komunës së Hanit të Elezit i ndarë sipas Ligjit me </w:t>
      </w:r>
      <w:r w:rsidR="00101591">
        <w:fldChar w:fldCharType="begin"/>
      </w:r>
      <w:r w:rsidR="00101591">
        <w:instrText xml:space="preserve"> HYPERLINK "javascript:__doPostBack('c</w:instrText>
      </w:r>
      <w:r w:rsidR="00101591">
        <w:instrText xml:space="preserve">tl00$MainContent$rAktet$ctl00$lblAn','')" </w:instrText>
      </w:r>
      <w:r w:rsidR="00101591">
        <w:fldChar w:fldCharType="separate"/>
      </w:r>
      <w:r w:rsidRPr="00B3474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NR. 08/L-332 MBI NDARJET BUXHETORE PËR BUXHETIN E REPUBLIKЁS SЁ KOSOVЁS PЁR VITIN 2025</w:t>
      </w:r>
      <w:r w:rsidR="00101591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B3474B">
        <w:rPr>
          <w:rFonts w:ascii="Times New Roman" w:hAnsi="Times New Roman" w:cs="Times New Roman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në lartësi prej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</w:t>
      </w:r>
      <w:r w:rsidRPr="00B3474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.00 Euro.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1EB77F8E" w14:textId="77777777" w:rsidR="002341C6" w:rsidRPr="00B3474B" w:rsidRDefault="002341C6" w:rsidP="002341C6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A52496" w14:textId="77777777" w:rsidR="002341C6" w:rsidRPr="00B3474B" w:rsidRDefault="002341C6" w:rsidP="002341C6">
      <w:pPr>
        <w:pStyle w:val="BodyText"/>
        <w:spacing w:line="360" w:lineRule="auto"/>
        <w:ind w:left="342"/>
      </w:pPr>
      <w:r w:rsidRPr="00B3474B">
        <w:t>Ky buxhet është ndarë sipas kategorive ekonomike si në vijim:</w:t>
      </w:r>
    </w:p>
    <w:p w14:paraId="5A79323B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Paga dhe shtesa................. 2,188,542.00 €,</w:t>
      </w:r>
    </w:p>
    <w:p w14:paraId="7688F3EC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Mallra dhe shërbime............. 584,500.00 €,</w:t>
      </w:r>
    </w:p>
    <w:p w14:paraId="7F029F04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Shpenzimet komunale</w:t>
      </w:r>
      <w:r w:rsidRPr="00B3474B">
        <w:rPr>
          <w:rFonts w:ascii="Times New Roman" w:hAnsi="Times New Roman" w:cs="Times New Roman"/>
          <w:sz w:val="24"/>
          <w:szCs w:val="24"/>
        </w:rPr>
        <w:tab/>
        <w:t>..94,000.00 €,</w:t>
      </w:r>
    </w:p>
    <w:p w14:paraId="229B4714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Subvencione dhe transfere</w:t>
      </w:r>
      <w:r w:rsidRPr="00B3474B">
        <w:rPr>
          <w:rFonts w:ascii="Times New Roman" w:hAnsi="Times New Roman" w:cs="Times New Roman"/>
          <w:sz w:val="24"/>
          <w:szCs w:val="24"/>
        </w:rPr>
        <w:tab/>
        <w:t>143,000.00 €,</w:t>
      </w:r>
    </w:p>
    <w:p w14:paraId="3A029006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 kapitale</w:t>
      </w:r>
      <w:r w:rsidRPr="00B3474B">
        <w:rPr>
          <w:rFonts w:ascii="Times New Roman" w:hAnsi="Times New Roman" w:cs="Times New Roman"/>
          <w:sz w:val="24"/>
          <w:szCs w:val="24"/>
        </w:rPr>
        <w:tab/>
        <w:t>.. 605,415.00 €,</w:t>
      </w:r>
    </w:p>
    <w:p w14:paraId="0F5C1425" w14:textId="77777777" w:rsidR="002341C6" w:rsidRPr="00B3474B" w:rsidRDefault="002341C6" w:rsidP="002341C6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B3474B">
        <w:rPr>
          <w:rFonts w:ascii="Times New Roman" w:hAnsi="Times New Roman" w:cs="Times New Roman"/>
          <w:sz w:val="24"/>
          <w:u w:val="single"/>
        </w:rPr>
        <w:t>Totali i buxhetit</w:t>
      </w:r>
      <w:r w:rsidRPr="00B3474B">
        <w:rPr>
          <w:rFonts w:ascii="Times New Roman" w:hAnsi="Times New Roman" w:cs="Times New Roman"/>
          <w:sz w:val="24"/>
        </w:rPr>
        <w:t>..................</w:t>
      </w:r>
      <w:r w:rsidRPr="00B3474B">
        <w:rPr>
          <w:rFonts w:ascii="Times New Roman" w:hAnsi="Times New Roman" w:cs="Times New Roman"/>
        </w:rPr>
        <w:t xml:space="preserve">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3,615,457.00</w:t>
      </w:r>
      <w:r w:rsidRPr="00B3474B">
        <w:rPr>
          <w:rFonts w:ascii="Times New Roman" w:hAnsi="Times New Roman" w:cs="Times New Roman"/>
          <w:b/>
          <w:bCs/>
          <w:sz w:val="24"/>
          <w:u w:val="single"/>
        </w:rPr>
        <w:t xml:space="preserve"> €.</w:t>
      </w:r>
    </w:p>
    <w:p w14:paraId="5A7D7A60" w14:textId="77777777" w:rsidR="002341C6" w:rsidRPr="00B3474B" w:rsidRDefault="002341C6" w:rsidP="002341C6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ACC91CA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501AEDA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C9DAB14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7B8D57C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8E2F13B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54D2F95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D276E73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CC50D6A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muaji, mund t’i veçojmë këto:</w:t>
      </w:r>
    </w:p>
    <w:p w14:paraId="0EA07AF8" w14:textId="77777777" w:rsidR="002341C6" w:rsidRPr="00B3474B" w:rsidRDefault="002341C6" w:rsidP="002341C6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D9A3F4E" w14:textId="77777777" w:rsidR="002341C6" w:rsidRPr="00B3474B" w:rsidRDefault="002341C6" w:rsidP="002341C6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617B6A8D" w14:textId="35B25206" w:rsidR="002341C6" w:rsidRPr="00B3474B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ato kontraktuale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Qershor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56B38D8B" w14:textId="6EC91254" w:rsidR="002341C6" w:rsidRPr="00B3474B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Barazimi me Thesar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periudha Janar-Qershor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414A0408" w14:textId="004A8A2C" w:rsidR="002341C6" w:rsidRPr="00B3474B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Është dërguar për publikim borxhi publik i muajit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Qershor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 në ueb faqen komunale,</w:t>
      </w:r>
    </w:p>
    <w:p w14:paraId="4F898E62" w14:textId="1A66B6D3" w:rsidR="002341C6" w:rsidRPr="00B34CE7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 i raportit të punëve dhe aktiviteteve të muajit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Qershor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4CE7">
        <w:rPr>
          <w:rFonts w:ascii="Times New Roman" w:eastAsia="Calibri" w:hAnsi="Times New Roman" w:cs="Times New Roman"/>
          <w:color w:val="000000"/>
          <w:sz w:val="24"/>
          <w:szCs w:val="24"/>
        </w:rPr>
        <w:t>në dy formate: Word dhe PDF,</w:t>
      </w:r>
    </w:p>
    <w:p w14:paraId="6B281985" w14:textId="532782A7" w:rsidR="002341C6" w:rsidRPr="002341C6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raportit mujor të të hyrave dhe shpenzimeve të muajit Qershor 2025,</w:t>
      </w:r>
    </w:p>
    <w:p w14:paraId="2DCC32EF" w14:textId="7C67A7A4" w:rsidR="002341C6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Dorëzimi i KAB 2026-2028 në Departamentin e Buxhetit – Ministria e Financave, Punëve dhe Transfereve pas miratimit në Kuvend Komunal, </w:t>
      </w:r>
    </w:p>
    <w:p w14:paraId="6C8E20C1" w14:textId="7CEA3AB6" w:rsidR="002341C6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Pas miratimit në Kuvend Komunal është përgatitur shkresa për rritjen e buxhetit nga tejkalimi i projeksionit të të hyrave vetanake për vitin 2025 dhe është dorëzuar në Departamentin e Buxhetit – Ministria e Financave, Punëve dhe Transfereve,</w:t>
      </w:r>
    </w:p>
    <w:p w14:paraId="40DB4656" w14:textId="53252FC5" w:rsidR="002341C6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Shkresa e rialokimit të mjeteve në kuadër të kategorisë buxhetore Investime Kapitale është </w:t>
      </w:r>
      <w:r w:rsidR="00CF4625">
        <w:rPr>
          <w:rFonts w:ascii="Times New Roman" w:eastAsia="MS Mincho" w:hAnsi="Times New Roman" w:cs="Times New Roman"/>
          <w:color w:val="000000"/>
          <w:sz w:val="24"/>
          <w:szCs w:val="24"/>
        </w:rPr>
        <w:t>miratuar dhe është dorëzuar në Departamentin e Buxhetit – Ministria e Financave, Punëve dhe Transfereve,</w:t>
      </w:r>
    </w:p>
    <w:p w14:paraId="54A67CE5" w14:textId="71BB3074" w:rsidR="00CF4625" w:rsidRDefault="00CF4625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pranuar Raporti Final i Auditimit të PVF të vitit 2024 nga ZKA, </w:t>
      </w:r>
    </w:p>
    <w:p w14:paraId="05343592" w14:textId="77777777" w:rsidR="00CF4625" w:rsidRDefault="00CF4625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plotësuar Formulari i Subvencioneve nga Departamenti i Ndihmës Shtetërore – MFPT për vitin 2024, </w:t>
      </w:r>
    </w:p>
    <w:p w14:paraId="68641354" w14:textId="77777777" w:rsidR="00CF4625" w:rsidRDefault="00CF4625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Takim me Forumin e Autoriteteve Komunale me temë diskutimi Struktura e Shpenzimeve për vitin 2026, </w:t>
      </w:r>
    </w:p>
    <w:p w14:paraId="16BB3DA2" w14:textId="77777777" w:rsidR="00CF4625" w:rsidRDefault="00CF4625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Publikimi i KAB 2026-2028 në ueb faqen komunale në dy formate: Word dhe PDF,</w:t>
      </w:r>
    </w:p>
    <w:p w14:paraId="7F1A10C2" w14:textId="68D8C056" w:rsidR="00CF4625" w:rsidRDefault="00CF4625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Hartimi i Raportit Financiar Janar-Qershor 2025 dhe dorëzimi për diskutim në KPF dhe Kuvend Komunal, </w:t>
      </w:r>
    </w:p>
    <w:p w14:paraId="43844965" w14:textId="77777777" w:rsidR="00CF4625" w:rsidRDefault="00CF4625" w:rsidP="00CF4625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Hartimi i Raportit të Punëve dhe aktiviteteve të Drejtorisë për periudhën Janar-Qershor 2025, </w:t>
      </w:r>
    </w:p>
    <w:p w14:paraId="2E1CAEEB" w14:textId="77777777" w:rsidR="00CF4625" w:rsidRDefault="00CF4625" w:rsidP="00CF4625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Përgatitja e Raportit të Auditimit të PVF 2024 dhe dorëzimi në KPF dhe Kuvend Komunal për diskutim, </w:t>
      </w:r>
    </w:p>
    <w:p w14:paraId="6C84B68C" w14:textId="77777777" w:rsidR="00986915" w:rsidRDefault="00CF4625" w:rsidP="00CF4625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Përgatitja e Planit të veprimit për zbatimin e rekomandimeve të auditimit të PVF 2024 nga ZKA, dhe dorëzimi i këtij plani për diskutim në KPF dhe Kuvend Komunal si dhe në Zyrën Kombëtare të Auditimit, </w:t>
      </w:r>
    </w:p>
    <w:p w14:paraId="534E6B08" w14:textId="77777777" w:rsidR="00986915" w:rsidRDefault="00986915" w:rsidP="00CF4625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Dorëzimi i Raportit të Monitorimit sipas periudhave për projektet kapitale (Q2) në Departamentin e Buxhetit – Ministria e Financave, Punëve dhe Transfereve,</w:t>
      </w:r>
    </w:p>
    <w:p w14:paraId="353ED724" w14:textId="0226D392" w:rsidR="00CF4625" w:rsidRPr="00986915" w:rsidRDefault="00986915" w:rsidP="00986915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Hartimi i kalendarit të dëgjimeve buxhetore për Draft Buxhetin 2026-2028 dhe publikimi në ueb faqe komunale dhe në faqen zyrtare në Facebook,</w:t>
      </w:r>
      <w:r w:rsidR="00CF4625" w:rsidRPr="0098691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14:paraId="2D8DC91C" w14:textId="77777777" w:rsidR="002341C6" w:rsidRPr="00690425" w:rsidRDefault="002341C6" w:rsidP="002341C6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90425">
        <w:rPr>
          <w:rFonts w:ascii="Times New Roman" w:hAnsi="Times New Roman" w:cs="Times New Roman"/>
          <w:sz w:val="24"/>
          <w:szCs w:val="24"/>
        </w:rPr>
        <w:t xml:space="preserve"> </w:t>
      </w:r>
      <w:r w:rsidRPr="0069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0425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690425">
        <w:rPr>
          <w:rFonts w:ascii="Times New Roman" w:eastAsia="Calibri" w:hAnsi="Times New Roman" w:cs="Times New Roman"/>
          <w:color w:val="000000"/>
        </w:rPr>
        <w:t>.</w:t>
      </w:r>
    </w:p>
    <w:p w14:paraId="3369143C" w14:textId="77777777" w:rsidR="002341C6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3CF6161" w14:textId="77777777" w:rsidR="002341C6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5D79403" w14:textId="77777777" w:rsidR="002341C6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A5625C3" w14:textId="77777777" w:rsidR="002341C6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5F3682D" w14:textId="1A34E912" w:rsidR="002341C6" w:rsidRPr="00B3474B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MUAJIN </w:t>
      </w:r>
      <w:r w:rsidR="00986915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KORRIK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2025</w:t>
      </w:r>
    </w:p>
    <w:p w14:paraId="15F08B59" w14:textId="77777777" w:rsidR="002341C6" w:rsidRPr="00B3474B" w:rsidRDefault="002341C6" w:rsidP="002341C6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9"/>
      </w:tblGrid>
      <w:tr w:rsidR="002341C6" w:rsidRPr="00944743" w14:paraId="30DFA2EC" w14:textId="77777777" w:rsidTr="004D7EC2">
        <w:trPr>
          <w:trHeight w:val="8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8B1" w14:textId="77777777" w:rsidR="002341C6" w:rsidRPr="00944743" w:rsidRDefault="002341C6" w:rsidP="004D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Kategoritë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ekonomike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shpenzimeve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A374" w14:textId="77777777" w:rsidR="002341C6" w:rsidRPr="00944743" w:rsidRDefault="002341C6" w:rsidP="0098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7B38" w14:textId="12B37F0E" w:rsidR="002341C6" w:rsidRPr="00944743" w:rsidRDefault="002341C6" w:rsidP="004D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Realizimi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986915"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Korrik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0AA1" w14:textId="4235FDC2" w:rsidR="002341C6" w:rsidRPr="00944743" w:rsidRDefault="002341C6" w:rsidP="004D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%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Realizim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/ </w:t>
            </w:r>
            <w:proofErr w:type="spellStart"/>
            <w:r w:rsidR="001E2AA9"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alokim</w:t>
            </w:r>
            <w:proofErr w:type="spellEnd"/>
          </w:p>
        </w:tc>
      </w:tr>
      <w:tr w:rsidR="00944743" w:rsidRPr="00944743" w14:paraId="4B6C5E89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08CF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Paga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shtesa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B534" w14:textId="239604F2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43">
              <w:rPr>
                <w:rFonts w:ascii="Times New Roman" w:hAnsi="Times New Roman" w:cs="Times New Roman"/>
              </w:rPr>
              <w:t>2,283,153.84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7B15" w14:textId="6A1326F8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200,767.25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C3BF" w14:textId="6B82D889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color w:val="000000"/>
              </w:rPr>
              <w:t>8.79%</w:t>
            </w:r>
          </w:p>
        </w:tc>
      </w:tr>
      <w:tr w:rsidR="00944743" w:rsidRPr="00944743" w14:paraId="0144BDD6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9A0B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Mallra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shërbime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5D88" w14:textId="73D8AD1C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43">
              <w:rPr>
                <w:rFonts w:ascii="Times New Roman" w:hAnsi="Times New Roman" w:cs="Times New Roman"/>
              </w:rPr>
              <w:t>669,507.54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F376" w14:textId="415E6AF9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47,907.01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D387" w14:textId="1A5613F3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color w:val="000000"/>
              </w:rPr>
              <w:t>7.16%</w:t>
            </w:r>
          </w:p>
        </w:tc>
      </w:tr>
      <w:tr w:rsidR="00944743" w:rsidRPr="00944743" w14:paraId="5C0BF212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5B69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Shpenzime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komunale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AC7A" w14:textId="7D2C38CB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94,000.00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A7C0" w14:textId="00A9F50D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9,499.78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4C04" w14:textId="2F4F763D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color w:val="000000"/>
              </w:rPr>
              <w:t>10.11%</w:t>
            </w:r>
          </w:p>
        </w:tc>
      </w:tr>
      <w:tr w:rsidR="00944743" w:rsidRPr="00944743" w14:paraId="13F143EE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745B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Subvencione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trans.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9C66" w14:textId="1DD85668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148,000.00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F0FD" w14:textId="67265825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5,450.00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DE06" w14:textId="0FE0B66F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color w:val="000000"/>
              </w:rPr>
              <w:t>3.68%</w:t>
            </w:r>
          </w:p>
        </w:tc>
      </w:tr>
      <w:tr w:rsidR="00944743" w:rsidRPr="00944743" w14:paraId="096B0914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BA55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Shpenzime</w:t>
            </w:r>
            <w:proofErr w:type="spellEnd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kapitale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238C" w14:textId="7B7233C5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43">
              <w:rPr>
                <w:rFonts w:ascii="Times New Roman" w:hAnsi="Times New Roman" w:cs="Times New Roman"/>
              </w:rPr>
              <w:t>878,351.27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9570" w14:textId="244281FA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</w:rPr>
              <w:t>2,887.48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D2F5" w14:textId="771612F4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color w:val="000000"/>
              </w:rPr>
              <w:t>0.33%</w:t>
            </w:r>
          </w:p>
        </w:tc>
      </w:tr>
      <w:tr w:rsidR="00944743" w:rsidRPr="00944743" w14:paraId="23467040" w14:textId="77777777" w:rsidTr="002A6EC9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F258" w14:textId="77777777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44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0F01" w14:textId="673901C1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43">
              <w:rPr>
                <w:rFonts w:ascii="Times New Roman" w:hAnsi="Times New Roman" w:cs="Times New Roman"/>
                <w:b/>
                <w:bCs/>
              </w:rPr>
              <w:t>4,073,012.65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8EEC" w14:textId="3079359E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b/>
                <w:bCs/>
              </w:rPr>
              <w:t>266,511.52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F3B6" w14:textId="0E4143D8" w:rsidR="00944743" w:rsidRPr="00944743" w:rsidRDefault="00944743" w:rsidP="0094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44743">
              <w:rPr>
                <w:rFonts w:ascii="Times New Roman" w:hAnsi="Times New Roman" w:cs="Times New Roman"/>
                <w:b/>
                <w:bCs/>
                <w:color w:val="000000"/>
              </w:rPr>
              <w:t>6.54%</w:t>
            </w:r>
          </w:p>
        </w:tc>
      </w:tr>
    </w:tbl>
    <w:p w14:paraId="604D06A3" w14:textId="77777777" w:rsidR="002341C6" w:rsidRPr="00B3474B" w:rsidRDefault="002341C6" w:rsidP="002341C6">
      <w:pPr>
        <w:tabs>
          <w:tab w:val="left" w:pos="1128"/>
        </w:tabs>
        <w:ind w:right="270" w:firstLine="630"/>
        <w:jc w:val="center"/>
        <w:rPr>
          <w:rFonts w:ascii="Times New Roman" w:hAnsi="Times New Roman" w:cs="Times New Roman"/>
        </w:rPr>
      </w:pPr>
    </w:p>
    <w:p w14:paraId="06048EAF" w14:textId="268F2D81" w:rsidR="002341C6" w:rsidRDefault="002341C6" w:rsidP="002341C6">
      <w:pPr>
        <w:rPr>
          <w:rFonts w:ascii="Times New Roman" w:hAnsi="Times New Roman" w:cs="Times New Roman"/>
        </w:rPr>
      </w:pPr>
    </w:p>
    <w:p w14:paraId="5DD180CF" w14:textId="494778F7" w:rsidR="00986915" w:rsidRDefault="00986915" w:rsidP="002341C6">
      <w:pPr>
        <w:rPr>
          <w:rFonts w:ascii="Times New Roman" w:hAnsi="Times New Roman" w:cs="Times New Roman"/>
        </w:rPr>
      </w:pPr>
    </w:p>
    <w:p w14:paraId="55F8678F" w14:textId="35A9ABE5" w:rsidR="00986915" w:rsidRDefault="00986915" w:rsidP="002341C6">
      <w:pPr>
        <w:rPr>
          <w:rFonts w:ascii="Times New Roman" w:hAnsi="Times New Roman" w:cs="Times New Roman"/>
        </w:rPr>
      </w:pPr>
    </w:p>
    <w:p w14:paraId="49344CF4" w14:textId="76790188" w:rsidR="00986915" w:rsidRDefault="00986915" w:rsidP="002341C6">
      <w:pPr>
        <w:rPr>
          <w:rFonts w:ascii="Times New Roman" w:hAnsi="Times New Roman" w:cs="Times New Roman"/>
        </w:rPr>
      </w:pPr>
    </w:p>
    <w:p w14:paraId="1B3CB6E5" w14:textId="77777777" w:rsidR="00986915" w:rsidRPr="00B3474B" w:rsidRDefault="00986915" w:rsidP="002341C6">
      <w:pPr>
        <w:rPr>
          <w:rFonts w:ascii="Times New Roman" w:hAnsi="Times New Roman" w:cs="Times New Roman"/>
        </w:rPr>
      </w:pPr>
    </w:p>
    <w:p w14:paraId="77E27F86" w14:textId="77777777" w:rsidR="002341C6" w:rsidRPr="004E286E" w:rsidRDefault="002341C6" w:rsidP="002341C6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7434179" w14:textId="77777777" w:rsidR="002341C6" w:rsidRDefault="002341C6" w:rsidP="002341C6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A339A4B" w14:textId="77777777" w:rsidR="002341C6" w:rsidRPr="00B3474B" w:rsidRDefault="002341C6" w:rsidP="002341C6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>SEKTORI PËR TË HYRAT</w:t>
      </w:r>
    </w:p>
    <w:p w14:paraId="28B31932" w14:textId="77777777" w:rsidR="002341C6" w:rsidRPr="00B3474B" w:rsidRDefault="002341C6" w:rsidP="002341C6">
      <w:pPr>
        <w:rPr>
          <w:rFonts w:ascii="Times New Roman" w:hAnsi="Times New Roman" w:cs="Times New Roman"/>
        </w:rPr>
      </w:pPr>
    </w:p>
    <w:p w14:paraId="79DA6701" w14:textId="03F5C231" w:rsidR="002341C6" w:rsidRPr="00B3474B" w:rsidRDefault="002341C6" w:rsidP="002341C6">
      <w:pPr>
        <w:spacing w:after="0" w:line="360" w:lineRule="auto"/>
        <w:ind w:left="-270" w:right="-16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 xml:space="preserve">Planifikimi i të hyrave vetanake për vitin 2025 është në shumë prej 339,719.00 €.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Inkasimi i të hyrave për muajin </w:t>
      </w:r>
      <w:r w:rsidR="00E709C1">
        <w:rPr>
          <w:rFonts w:ascii="Times New Roman" w:eastAsia="Calibri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E709C1">
        <w:rPr>
          <w:rFonts w:ascii="Times New Roman" w:eastAsia="Calibri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ësht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ë në shumë prej </w:t>
      </w:r>
      <w:r w:rsidR="00E709C1">
        <w:rPr>
          <w:rFonts w:ascii="Times New Roman" w:eastAsia="Calibri" w:hAnsi="Times New Roman" w:cs="Times New Roman"/>
          <w:color w:val="000000"/>
          <w:sz w:val="24"/>
          <w:szCs w:val="24"/>
        </w:rPr>
        <w:t>9,451.38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Ndërsa nga muaji Janar deri në muajin </w:t>
      </w:r>
      <w:r w:rsidR="00E709C1">
        <w:rPr>
          <w:rFonts w:ascii="Times New Roman" w:eastAsia="Calibri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E709C1">
        <w:rPr>
          <w:rFonts w:ascii="Times New Roman" w:eastAsia="Calibri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nga të hyrat direkte dhe indirekte kemi inkasuar 1,</w:t>
      </w:r>
      <w:r w:rsidR="00FC0B32">
        <w:rPr>
          <w:rFonts w:ascii="Times New Roman" w:eastAsia="Calibri" w:hAnsi="Times New Roman" w:cs="Times New Roman"/>
          <w:color w:val="000000"/>
          <w:sz w:val="24"/>
          <w:szCs w:val="24"/>
        </w:rPr>
        <w:t>129,194.73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€ ose </w:t>
      </w:r>
      <w:r w:rsidR="00FC0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789,475.73 € tejkalim në vlerë ose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rreth 2</w:t>
      </w:r>
      <w:r w:rsidR="00FC0B32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C0B32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% tejkalim prej projeksionit</w:t>
      </w:r>
      <w:r w:rsidR="00FC0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vjetor. </w:t>
      </w:r>
    </w:p>
    <w:p w14:paraId="4AAE9B62" w14:textId="2F469EF6" w:rsidR="002341C6" w:rsidRDefault="002341C6" w:rsidP="002341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>Regjistrimi, harmonizimi i të hyrave ditore në SIMFK</w:t>
      </w:r>
      <w:r w:rsidR="00FC0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4D223A" w14:textId="791CAA9B" w:rsidR="00FC0B32" w:rsidRDefault="00FC0B32" w:rsidP="002341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Pranimi i Raportit të të hyrave indirekte për TM2 nga Divizioni i të hyrave – MFPT, ku gjobat në trafik janë në shumë prej 29,760.00 € dhe nga Agjensioni Pyjor i Kosovës në shumë prej 198.75 €. </w:t>
      </w:r>
    </w:p>
    <w:p w14:paraId="3899D424" w14:textId="77777777" w:rsidR="002341C6" w:rsidRPr="00B3474B" w:rsidRDefault="002341C6" w:rsidP="002341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F152D2" w14:textId="11727C81" w:rsidR="002341C6" w:rsidRDefault="002341C6" w:rsidP="00FC0B32">
      <w:pPr>
        <w:tabs>
          <w:tab w:val="left" w:pos="915"/>
        </w:tabs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01F1409" w14:textId="77777777" w:rsidR="00FC0B32" w:rsidRDefault="00FC0B32" w:rsidP="00FC0B32">
      <w:pPr>
        <w:tabs>
          <w:tab w:val="left" w:pos="915"/>
        </w:tabs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F031FBB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5E4F4EC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B94A6C0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0CDE340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593DD61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4A07E86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C229B91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6B6EF0F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2FDBCC9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B40368C" w14:textId="5BCA0101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F957793" w14:textId="5419380A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687B85D" w14:textId="7FB8B4BA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BFA47D1" w14:textId="7BA20DB1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2F42761" w14:textId="3B977341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C2D553D" w14:textId="322BC9B9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4E67966" w14:textId="28CC2AED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B979D04" w14:textId="426F70E7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84B2E93" w14:textId="0746A362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BF6A23F" w14:textId="7FBB14D6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71B60A9" w14:textId="0058043F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BA797FD" w14:textId="777E9A1A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EEAD3D3" w14:textId="21CD3393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84053C9" w14:textId="36DB2781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0873F68" w14:textId="2F982D75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C14AF93" w14:textId="40A0A4F2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DE4AC35" w14:textId="78AF545A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943FE7F" w14:textId="40874D71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1B2B2E8" w14:textId="77777777" w:rsidR="00FC0B32" w:rsidRDefault="00FC0B32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979764B" w14:textId="77777777" w:rsidR="002341C6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3BC087E" w14:textId="77777777" w:rsidR="002341C6" w:rsidRPr="00B3474B" w:rsidRDefault="002341C6" w:rsidP="002341C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1F9E9D52" w14:textId="77777777" w:rsidR="002341C6" w:rsidRPr="00B3474B" w:rsidRDefault="002341C6" w:rsidP="002341C6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3061A93" w14:textId="77777777" w:rsidR="002341C6" w:rsidRDefault="002341C6" w:rsidP="002341C6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 ka kryer shërbime të rregullta ndaj qytetarëve, siç janë:</w:t>
      </w:r>
    </w:p>
    <w:p w14:paraId="3C362D54" w14:textId="77777777" w:rsidR="002341C6" w:rsidRDefault="002341C6" w:rsidP="002341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ëshimin e faturave të tatimit në pronë, </w:t>
      </w:r>
    </w:p>
    <w:p w14:paraId="7388C535" w14:textId="2CBEAB3C" w:rsidR="002341C6" w:rsidRDefault="002341C6" w:rsidP="002341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>ëshimin e vërtetimeve për qëllime të ndryshme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</w:p>
    <w:p w14:paraId="29BBFA89" w14:textId="09E3DABF" w:rsidR="00FC0B32" w:rsidRDefault="00FC0B32" w:rsidP="002341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lancuar dhe futur në përdorim Sistemi i ri i Tatimit në Pronë nga Departamenti i Tatimit në Pronë, </w:t>
      </w:r>
    </w:p>
    <w:p w14:paraId="054B792D" w14:textId="4756E3BD" w:rsidR="00FC0B32" w:rsidRPr="00FC0B32" w:rsidRDefault="00FC0B32" w:rsidP="002341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Përgatitja e një reference për Postën e Kosovës për shërbimin e kryer për shpërndarjen me sukses të faturave të tatimit në pronë. </w:t>
      </w:r>
    </w:p>
    <w:p w14:paraId="6102859A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38CC4ED2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10F89B05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2C5FC24B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70AD88EA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4C6A78C3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2BA79F24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5890FACC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4CF25254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074D41C7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39E119EE" w14:textId="77777777" w:rsidR="002341C6" w:rsidRDefault="002341C6" w:rsidP="002341C6">
      <w:pPr>
        <w:rPr>
          <w:rFonts w:ascii="Times New Roman" w:hAnsi="Times New Roman" w:cs="Times New Roman"/>
          <w:sz w:val="24"/>
          <w:szCs w:val="24"/>
        </w:rPr>
      </w:pPr>
    </w:p>
    <w:p w14:paraId="0BAC8081" w14:textId="77777777" w:rsidR="002341C6" w:rsidRPr="00B3474B" w:rsidRDefault="002341C6" w:rsidP="002341C6">
      <w:pPr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Drejtore për Buxhet dhe Financa</w:t>
      </w:r>
    </w:p>
    <w:p w14:paraId="73CA7B73" w14:textId="77777777" w:rsidR="002341C6" w:rsidRDefault="002341C6" w:rsidP="002341C6">
      <w:r w:rsidRPr="00B3474B">
        <w:rPr>
          <w:rFonts w:ascii="Times New Roman" w:hAnsi="Times New Roman" w:cs="Times New Roman"/>
          <w:sz w:val="24"/>
          <w:szCs w:val="24"/>
        </w:rPr>
        <w:t>Lindita Ballazhi</w:t>
      </w:r>
    </w:p>
    <w:p w14:paraId="39EED986" w14:textId="77777777" w:rsidR="002341C6" w:rsidRDefault="002341C6" w:rsidP="002341C6"/>
    <w:p w14:paraId="3E43B5E8" w14:textId="77777777" w:rsidR="00B91ECC" w:rsidRDefault="00B91ECC"/>
    <w:sectPr w:rsidR="00B91ECC" w:rsidSect="002D4A8C">
      <w:footerReference w:type="default" r:id="rId9"/>
      <w:pgSz w:w="12240" w:h="15840"/>
      <w:pgMar w:top="1440" w:right="1183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C3BE" w14:textId="77777777" w:rsidR="00101591" w:rsidRDefault="00101591">
      <w:pPr>
        <w:spacing w:after="0" w:line="240" w:lineRule="auto"/>
      </w:pPr>
      <w:r>
        <w:separator/>
      </w:r>
    </w:p>
  </w:endnote>
  <w:endnote w:type="continuationSeparator" w:id="0">
    <w:p w14:paraId="6F0A525E" w14:textId="77777777" w:rsidR="00101591" w:rsidRDefault="001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85382"/>
      <w:docPartObj>
        <w:docPartGallery w:val="Page Numbers (Bottom of Page)"/>
        <w:docPartUnique/>
      </w:docPartObj>
    </w:sdtPr>
    <w:sdtEndPr/>
    <w:sdtContent>
      <w:p w14:paraId="2A74E618" w14:textId="77777777" w:rsidR="002D4A8C" w:rsidRDefault="00FC0B32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4E1A44" wp14:editId="7B525AA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49CEB" w14:textId="4D94A45F" w:rsidR="002D4A8C" w:rsidRDefault="00FC0B3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41FD8" w:rsidRPr="00941FD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4E1A4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pYnw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" adj="21600" fillcolor="#d2eaf1" stroked="f">
                  <v:textbox>
                    <w:txbxContent>
                      <w:p w14:paraId="0DE49CEB" w14:textId="4D94A45F" w:rsidR="002D4A8C" w:rsidRDefault="00FC0B3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41FD8" w:rsidRPr="00941FD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B61E" w14:textId="77777777" w:rsidR="00101591" w:rsidRDefault="00101591">
      <w:pPr>
        <w:spacing w:after="0" w:line="240" w:lineRule="auto"/>
      </w:pPr>
      <w:r>
        <w:separator/>
      </w:r>
    </w:p>
  </w:footnote>
  <w:footnote w:type="continuationSeparator" w:id="0">
    <w:p w14:paraId="06B84AC2" w14:textId="77777777" w:rsidR="00101591" w:rsidRDefault="0010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0C48"/>
    <w:multiLevelType w:val="hybridMultilevel"/>
    <w:tmpl w:val="C264E9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FD1820"/>
    <w:multiLevelType w:val="hybridMultilevel"/>
    <w:tmpl w:val="5E2AC6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C6"/>
    <w:rsid w:val="00101591"/>
    <w:rsid w:val="001E2AA9"/>
    <w:rsid w:val="002341C6"/>
    <w:rsid w:val="007C4543"/>
    <w:rsid w:val="00941FD8"/>
    <w:rsid w:val="00944743"/>
    <w:rsid w:val="00986915"/>
    <w:rsid w:val="00997DE3"/>
    <w:rsid w:val="00B60ADF"/>
    <w:rsid w:val="00B91ECC"/>
    <w:rsid w:val="00C87176"/>
    <w:rsid w:val="00CF4625"/>
    <w:rsid w:val="00E709C1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D59B"/>
  <w15:chartTrackingRefBased/>
  <w15:docId w15:val="{B8A24E74-EDE2-4D90-B165-F2C8B5D6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C6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1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234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34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1C6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2341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C6"/>
    <w:rPr>
      <w:rFonts w:eastAsia="SimSu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admin</cp:lastModifiedBy>
  <cp:revision>2</cp:revision>
  <cp:lastPrinted>2025-08-08T07:20:00Z</cp:lastPrinted>
  <dcterms:created xsi:type="dcterms:W3CDTF">2025-08-08T21:08:00Z</dcterms:created>
  <dcterms:modified xsi:type="dcterms:W3CDTF">2025-08-08T21:08:00Z</dcterms:modified>
</cp:coreProperties>
</file>