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5125" w14:textId="52F6F1C0" w:rsidR="009A1095" w:rsidRPr="00A21349" w:rsidRDefault="009A1095" w:rsidP="009A1095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413F6130" wp14:editId="378046B4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671F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F25402E" wp14:editId="631C07EA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</w:t>
      </w:r>
      <w:r w:rsidR="003E60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E60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02C6E6F7" w14:textId="4CFF89A3" w:rsidR="009A1095" w:rsidRPr="00A21349" w:rsidRDefault="009A1095" w:rsidP="009A1095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</w:t>
      </w:r>
      <w:r w:rsidR="003E60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3E60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14:paraId="23974223" w14:textId="77777777" w:rsidR="009A1095" w:rsidRPr="00A21349" w:rsidRDefault="009A1095" w:rsidP="009A1095">
      <w:pPr>
        <w:spacing w:befor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7CD0F93A" w14:textId="5DF408BE" w:rsidR="009A1095" w:rsidRPr="009D7A31" w:rsidRDefault="009A1095" w:rsidP="009A1095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2767C8">
        <w:rPr>
          <w:rFonts w:ascii="Times New Roman" w:hAnsi="Times New Roman" w:cs="Times New Roman"/>
          <w:b/>
          <w:sz w:val="24"/>
          <w:szCs w:val="24"/>
          <w:u w:val="single"/>
        </w:rPr>
        <w:t>5627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7F625F8" w14:textId="77777777" w:rsidR="009A1095" w:rsidRDefault="009A1095" w:rsidP="009A1095"/>
    <w:p w14:paraId="391B9DB2" w14:textId="77777777" w:rsidR="009A1095" w:rsidRDefault="009A1095" w:rsidP="009A1095">
      <w:pPr>
        <w:jc w:val="center"/>
      </w:pPr>
      <w:r>
        <w:tab/>
      </w:r>
    </w:p>
    <w:p w14:paraId="737D8037" w14:textId="77777777" w:rsidR="009A1095" w:rsidRDefault="009A1095" w:rsidP="009A1095">
      <w:pPr>
        <w:jc w:val="center"/>
      </w:pPr>
    </w:p>
    <w:p w14:paraId="30ACB3EB" w14:textId="77777777" w:rsidR="009A1095" w:rsidRPr="00A65425" w:rsidRDefault="009A1095" w:rsidP="009A109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6C7F149C" w14:textId="77777777" w:rsidR="009A1095" w:rsidRDefault="009A1095" w:rsidP="009A1095">
      <w:pPr>
        <w:rPr>
          <w:rFonts w:ascii="Times New Roman" w:hAnsi="Times New Roman" w:cs="Times New Roman"/>
          <w:sz w:val="72"/>
          <w:szCs w:val="24"/>
        </w:rPr>
      </w:pPr>
    </w:p>
    <w:p w14:paraId="6246A77F" w14:textId="77777777" w:rsidR="009A1095" w:rsidRDefault="009A1095" w:rsidP="009A1095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B9492AB" w14:textId="034433F3" w:rsidR="009A1095" w:rsidRPr="00A65425" w:rsidRDefault="009A1095" w:rsidP="009A109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JANAR – QERSHOR 2025</w:t>
      </w:r>
    </w:p>
    <w:p w14:paraId="1DCB9AAA" w14:textId="77777777" w:rsidR="009A1095" w:rsidRDefault="009A1095" w:rsidP="009A109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26F93EDB" w14:textId="77777777" w:rsidR="009A1095" w:rsidRDefault="009A1095" w:rsidP="009A109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42ED1BE5" w14:textId="77777777" w:rsidR="009A1095" w:rsidRDefault="009A1095" w:rsidP="009A109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1D53ECD8" w14:textId="77777777" w:rsidR="009A1095" w:rsidRDefault="009A1095" w:rsidP="009A1095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37B1ED57" w14:textId="77777777" w:rsidR="009A1095" w:rsidRDefault="009A1095" w:rsidP="009A109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FEAF866" w14:textId="77777777" w:rsidR="009A1095" w:rsidRDefault="009A1095" w:rsidP="009A109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4483A12" w14:textId="77777777" w:rsidR="009A1095" w:rsidRDefault="009A1095" w:rsidP="009A109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2025</w:t>
      </w:r>
    </w:p>
    <w:p w14:paraId="51E89649" w14:textId="78039B86" w:rsidR="009A1095" w:rsidRPr="00BE2851" w:rsidRDefault="009A1095" w:rsidP="00BE2851">
      <w:pPr>
        <w:pStyle w:val="ListParagraph"/>
        <w:numPr>
          <w:ilvl w:val="0"/>
          <w:numId w:val="10"/>
        </w:num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BE2851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DREJTORIA PËR BUXHET DHE FINANCA </w:t>
      </w:r>
    </w:p>
    <w:p w14:paraId="62DA4EE0" w14:textId="77777777" w:rsidR="009A1095" w:rsidRDefault="009A1095" w:rsidP="009A109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10D7D7" w14:textId="77777777" w:rsidR="009A1095" w:rsidRPr="00FE1103" w:rsidRDefault="009A1095" w:rsidP="009A109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 muajin Janar 2025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5D354598" w14:textId="77777777" w:rsidR="009A1095" w:rsidRPr="00FE1103" w:rsidRDefault="009A1095" w:rsidP="009A109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5FBBC709" w14:textId="77777777" w:rsidR="009A1095" w:rsidRDefault="009A1095" w:rsidP="009A109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41CF96E9" w14:textId="77777777" w:rsidR="009A1095" w:rsidRPr="00FE1103" w:rsidRDefault="009A1095" w:rsidP="009A109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53DD3F09" w14:textId="77777777" w:rsidR="009A1095" w:rsidRPr="00FE1103" w:rsidRDefault="009A1095" w:rsidP="009A109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69C826AA" w14:textId="77777777" w:rsidR="009A1095" w:rsidRPr="00FE1103" w:rsidRDefault="009A1095" w:rsidP="009A109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E804543" w14:textId="77777777" w:rsidR="009A1095" w:rsidRPr="00FE1103" w:rsidRDefault="009A1095" w:rsidP="009A109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EDFEB2" w14:textId="77777777" w:rsidR="009A1095" w:rsidRDefault="009A1095" w:rsidP="009A109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7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Janar 2025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1A50C6F6" w14:textId="77777777" w:rsidR="009A1095" w:rsidRDefault="009A1095" w:rsidP="009A109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7ED8C1B" w14:textId="77777777" w:rsidR="009A1095" w:rsidRPr="00FE1103" w:rsidRDefault="009A1095" w:rsidP="009A109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t i ndarë sipas Ligjit me </w:t>
      </w:r>
      <w:hyperlink r:id="rId9" w:history="1">
        <w:r w:rsidRPr="0064246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NR. 08/L-332 MBI NDARJET BUXHETORE PËR BUXHETIN E REPUBLIKЁS SЁ KOSOVЁS PЁR VITIN 2025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në lartësi prej </w:t>
      </w:r>
      <w:r w:rsidRPr="00642461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</w:t>
      </w:r>
      <w:r w:rsidRPr="0064246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.00 Euro.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5F24BF40" w14:textId="77777777" w:rsidR="009A1095" w:rsidRPr="00C574C5" w:rsidRDefault="009A1095" w:rsidP="009A109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9D31E" w14:textId="77777777" w:rsidR="009A1095" w:rsidRPr="00642461" w:rsidRDefault="009A1095" w:rsidP="009A1095">
      <w:pPr>
        <w:pStyle w:val="BodyText"/>
        <w:spacing w:line="360" w:lineRule="auto"/>
        <w:ind w:left="342"/>
      </w:pPr>
      <w:r w:rsidRPr="00642461">
        <w:t>Ky buxhet është ndarë sipas kategorive ekonomike si në vijim:</w:t>
      </w:r>
    </w:p>
    <w:p w14:paraId="1CB4E9B6" w14:textId="77777777" w:rsidR="009A1095" w:rsidRPr="00642461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Paga dhe shtesa................. 2,188,542.00 €,</w:t>
      </w:r>
    </w:p>
    <w:p w14:paraId="6376AD5A" w14:textId="77777777" w:rsidR="009A1095" w:rsidRPr="00642461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Mallra dhe shërbime............. 584,500.00 €,</w:t>
      </w:r>
    </w:p>
    <w:p w14:paraId="5AE54569" w14:textId="77777777" w:rsidR="009A1095" w:rsidRPr="00642461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Shpenzimet komunale</w:t>
      </w:r>
      <w:r w:rsidRPr="00642461">
        <w:rPr>
          <w:rFonts w:ascii="Times New Roman" w:hAnsi="Times New Roman" w:cs="Times New Roman"/>
          <w:sz w:val="24"/>
          <w:szCs w:val="24"/>
        </w:rPr>
        <w:tab/>
        <w:t>..94,000.00 €,</w:t>
      </w:r>
    </w:p>
    <w:p w14:paraId="28A4C6AE" w14:textId="77777777" w:rsidR="009A1095" w:rsidRPr="00642461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Subvencione dhe transfere</w:t>
      </w:r>
      <w:r w:rsidRPr="00642461">
        <w:rPr>
          <w:rFonts w:ascii="Times New Roman" w:hAnsi="Times New Roman" w:cs="Times New Roman"/>
          <w:sz w:val="24"/>
          <w:szCs w:val="24"/>
        </w:rPr>
        <w:tab/>
        <w:t>143,000.00 €,</w:t>
      </w:r>
    </w:p>
    <w:p w14:paraId="5466CC83" w14:textId="77777777" w:rsidR="009A1095" w:rsidRPr="00642461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Shpenzime kapitale</w:t>
      </w:r>
      <w:r w:rsidRPr="00642461">
        <w:rPr>
          <w:rFonts w:ascii="Times New Roman" w:hAnsi="Times New Roman" w:cs="Times New Roman"/>
          <w:sz w:val="24"/>
          <w:szCs w:val="24"/>
        </w:rPr>
        <w:tab/>
        <w:t>.. 605,415.00 €,</w:t>
      </w:r>
    </w:p>
    <w:p w14:paraId="06C0AC7D" w14:textId="77777777" w:rsidR="009A1095" w:rsidRPr="00C574C5" w:rsidRDefault="009A1095" w:rsidP="009A109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642461">
        <w:t xml:space="preserve"> </w:t>
      </w:r>
      <w:r w:rsidRPr="00642461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3,615,457.00</w:t>
      </w:r>
      <w:r w:rsidRPr="00642461">
        <w:rPr>
          <w:rFonts w:ascii="Times New Roman" w:hAnsi="Times New Roman" w:cs="Times New Roman"/>
          <w:b/>
          <w:bCs/>
          <w:sz w:val="24"/>
          <w:u w:val="single"/>
        </w:rPr>
        <w:t xml:space="preserve"> €.</w:t>
      </w:r>
    </w:p>
    <w:p w14:paraId="28A5E44B" w14:textId="00C9099C" w:rsidR="009A1095" w:rsidRDefault="009A109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B825C72" w14:textId="132152CA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071D85E" w14:textId="2A863E7B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B17AE3A" w14:textId="5683DF97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C259779" w14:textId="6930BAD8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D7CF206" w14:textId="0D5D85D5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7E3F1F4" w14:textId="5EC5F29C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992"/>
        <w:gridCol w:w="1148"/>
        <w:gridCol w:w="1262"/>
        <w:gridCol w:w="1276"/>
        <w:gridCol w:w="1417"/>
      </w:tblGrid>
      <w:tr w:rsidR="000B5FB5" w:rsidRPr="00361AE1" w14:paraId="6F9395B0" w14:textId="77777777" w:rsidTr="00D45A6D">
        <w:trPr>
          <w:trHeight w:val="9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AAAE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Kategoritë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ekonomike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BA96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Ndarjet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Buxhetore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Nr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 08/L-332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38D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49 - BE -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Bashkimi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Evropian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2A30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Grante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të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mbetura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57D8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59 -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Qeveria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Japoneze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3600BC3B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22 -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Të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hyrat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e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bartura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541F734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Shtesa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6293" w14:textId="77777777" w:rsidR="000B5FB5" w:rsidRPr="00361AE1" w:rsidRDefault="000B5FB5" w:rsidP="00D45A6D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Total</w:t>
            </w:r>
          </w:p>
        </w:tc>
      </w:tr>
      <w:tr w:rsidR="000B5FB5" w:rsidRPr="00361AE1" w14:paraId="7F9CF2B0" w14:textId="77777777" w:rsidTr="00D45A6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7D8C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Paga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shtesa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1A09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2,188,542.00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8B42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4175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2794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2D03F32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A152041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94,611.84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3534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2,283,153.84</w:t>
            </w:r>
          </w:p>
        </w:tc>
      </w:tr>
      <w:tr w:rsidR="000B5FB5" w:rsidRPr="00361AE1" w14:paraId="12688A60" w14:textId="77777777" w:rsidTr="00D45A6D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523B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Mallra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shërbime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8ADB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584,500.00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E334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68,346.08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0E3D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0.50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3DE2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800.00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0B27ED88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15,860.96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5D03980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94B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669,507.54</w:t>
            </w:r>
          </w:p>
        </w:tc>
      </w:tr>
      <w:tr w:rsidR="000B5FB5" w:rsidRPr="00361AE1" w14:paraId="20F2EAFA" w14:textId="77777777" w:rsidTr="00D45A6D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4071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Shpenzime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Komunale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1867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94,000.00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E9B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7B41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6206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E7F7238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A4DB9DD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639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94,000.00</w:t>
            </w:r>
          </w:p>
        </w:tc>
      </w:tr>
      <w:tr w:rsidR="000B5FB5" w:rsidRPr="00361AE1" w14:paraId="54F98BD1" w14:textId="77777777" w:rsidTr="00D45A6D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2C73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Subvencione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dhe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transfere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F106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143,000.00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4453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197D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BB7C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262A4D2E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5,000.00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3FDF9BF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9D7E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148,000.00</w:t>
            </w:r>
          </w:p>
        </w:tc>
      </w:tr>
      <w:tr w:rsidR="000B5FB5" w:rsidRPr="00361AE1" w14:paraId="05DE7637" w14:textId="77777777" w:rsidTr="00D45A6D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AEBE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Shpenzime</w:t>
            </w:r>
            <w:proofErr w:type="spellEnd"/>
            <w:r w:rsidRPr="00361A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Kapitale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577C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605,415.00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0D2F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107,789.37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9572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113.18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1A4C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15,123.01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30378DF5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149,910.71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E4DBA42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500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878,351.27</w:t>
            </w:r>
          </w:p>
        </w:tc>
      </w:tr>
      <w:tr w:rsidR="000B5FB5" w:rsidRPr="00361AE1" w14:paraId="494DA294" w14:textId="77777777" w:rsidTr="00D45A6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C2A5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1AE1">
              <w:rPr>
                <w:rFonts w:ascii="Times New Roman" w:eastAsia="Times New Roman" w:hAnsi="Times New Roman" w:cs="Times New Roman"/>
                <w:lang w:val="en-US"/>
              </w:rPr>
              <w:t>Rezerva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034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1570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1E5E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3DD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446F1E9A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75F5DCCF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F811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0B5FB5" w:rsidRPr="00361AE1" w14:paraId="439A3AB4" w14:textId="77777777" w:rsidTr="00D45A6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F217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2C87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3,615,457.00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1E86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176,135.45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A83C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113.68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F06B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15,923.01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AD024FE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170,771.67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7E28023B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94,611.84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8918" w14:textId="77777777" w:rsidR="000B5FB5" w:rsidRPr="00361AE1" w:rsidRDefault="000B5FB5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4,073,012.65</w:t>
            </w:r>
          </w:p>
        </w:tc>
      </w:tr>
    </w:tbl>
    <w:p w14:paraId="6AF923C2" w14:textId="72DDC88D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163CBD3" w14:textId="2C8F2835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B0648D5" w14:textId="0B24C31D" w:rsidR="000B5FB5" w:rsidRDefault="000B5FB5" w:rsidP="009A109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E739CDA" w14:textId="77777777" w:rsidR="000B5FB5" w:rsidRPr="000B5FB5" w:rsidRDefault="000B5FB5" w:rsidP="000B5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B5">
        <w:rPr>
          <w:rFonts w:ascii="Times New Roman" w:hAnsi="Times New Roman" w:cs="Times New Roman"/>
          <w:sz w:val="24"/>
          <w:szCs w:val="24"/>
        </w:rPr>
        <w:t xml:space="preserve">Ndërsa buxheti përfundimtar siç mund ta shohim në tabelën më lartë është </w:t>
      </w:r>
      <w:r w:rsidRPr="000B5FB5">
        <w:rPr>
          <w:rFonts w:ascii="Times New Roman" w:hAnsi="Times New Roman" w:cs="Times New Roman"/>
          <w:b/>
          <w:sz w:val="24"/>
          <w:szCs w:val="24"/>
        </w:rPr>
        <w:t>4,073,012.65 €,</w:t>
      </w:r>
      <w:r w:rsidRPr="000B5FB5">
        <w:rPr>
          <w:rFonts w:ascii="Times New Roman" w:hAnsi="Times New Roman" w:cs="Times New Roman"/>
          <w:sz w:val="24"/>
          <w:szCs w:val="24"/>
        </w:rPr>
        <w:t xml:space="preserve"> ku në këtë shumë përfshihen:</w:t>
      </w:r>
    </w:p>
    <w:p w14:paraId="245519BC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B5">
        <w:rPr>
          <w:rFonts w:ascii="Times New Roman" w:hAnsi="Times New Roman" w:cs="Times New Roman"/>
          <w:bCs/>
          <w:sz w:val="24"/>
          <w:szCs w:val="24"/>
        </w:rPr>
        <w:t xml:space="preserve">Mjetet e ndara nga Grantet Qeveritare në shumë prej </w:t>
      </w:r>
      <w:r w:rsidRPr="000B5FB5">
        <w:rPr>
          <w:rFonts w:ascii="Times New Roman" w:hAnsi="Times New Roman" w:cs="Times New Roman"/>
          <w:b/>
          <w:sz w:val="24"/>
          <w:szCs w:val="24"/>
        </w:rPr>
        <w:t xml:space="preserve">3,275,738.00 €, </w:t>
      </w:r>
    </w:p>
    <w:p w14:paraId="6FC90029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B5">
        <w:rPr>
          <w:rFonts w:ascii="Times New Roman" w:hAnsi="Times New Roman" w:cs="Times New Roman"/>
          <w:bCs/>
          <w:sz w:val="24"/>
          <w:szCs w:val="24"/>
        </w:rPr>
        <w:t xml:space="preserve">Projeksioni i Të Hyrave Vetanake në shumë prej </w:t>
      </w:r>
      <w:r w:rsidRPr="000B5FB5">
        <w:rPr>
          <w:rFonts w:ascii="Times New Roman" w:hAnsi="Times New Roman" w:cs="Times New Roman"/>
          <w:b/>
          <w:sz w:val="24"/>
          <w:szCs w:val="24"/>
        </w:rPr>
        <w:t>339,719.00 €,</w:t>
      </w:r>
      <w:r w:rsidRPr="000B5F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180DF3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B5">
        <w:rPr>
          <w:rFonts w:ascii="Times New Roman" w:hAnsi="Times New Roman" w:cs="Times New Roman"/>
          <w:bCs/>
          <w:sz w:val="24"/>
          <w:szCs w:val="24"/>
        </w:rPr>
        <w:t xml:space="preserve">Bartja e bilancit të pashpenzuar nga viti 2024, në shumë prej </w:t>
      </w:r>
      <w:r w:rsidRPr="000B5FB5">
        <w:rPr>
          <w:rFonts w:ascii="Times New Roman" w:hAnsi="Times New Roman" w:cs="Times New Roman"/>
          <w:b/>
          <w:sz w:val="24"/>
          <w:szCs w:val="24"/>
        </w:rPr>
        <w:t>170,771.67 €,</w:t>
      </w:r>
    </w:p>
    <w:p w14:paraId="6EDBC9DD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0"/>
          <w:lang w:val="en-US"/>
        </w:rPr>
      </w:pPr>
      <w:r w:rsidRPr="000B5FB5">
        <w:rPr>
          <w:rFonts w:ascii="Times New Roman" w:hAnsi="Times New Roman" w:cs="Times New Roman"/>
          <w:sz w:val="24"/>
          <w:szCs w:val="24"/>
        </w:rPr>
        <w:t>Mjetet e mbetura nga Donacioni i Qeverisë Japoneze për projektin “Ndërtimi aneksit për këmbësor në ur</w:t>
      </w:r>
      <w:proofErr w:type="spellStart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>ën</w:t>
      </w:r>
      <w:proofErr w:type="spellEnd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 e </w:t>
      </w:r>
      <w:proofErr w:type="spellStart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>Seçishtës</w:t>
      </w:r>
      <w:proofErr w:type="spellEnd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” </w:t>
      </w:r>
      <w:proofErr w:type="spellStart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>në</w:t>
      </w:r>
      <w:proofErr w:type="spellEnd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>shumë</w:t>
      </w:r>
      <w:proofErr w:type="spellEnd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>prej</w:t>
      </w:r>
      <w:proofErr w:type="spellEnd"/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 </w:t>
      </w:r>
      <w:r w:rsidRPr="000B5FB5">
        <w:rPr>
          <w:rFonts w:ascii="Times New Roman" w:eastAsia="MS Gothic" w:hAnsi="Times New Roman" w:cs="Times New Roman"/>
          <w:b/>
          <w:bCs/>
          <w:sz w:val="24"/>
          <w:szCs w:val="24"/>
          <w:lang w:val="en-US" w:eastAsia="zh-CN"/>
        </w:rPr>
        <w:t>15,923.01 €,</w:t>
      </w:r>
      <w:r w:rsidRPr="000B5FB5">
        <w:rPr>
          <w:rFonts w:ascii="Times New Roman" w:eastAsia="MS Gothic" w:hAnsi="Times New Roman" w:cs="Times New Roman"/>
          <w:sz w:val="24"/>
          <w:szCs w:val="24"/>
          <w:lang w:val="en-US" w:eastAsia="zh-CN"/>
        </w:rPr>
        <w:t xml:space="preserve"> </w:t>
      </w:r>
    </w:p>
    <w:p w14:paraId="00DC1209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0"/>
          <w:lang w:val="en-US"/>
        </w:rPr>
      </w:pP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Donacioni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nga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Unioni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Evropian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për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projektin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dy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vjeçar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“A smart system for Early Floods Detection and Waste Monitoring in the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Lepenc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River Basin”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në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shumë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>prej</w:t>
      </w:r>
      <w:proofErr w:type="spellEnd"/>
      <w:r w:rsidRPr="000B5FB5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</w:t>
      </w:r>
      <w:r w:rsidRPr="000B5FB5">
        <w:rPr>
          <w:rFonts w:ascii="Times New Roman" w:hAnsi="Times New Roman" w:cs="Times New Roman"/>
          <w:b/>
          <w:bCs/>
          <w:sz w:val="24"/>
          <w:szCs w:val="20"/>
          <w:lang w:val="en-US"/>
        </w:rPr>
        <w:t>176,135.45 €,</w:t>
      </w:r>
    </w:p>
    <w:p w14:paraId="15AC825E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0"/>
          <w:lang w:val="en-US"/>
        </w:rPr>
      </w:pP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Shtesë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në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kategorinë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buxhetore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Paga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dhe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Shtesa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në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shumë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0B5FB5">
        <w:rPr>
          <w:rFonts w:ascii="Times New Roman" w:hAnsi="Times New Roman" w:cs="Times New Roman"/>
          <w:sz w:val="24"/>
          <w:szCs w:val="20"/>
          <w:lang w:val="en-US"/>
        </w:rPr>
        <w:t>prej</w:t>
      </w:r>
      <w:proofErr w:type="spellEnd"/>
      <w:r w:rsidRPr="000B5FB5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0B5FB5">
        <w:rPr>
          <w:rFonts w:ascii="Times New Roman" w:hAnsi="Times New Roman" w:cs="Times New Roman"/>
          <w:b/>
          <w:bCs/>
          <w:sz w:val="24"/>
          <w:szCs w:val="20"/>
          <w:lang w:val="en-US"/>
        </w:rPr>
        <w:t>94,611.84 €,</w:t>
      </w:r>
    </w:p>
    <w:p w14:paraId="1612123D" w14:textId="77777777" w:rsidR="000B5FB5" w:rsidRPr="000B5FB5" w:rsidRDefault="000B5FB5" w:rsidP="000B5F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0"/>
          <w:lang w:val="en-US"/>
        </w:rPr>
      </w:pPr>
      <w:r w:rsidRPr="000B5FB5">
        <w:rPr>
          <w:rFonts w:ascii="Times New Roman" w:hAnsi="Times New Roman" w:cs="Times New Roman"/>
          <w:sz w:val="24"/>
          <w:szCs w:val="24"/>
        </w:rPr>
        <w:t xml:space="preserve">Mjete të mbetura nga Grante të cilat janë bartur vit pas viti në vlerë prej </w:t>
      </w:r>
      <w:r w:rsidRPr="000B5FB5">
        <w:rPr>
          <w:rFonts w:ascii="Times New Roman" w:hAnsi="Times New Roman" w:cs="Times New Roman"/>
          <w:b/>
          <w:bCs/>
          <w:sz w:val="24"/>
          <w:szCs w:val="24"/>
        </w:rPr>
        <w:t xml:space="preserve">113.68 €. </w:t>
      </w:r>
    </w:p>
    <w:p w14:paraId="4E527514" w14:textId="77777777" w:rsidR="000B5FB5" w:rsidRPr="000B5FB5" w:rsidRDefault="000B5FB5" w:rsidP="000B5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E529" w14:textId="12E920E8" w:rsidR="009A1095" w:rsidRDefault="000B5FB5" w:rsidP="000B5FB5">
      <w:pPr>
        <w:spacing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hAnsi="Times New Roman" w:cs="Times New Roman"/>
          <w:sz w:val="24"/>
          <w:szCs w:val="24"/>
        </w:rPr>
        <w:t xml:space="preserve">Nisur nga vlerësimi i përgjithshëm del se niveli i shpenzimit të buxhetit për këtë periudhë janar - qershor 2025 është në shumë prej </w:t>
      </w:r>
      <w:r w:rsidRPr="000B5F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1,758,538.44 €. </w:t>
      </w:r>
    </w:p>
    <w:p w14:paraId="0AF549E3" w14:textId="77777777" w:rsidR="009A1095" w:rsidRDefault="009A1095" w:rsidP="009A109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7F2043D5" w14:textId="77777777" w:rsidR="009A1095" w:rsidRDefault="009A1095" w:rsidP="009A109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3D72F54" w14:textId="13F5D342" w:rsidR="009A1095" w:rsidRPr="00BE2851" w:rsidRDefault="009A1095" w:rsidP="00BE2851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E2851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5D73F968" w14:textId="6725B6D5" w:rsidR="007F784D" w:rsidRDefault="007F784D"/>
    <w:p w14:paraId="0D030565" w14:textId="34A5228B" w:rsidR="000F0058" w:rsidRPr="000B5FB5" w:rsidRDefault="000F0058" w:rsidP="000B5FB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B5">
        <w:rPr>
          <w:rFonts w:ascii="Times New Roman" w:hAnsi="Times New Roman" w:cs="Times New Roman"/>
          <w:sz w:val="24"/>
          <w:szCs w:val="24"/>
        </w:rPr>
        <w:t>Përpilimi dhe përgatitja e rrjedhës së parasë së gatshme për të gjitha Programet dhe Nën-Programet buxhetore, me zotimet dhe shpenzimet e parashikuara të mjeteve buxhetore sipas dinamikës së planifikuar për vitin 2025, nëpër të gjitha kategoritë buxhetore si: paga dhe shtesa, mallra dhe shërbime, shpenzime komunale, subvencione e transfere dhe investime kapitale.</w:t>
      </w:r>
    </w:p>
    <w:p w14:paraId="2BA1356A" w14:textId="7C924BFF" w:rsidR="000F0058" w:rsidRPr="000B5FB5" w:rsidRDefault="000F0058" w:rsidP="000B5FB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Përgatitja e Raportit Fincanciar për vitin 2024 dhe e kemi dërguar për diskutim në KPF dhe Kuvend Komunal,</w:t>
      </w:r>
    </w:p>
    <w:p w14:paraId="4E596F80" w14:textId="16B38B8B" w:rsidR="000F0058" w:rsidRPr="000B5FB5" w:rsidRDefault="000F0058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Përgatitja dhe dorëzimi i Raportit të Monitorimit sipas Periudhave (Q4) në Departamentin e Buxhetit – MFPT, </w:t>
      </w:r>
    </w:p>
    <w:p w14:paraId="581755CB" w14:textId="38F90BC5" w:rsidR="000F0058" w:rsidRPr="000B5FB5" w:rsidRDefault="000F0058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Hartimi i Pasqyrave Vjetore Financiare për vitin 2024 dhe anekset përcjellëse si dhe dorëzimi i tyre në Departamentin e Thesarit – MFPT,</w:t>
      </w:r>
    </w:p>
    <w:p w14:paraId="3EBAFC63" w14:textId="77777777" w:rsidR="00294093" w:rsidRPr="000B5FB5" w:rsidRDefault="0029409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dhe publikimi i raportit të punëve dhe aktiviteteve të muajit dhjetor 2024, </w:t>
      </w:r>
    </w:p>
    <w:p w14:paraId="267146BF" w14:textId="77777777" w:rsidR="00294093" w:rsidRPr="000B5FB5" w:rsidRDefault="0029409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 i raportit të punëve dhe aktiviteteve për vitin 2024 në dy formate: Word dhe PDF,</w:t>
      </w:r>
    </w:p>
    <w:p w14:paraId="45455CC2" w14:textId="03B90D2D" w:rsidR="00294093" w:rsidRPr="000B5FB5" w:rsidRDefault="00920EA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043988"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Publikimi i në ueb faqe komunale Raportin Financiar janar-dhjetor 2024 në 3 formate (word, pdf dhe Excel), </w:t>
      </w:r>
    </w:p>
    <w:p w14:paraId="3B1E39C0" w14:textId="77777777" w:rsidR="00043988" w:rsidRPr="000B5FB5" w:rsidRDefault="00043988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Kemi lidhur një Memorandum Mirëkuptimi me DEMOS lidhur me përmirësimin e proceseve buxhetore, </w:t>
      </w:r>
    </w:p>
    <w:p w14:paraId="50966AFD" w14:textId="512D74F6" w:rsidR="00043988" w:rsidRPr="000B5FB5" w:rsidRDefault="00043988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Hartimi i raporteve mujore për punët dhe aktivitetet e drejtorisë për çdo muaj (janar-qershor) 2025 dhe publikimi në ueb faqen Komunale në dy formate: word, pdf,</w:t>
      </w:r>
    </w:p>
    <w:p w14:paraId="57ECEE03" w14:textId="022D72DE" w:rsidR="00043988" w:rsidRPr="000B5FB5" w:rsidRDefault="00043988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Hartimi i raporteve mujore për të hyrat dhe shpenzimet (janar-qershor) dhe publikimi në ueb faqe Komunale,</w:t>
      </w:r>
    </w:p>
    <w:p w14:paraId="249C5AEF" w14:textId="3A18D5FA" w:rsidR="00043988" w:rsidRPr="000B5FB5" w:rsidRDefault="0017059B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Deklarimi në Thesar obligimet e papaguara dhe kontraktuale për çdo muaj periudha (janar-qershor),</w:t>
      </w:r>
    </w:p>
    <w:p w14:paraId="65D5BC86" w14:textId="6E533872" w:rsidR="0017059B" w:rsidRPr="000B5FB5" w:rsidRDefault="0017059B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Fillimi i procesit të auditimit nga ZKA për PVF 2024, </w:t>
      </w:r>
    </w:p>
    <w:p w14:paraId="3B456AA9" w14:textId="77777777" w:rsidR="00064633" w:rsidRPr="000B5FB5" w:rsidRDefault="0006463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Themelimi i grupit punues për hartimin e planit të dëgjimeve buxhetore,</w:t>
      </w:r>
    </w:p>
    <w:p w14:paraId="09A965AD" w14:textId="1C663EAF" w:rsidR="0017059B" w:rsidRPr="000B5FB5" w:rsidRDefault="0006463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Publikimi i borxhit publik çdo muaj periudha janar-qershor,</w:t>
      </w:r>
    </w:p>
    <w:p w14:paraId="7DD1C76B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Hartimi i Raportit Financiar Janar-Mars 2025 dhe dërgimi i të njëjtit si informacion në KPF dhe Kuvend Komunal,</w:t>
      </w:r>
    </w:p>
    <w:p w14:paraId="73DC5472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kërkesës për bartjen e bilancit të pashpenzuar nga viti 2024 në vitin 2025. (Dërgimi dhe miratimi në KPF dhe Kuvend Komunal). </w:t>
      </w:r>
    </w:p>
    <w:p w14:paraId="66A08DED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Dorëzimi i kërkesës për bartjen e bilancit të pashpenzuar nga viti 2024 në vitin 2025 në DB-MFPT,</w:t>
      </w:r>
    </w:p>
    <w:p w14:paraId="3871A852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Raportit të Progresit të zbatimit të rekomandimeve të ZKA për PVF 2023, </w:t>
      </w:r>
    </w:p>
    <w:p w14:paraId="7B5328DA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Dorëzimi i Raportit të Progresit të zbatimit të rekomandimeve të ZKA për PVF 2023 në KPF dhe Kuvend Komunal,</w:t>
      </w:r>
    </w:p>
    <w:p w14:paraId="405335F2" w14:textId="77777777" w:rsidR="00B20AB9" w:rsidRPr="000B5FB5" w:rsidRDefault="00B20AB9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Dorëzimi i Raportit të Progresit të zbatimit të rekomandimeve të ZKA për PVF 2023 në Zyrën Kombëtare të Auditimit, </w:t>
      </w:r>
    </w:p>
    <w:p w14:paraId="22AE735B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Publikimi i Raportit Finaniar Janar-Mars 2025, në web faqen Komunale në 3 formate: Word, PDF dhe Excel,</w:t>
      </w:r>
    </w:p>
    <w:p w14:paraId="5A1C968F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Publikimi i Pasqyrave Vjetore Financiare për vitin 2024 në web faqen Komunale,</w:t>
      </w:r>
    </w:p>
    <w:p w14:paraId="15C8E111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Përgatitja e propozimit për futjen e një projekti të ri në kuadër të buxhetit aktual të vitit 2025 si rrjedhojë e tejkalimit të projeksionit të të hyrave,</w:t>
      </w:r>
    </w:p>
    <w:p w14:paraId="566EF8FB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Pranimi i Qarkores Buxhetore 2026/01 nga Departamenti i Buxhetit – MFPT,</w:t>
      </w:r>
    </w:p>
    <w:p w14:paraId="7A528AAC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Hartimi i kalendarit të dëgjimeve buxhetore për Kornizën Afatmesme Buxhetore 2026-2028 me grupin punues dhe publikimi i njoftimeve në web faqen Komunale dhe faqja zyrtare në Facebook,</w:t>
      </w:r>
    </w:p>
    <w:p w14:paraId="4B9EF25A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Hartimi i Planit të Veprimit të Dëgjimeve Buxhetore për për Kornizën Afatmesme Buxhetore 2026-2028 dhe publikimi i njoftimeve në web faqen Komunale në dy formate: Word dhe PDF,</w:t>
      </w:r>
    </w:p>
    <w:p w14:paraId="2BC448EE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>Takim me grupin punues për hartimin e Kornizës Afatmesme Buxhetore 2026-2028,</w:t>
      </w:r>
    </w:p>
    <w:p w14:paraId="77A81E4B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Hartimi i KAB 2026-2028 nga Grupi Punues,</w:t>
      </w:r>
    </w:p>
    <w:p w14:paraId="079F0AE0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Mbajtja e katër dëgjimeve buxhetore për KAB 2026-2028,</w:t>
      </w:r>
    </w:p>
    <w:p w14:paraId="7B70EEF1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Plotësimi i pyetësorit nga Agjenda Evropiane, sa i përket sektorit të Buxhetit dhe Financave,</w:t>
      </w:r>
    </w:p>
    <w:p w14:paraId="368B7CE7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Pranimi i Draft Raportit të Auditimit të PVF 2024 nga ZKA, </w:t>
      </w:r>
    </w:p>
    <w:p w14:paraId="20436C62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Përgatitja e shkresës së rialokimit të mjeteve në kategorinë buxhetore Investime Kapitale dhe dorëzimi në KPF dhe KK për shqyrtim,</w:t>
      </w:r>
    </w:p>
    <w:p w14:paraId="55A1A37F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Përgatitja e shkresës për rritje të buxhetit nga tejkalimi i projeksionit të të hyrave vetanake dhe dorëzimi në KPF dhe KK për shqyrtim,</w:t>
      </w:r>
    </w:p>
    <w:p w14:paraId="350A2C4F" w14:textId="77777777" w:rsidR="004A137D" w:rsidRPr="000B5FB5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Hartimi dhe publikimi në ueb faqe Komunale Procesverbalet e Dëgjimeve Buxhetore për KAB 2026-2028,</w:t>
      </w:r>
    </w:p>
    <w:p w14:paraId="197F6EDB" w14:textId="01E95407" w:rsidR="00064633" w:rsidRDefault="004A137D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B5FB5">
        <w:rPr>
          <w:rFonts w:ascii="Times New Roman" w:eastAsia="MS Mincho" w:hAnsi="Times New Roman" w:cs="Times New Roman"/>
          <w:color w:val="000000"/>
          <w:sz w:val="24"/>
          <w:szCs w:val="24"/>
        </w:rPr>
        <w:t>Hartimi i Raportit të Dëgjimeve Buxhetore për KAB 2026-2028 dhe publikimi në ueb faqe Komunale,</w:t>
      </w:r>
    </w:p>
    <w:p w14:paraId="6F493D93" w14:textId="6422EE55" w:rsidR="00190F8F" w:rsidRPr="000B5FB5" w:rsidRDefault="00190F8F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Përgatitja dhe dorëzimi i Raportit të Formularit të Monitorimit sipas Periudhave (Q1) për periudhën Janar-Mars 2025 në Departamentin e Buxhetit – MFPT,</w:t>
      </w:r>
    </w:p>
    <w:p w14:paraId="6B29EF4E" w14:textId="76DA5F95" w:rsidR="00294093" w:rsidRPr="00BE2851" w:rsidRDefault="00294093" w:rsidP="000B5FB5">
      <w:pPr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5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Llogaritja dhe realizimi i të gjitha pagesave të destinuar për pagesën e pagave dhe shtesave të Administratës Komunale, të këshilltarëve Komunal, komiteteve të ndryshme të Kuvendit, të Sektorit të Arsimit dhe Sektorit të Kujdesit Primar Shëndetësor.</w:t>
      </w:r>
    </w:p>
    <w:p w14:paraId="3291D396" w14:textId="1F6EF018" w:rsidR="00BE2851" w:rsidRDefault="00BE2851" w:rsidP="00BE2851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FD90F2" w14:textId="03AE9804" w:rsidR="00BE2851" w:rsidRDefault="00BE2851" w:rsidP="00BE2851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0A8DEB" w14:textId="2D808898" w:rsidR="00BE2851" w:rsidRPr="00BE2851" w:rsidRDefault="00BE2851" w:rsidP="00BE2851">
      <w:pPr>
        <w:tabs>
          <w:tab w:val="left" w:pos="540"/>
          <w:tab w:val="left" w:pos="1080"/>
        </w:tabs>
        <w:spacing w:after="0" w:line="360" w:lineRule="auto"/>
        <w:contextualSpacing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2.1 </w:t>
      </w:r>
      <w:r w:rsidRPr="00BE28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Raport i ekzekutimit të Buxhetit periudha Janar-Qershor 2025</w:t>
      </w:r>
    </w:p>
    <w:p w14:paraId="3E2AFB73" w14:textId="77777777" w:rsidR="000F0058" w:rsidRPr="000B5FB5" w:rsidRDefault="000F0058" w:rsidP="000B5F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60" w:type="dxa"/>
        <w:jc w:val="center"/>
        <w:tblLook w:val="04A0" w:firstRow="1" w:lastRow="0" w:firstColumn="1" w:lastColumn="0" w:noHBand="0" w:noVBand="1"/>
      </w:tblPr>
      <w:tblGrid>
        <w:gridCol w:w="2440"/>
        <w:gridCol w:w="1640"/>
        <w:gridCol w:w="1940"/>
        <w:gridCol w:w="1640"/>
        <w:gridCol w:w="1960"/>
        <w:gridCol w:w="2086"/>
      </w:tblGrid>
      <w:tr w:rsidR="00BE2851" w:rsidRPr="00BE2851" w14:paraId="036ADB4E" w14:textId="77777777" w:rsidTr="00BE2851">
        <w:trPr>
          <w:trHeight w:val="61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7C8250" w14:textId="77777777" w:rsidR="00BE2851" w:rsidRPr="00BE2851" w:rsidRDefault="00BE2851" w:rsidP="00D45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Kategoritë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buxhetore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A0256E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C8DC2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alokuar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B2B34A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Realizimi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Janar-Qershor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94DFAB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%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Realizim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alokim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558F65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%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Realizim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planifikim</w:t>
            </w:r>
            <w:proofErr w:type="spellEnd"/>
          </w:p>
        </w:tc>
      </w:tr>
      <w:tr w:rsidR="00BE2851" w:rsidRPr="00BE2851" w14:paraId="03186A54" w14:textId="77777777" w:rsidTr="00BE2851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6BE8FF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Paga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shtesa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D6582E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2,188,542.00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019282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1,130,352.09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5E6F19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1,126,876.70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D9052D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99.69%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A842D2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51.49%</w:t>
            </w:r>
          </w:p>
        </w:tc>
      </w:tr>
      <w:tr w:rsidR="00BE2851" w:rsidRPr="00BE2851" w14:paraId="107C1969" w14:textId="77777777" w:rsidTr="00BE2851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B3CB8A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Mallra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shërbime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9461B9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584,500.00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D75D8F6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669,507.54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113EA5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305,061.31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9CFB4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45.57%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60F3F7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52.19%</w:t>
            </w:r>
          </w:p>
        </w:tc>
      </w:tr>
      <w:tr w:rsidR="00BE2851" w:rsidRPr="00BE2851" w14:paraId="7E4895D6" w14:textId="77777777" w:rsidTr="00BE2851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E779FC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Shpenzime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komunale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3F6BCC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lang w:val="en-US"/>
              </w:rPr>
              <w:t>94,000.00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617543E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078DEA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46,486.86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DC171D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49.45%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6F637D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49.45%</w:t>
            </w:r>
          </w:p>
        </w:tc>
      </w:tr>
      <w:tr w:rsidR="00BE2851" w:rsidRPr="00BE2851" w14:paraId="11CE6AA1" w14:textId="77777777" w:rsidTr="00BE2851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A9345E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Subvencione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trans.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4ADD4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lang w:val="en-US"/>
              </w:rPr>
              <w:t>143,000.00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A17D28C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148,000.00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F511F6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106,474.68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BEE0AF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71.94%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BE7D01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74.46%</w:t>
            </w:r>
          </w:p>
        </w:tc>
      </w:tr>
      <w:tr w:rsidR="00BE2851" w:rsidRPr="00BE2851" w14:paraId="027FB037" w14:textId="77777777" w:rsidTr="00BE2851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DD5F1B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Investime</w:t>
            </w:r>
            <w:proofErr w:type="spellEnd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Kapitale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96669F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605,415.00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EBDD7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878,351.27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9C1A29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173,638.89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A4815F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19.77%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03D142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28.68%</w:t>
            </w:r>
          </w:p>
        </w:tc>
      </w:tr>
      <w:tr w:rsidR="00BE2851" w:rsidRPr="00BE2851" w14:paraId="64EA984B" w14:textId="77777777" w:rsidTr="00BE2851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97DC4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7EAC01B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3,615,457.00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D87F49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2,920,210.90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97E531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1,758,538.44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406231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60.22%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03C008" w14:textId="77777777" w:rsidR="00BE2851" w:rsidRPr="00BE2851" w:rsidRDefault="00BE2851" w:rsidP="00BE2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28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48.64%</w:t>
            </w:r>
          </w:p>
        </w:tc>
      </w:tr>
    </w:tbl>
    <w:p w14:paraId="2CE3F846" w14:textId="67D91ED3" w:rsidR="00164669" w:rsidRDefault="00164669" w:rsidP="00164669"/>
    <w:p w14:paraId="0F806B15" w14:textId="4C98C3B8" w:rsidR="000B5FB5" w:rsidRDefault="000B5FB5" w:rsidP="00164669"/>
    <w:p w14:paraId="1B994170" w14:textId="4191720F" w:rsidR="000B5FB5" w:rsidRDefault="000B5FB5" w:rsidP="00164669"/>
    <w:p w14:paraId="018C0E0A" w14:textId="77777777" w:rsidR="000B5FB5" w:rsidRDefault="000B5FB5" w:rsidP="00164669"/>
    <w:p w14:paraId="4136BC80" w14:textId="6BEA4AD2" w:rsidR="000B5FB5" w:rsidRDefault="000B5FB5" w:rsidP="00164669"/>
    <w:p w14:paraId="7C0F7824" w14:textId="77777777" w:rsidR="000B5FB5" w:rsidRDefault="000B5FB5" w:rsidP="000B5FB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880EF6A" w14:textId="690AD8B0" w:rsidR="000B5FB5" w:rsidRPr="00B3474B" w:rsidRDefault="000B5FB5" w:rsidP="00BE2851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056DBCE8" w14:textId="77777777" w:rsidR="000B5FB5" w:rsidRPr="00B3474B" w:rsidRDefault="000B5FB5" w:rsidP="000B5FB5">
      <w:pPr>
        <w:rPr>
          <w:rFonts w:ascii="Times New Roman" w:hAnsi="Times New Roman" w:cs="Times New Roman"/>
        </w:rPr>
      </w:pPr>
    </w:p>
    <w:p w14:paraId="5DF4CC72" w14:textId="54807856" w:rsidR="000B5FB5" w:rsidRDefault="000B5FB5" w:rsidP="000B5FB5">
      <w:pPr>
        <w:spacing w:after="0" w:line="360" w:lineRule="auto"/>
        <w:ind w:left="-270"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 xml:space="preserve">Planifikimi i të hyrave vetanake për vitin 2025 është në shumë prej 339,719.00 €.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Inkasimi i të hyrave për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periudhën Janar -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Qershor 2026 nga të hyrat direkte dhe indirekte është në shumë prej </w:t>
      </w:r>
      <w:r w:rsidRPr="000B5FB5">
        <w:rPr>
          <w:rFonts w:ascii="Times New Roman" w:hAnsi="Times New Roman" w:cs="Times New Roman"/>
          <w:sz w:val="24"/>
          <w:szCs w:val="24"/>
        </w:rPr>
        <w:t>1,119,743.35</w:t>
      </w:r>
      <w:r w:rsidRPr="000B5F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€ </w:t>
      </w:r>
      <w:r w:rsidRPr="000B5FB5">
        <w:rPr>
          <w:rFonts w:ascii="Times New Roman" w:hAnsi="Times New Roman" w:cs="Times New Roman"/>
          <w:sz w:val="24"/>
          <w:szCs w:val="24"/>
        </w:rPr>
        <w:t>që përfaqëson një rritje të konsiderueshme prej 561.06 % apo rritje në shumëfish prej 6.61 herë më shumë, në krahasim me periudhën e njejtë të vitit paraprak 2024, kur është inkasuar vetëm 162,316.72 €. Kjo rritje kalon bindshëm edhe projeksionin e vitit aktual 2025 (339,719 €) dhe mund t’i atribuohet përmirësimit të efikasitetit në inkasimin e të hyrave.</w:t>
      </w:r>
    </w:p>
    <w:p w14:paraId="5F954EDC" w14:textId="04B44E17" w:rsidR="000B5FB5" w:rsidRPr="000B5FB5" w:rsidRDefault="000B5FB5" w:rsidP="000B5FB5">
      <w:pPr>
        <w:spacing w:after="0" w:line="360" w:lineRule="auto"/>
        <w:ind w:left="-270" w:right="-16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kuadër të këtij sektori janë realizuar këto aktivitete:</w:t>
      </w:r>
    </w:p>
    <w:p w14:paraId="13542C26" w14:textId="3BE2863E" w:rsidR="000B5FB5" w:rsidRDefault="000B5FB5" w:rsidP="000B5F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B5">
        <w:rPr>
          <w:rFonts w:ascii="Times New Roman" w:eastAsia="Times New Roman" w:hAnsi="Times New Roman" w:cs="Times New Roman"/>
          <w:sz w:val="24"/>
          <w:szCs w:val="24"/>
        </w:rPr>
        <w:t>Regjistrimi, harmonizimi i të hyrave ditore në SIMFK,</w:t>
      </w:r>
    </w:p>
    <w:p w14:paraId="7C44BE47" w14:textId="04B6C4BA" w:rsidR="000B5FB5" w:rsidRPr="000B5FB5" w:rsidRDefault="000B5FB5" w:rsidP="000B5F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 xml:space="preserve">Kemi pranuar Projeksionin e THV për vitet 2026-2028, e kemi bërë projeksionin e të gjithë llojeve të të hyrave për vitet përkatëse dhe e kemi dorëzuar në Departamentin e Buxhetit – MFPT, </w:t>
      </w:r>
    </w:p>
    <w:p w14:paraId="1F2E7583" w14:textId="57E01E57" w:rsidR="000B5FB5" w:rsidRDefault="000B5FB5" w:rsidP="000B5F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Përmbushja e projeksionit të të hyrave vetanake në Nën-Programe dhe Kategori Buxhetore, sipas planifikimit buxhetor për vitin 2025</w:t>
      </w:r>
    </w:p>
    <w:p w14:paraId="2001D065" w14:textId="77777777" w:rsidR="000B5FB5" w:rsidRDefault="000B5FB5" w:rsidP="000B5F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Divizioni i të Hyrave – MFPT kemi pranuar Raportin e të hyrave indirekte për TM1 2025, ku nga gjobat në trafik shuma e inkasuar përgjatë periudhës respektive është 16,700.00 €, </w:t>
      </w:r>
    </w:p>
    <w:p w14:paraId="488C0E94" w14:textId="727339E2" w:rsidR="000B5FB5" w:rsidRPr="00E93429" w:rsidRDefault="000B5FB5" w:rsidP="000B5FB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Hartimi i kërkesës për rritje të buxhetit si pasojë e tejkalimit të projeksionit të të hyrave, miratimi në Kuvend Komunal dhe dorëzimi në Departamentin e Buxhetit – MFPT për shqyrtim të mëtutjeshëm. </w:t>
      </w:r>
    </w:p>
    <w:p w14:paraId="545EF5E9" w14:textId="77777777" w:rsidR="000B5FB5" w:rsidRPr="00B3474B" w:rsidRDefault="000B5FB5" w:rsidP="000B5F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454FB4" w14:textId="68AAFE25" w:rsidR="000B5FB5" w:rsidRDefault="000B5FB5" w:rsidP="00164669"/>
    <w:p w14:paraId="02E4C3F0" w14:textId="1D3D7048" w:rsidR="000B5FB5" w:rsidRDefault="000B5FB5" w:rsidP="00164669"/>
    <w:p w14:paraId="5909466F" w14:textId="53DFFDB8" w:rsidR="000B5FB5" w:rsidRDefault="000B5FB5" w:rsidP="00164669"/>
    <w:p w14:paraId="53155D2D" w14:textId="75A45F4F" w:rsidR="000B5FB5" w:rsidRDefault="000B5FB5" w:rsidP="00164669"/>
    <w:p w14:paraId="3DE96358" w14:textId="3D94F45F" w:rsidR="000B5FB5" w:rsidRDefault="000B5FB5" w:rsidP="00164669"/>
    <w:p w14:paraId="166FAC58" w14:textId="5533588D" w:rsidR="000B5FB5" w:rsidRDefault="000B5FB5" w:rsidP="00164669"/>
    <w:p w14:paraId="2DD8F5FC" w14:textId="77619970" w:rsidR="000B5FB5" w:rsidRDefault="000B5FB5" w:rsidP="00164669"/>
    <w:p w14:paraId="501EB2D2" w14:textId="514F075D" w:rsidR="000B5FB5" w:rsidRPr="00BE2851" w:rsidRDefault="000B5FB5" w:rsidP="0034603D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E2851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>SEKTORI I TATIMIT NË PRONË</w:t>
      </w:r>
    </w:p>
    <w:p w14:paraId="44BEFE3A" w14:textId="77777777" w:rsidR="000B5FB5" w:rsidRPr="00B3474B" w:rsidRDefault="000B5FB5" w:rsidP="0034603D">
      <w:pPr>
        <w:spacing w:after="0" w:line="240" w:lineRule="auto"/>
        <w:ind w:left="360" w:firstLine="360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E2BCC09" w14:textId="77777777" w:rsidR="000B5FB5" w:rsidRDefault="000B5FB5" w:rsidP="0034603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 ka kryer shërbime të rregullta ndaj qytetarëve, siç janë:</w:t>
      </w:r>
    </w:p>
    <w:p w14:paraId="213F74BA" w14:textId="77777777" w:rsidR="000B5FB5" w:rsidRDefault="000B5FB5" w:rsidP="0034603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ëshimin e faturave të tatimit në pronë, </w:t>
      </w:r>
    </w:p>
    <w:p w14:paraId="1A6DB600" w14:textId="77777777" w:rsidR="000B5FB5" w:rsidRDefault="000B5FB5" w:rsidP="0034603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>ëshimin e vërtetimeve për qëllime të ndryshme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</w:p>
    <w:p w14:paraId="7DEBDAD7" w14:textId="36DB99BD" w:rsidR="000B5FB5" w:rsidRDefault="000B5FB5" w:rsidP="0034603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Përfundimi i procesit të shpërndarjes së faturave të tatimit në pronë nga Posta e Kosovës</w:t>
      </w:r>
      <w:r w:rsidR="00BE2851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6D427116" w14:textId="77777777" w:rsidR="00BE2851" w:rsidRPr="00BE2851" w:rsidRDefault="00BE2851" w:rsidP="0034603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E285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Në Kuvend Komunal gjatë muajit shkurt, e kemi propozuar Plotësim-Ndryshimin e Vendimit mbi caktimin e normave tatimore i marrë në vitin 2024, pasiqë kemi pasur një rekomandim nga Departamenti i Tatimit në pronë, për ndryshimin e preambulës së atij vendimi për arsye se pasi është miratuar në Kuvend Komunal, është plotësuar/ndryshuar/shfuqizuar një pjesë e bazës ligjore të vendimit. </w:t>
      </w:r>
    </w:p>
    <w:p w14:paraId="1F05852C" w14:textId="5BC70E1A" w:rsidR="00BE2851" w:rsidRPr="00654AD5" w:rsidRDefault="00BE2851" w:rsidP="0034603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Publikimi i Njoftimit për datën e fundit të pagesës së këstit të parë të tatimit në pronë, </w:t>
      </w:r>
    </w:p>
    <w:p w14:paraId="74408D73" w14:textId="77777777" w:rsidR="00BE2851" w:rsidRDefault="00BE2851" w:rsidP="00397D6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Publikimi i një Njoftimi në ueb faqe dhe në faqen zyrtare në Facebook, lidhur me procesin e shpërndarjes së faturave të tatimit në pronë. Departamenti i Tatimit në pronë – MFPT ka pasur probleme teknike në gjenerimin e faturave të tatimit në pronë, si rrjedhojë nuk janë printuar të gjithë faturat e tatimpaguesve të Komunës Hani i Elezit. Me ç’rast Posta e Kosovës dhe Komuna e Hanit të Elezit nuk janë përgjegjëse për këtë çështje. Andaj, kemi bërë njoftimin që ato qytetarë/tatimpagues të cilët nuk e kanë pranuar faturën e tatimit në pronë për vitin 2025 të drejtohen te Sporteli i Tatimit në Pronë, pranë QSHQ-së – kati i parë, Objekti i Komunës, në mënyrë që të pajisen me faturën përkatëse. </w:t>
      </w:r>
    </w:p>
    <w:p w14:paraId="6B7F714F" w14:textId="77777777" w:rsidR="00BE2851" w:rsidRPr="00B3474B" w:rsidRDefault="00BE2851" w:rsidP="0034603D">
      <w:pPr>
        <w:jc w:val="both"/>
        <w:rPr>
          <w:rFonts w:ascii="Times New Roman" w:hAnsi="Times New Roman" w:cs="Times New Roman"/>
        </w:rPr>
      </w:pPr>
    </w:p>
    <w:p w14:paraId="21A5B5F6" w14:textId="52D7A92E" w:rsidR="00BE2851" w:rsidRPr="00BE2851" w:rsidRDefault="00BE2851" w:rsidP="0034603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Planifikimi i të hyrave nga tatimi në pronë dhe në tokë për vitin 2025 është në shumë prej </w:t>
      </w:r>
      <w:r w:rsidR="00397D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167,878.00 €. Për periudhën raportuese, nga tatimi në pronë dhe tokë kemi inkasuar të hyra në shumë prej 50,529.20 € ose 30.1% nga projeksioni. </w:t>
      </w:r>
    </w:p>
    <w:p w14:paraId="7648562B" w14:textId="130B6751" w:rsidR="000B5FB5" w:rsidRDefault="000B5FB5" w:rsidP="0034603D">
      <w:pPr>
        <w:jc w:val="both"/>
      </w:pPr>
    </w:p>
    <w:p w14:paraId="378739A9" w14:textId="59BBDAD0" w:rsidR="002C05ED" w:rsidRDefault="002C05ED" w:rsidP="0034603D">
      <w:pPr>
        <w:jc w:val="both"/>
      </w:pPr>
    </w:p>
    <w:p w14:paraId="16C65646" w14:textId="51E886CF" w:rsidR="002C05ED" w:rsidRDefault="002C05ED" w:rsidP="0034603D">
      <w:pPr>
        <w:jc w:val="both"/>
      </w:pPr>
    </w:p>
    <w:p w14:paraId="608882B2" w14:textId="56666F33" w:rsidR="002C05ED" w:rsidRPr="002C05ED" w:rsidRDefault="002C05ED" w:rsidP="0034603D">
      <w:pPr>
        <w:jc w:val="both"/>
        <w:rPr>
          <w:rFonts w:ascii="Times New Roman" w:hAnsi="Times New Roman" w:cs="Times New Roman"/>
          <w:sz w:val="24"/>
          <w:szCs w:val="24"/>
        </w:rPr>
      </w:pPr>
      <w:r w:rsidRPr="002C05ED">
        <w:rPr>
          <w:rFonts w:ascii="Times New Roman" w:hAnsi="Times New Roman" w:cs="Times New Roman"/>
          <w:sz w:val="24"/>
          <w:szCs w:val="24"/>
        </w:rPr>
        <w:t>Lindita Ballazhi – Drejtore për Buxhet dhe Financa</w:t>
      </w:r>
    </w:p>
    <w:p w14:paraId="7F981AAF" w14:textId="77777777" w:rsidR="002C05ED" w:rsidRPr="00164669" w:rsidRDefault="002C05ED" w:rsidP="0034603D">
      <w:pPr>
        <w:jc w:val="both"/>
      </w:pPr>
    </w:p>
    <w:sectPr w:rsidR="002C05ED" w:rsidRPr="00164669" w:rsidSect="003E605B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5C6A" w14:textId="77777777" w:rsidR="00B74D14" w:rsidRDefault="00B74D14" w:rsidP="003E605B">
      <w:pPr>
        <w:spacing w:after="0" w:line="240" w:lineRule="auto"/>
      </w:pPr>
      <w:r>
        <w:separator/>
      </w:r>
    </w:p>
  </w:endnote>
  <w:endnote w:type="continuationSeparator" w:id="0">
    <w:p w14:paraId="64A37C29" w14:textId="77777777" w:rsidR="00B74D14" w:rsidRDefault="00B74D14" w:rsidP="003E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59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11AFE" w14:textId="7F1CCD07" w:rsidR="003E605B" w:rsidRDefault="003E60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E96928" w14:textId="77777777" w:rsidR="003E605B" w:rsidRDefault="003E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9DF5" w14:textId="77777777" w:rsidR="00B74D14" w:rsidRDefault="00B74D14" w:rsidP="003E605B">
      <w:pPr>
        <w:spacing w:after="0" w:line="240" w:lineRule="auto"/>
      </w:pPr>
      <w:r>
        <w:separator/>
      </w:r>
    </w:p>
  </w:footnote>
  <w:footnote w:type="continuationSeparator" w:id="0">
    <w:p w14:paraId="2DE00567" w14:textId="77777777" w:rsidR="00B74D14" w:rsidRDefault="00B74D14" w:rsidP="003E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A887C77"/>
    <w:multiLevelType w:val="hybridMultilevel"/>
    <w:tmpl w:val="49F0E150"/>
    <w:lvl w:ilvl="0" w:tplc="E58E24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216"/>
    <w:multiLevelType w:val="hybridMultilevel"/>
    <w:tmpl w:val="DFDEF0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7167FD"/>
    <w:multiLevelType w:val="hybridMultilevel"/>
    <w:tmpl w:val="D74C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0C48"/>
    <w:multiLevelType w:val="hybridMultilevel"/>
    <w:tmpl w:val="C264E9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FD1820"/>
    <w:multiLevelType w:val="hybridMultilevel"/>
    <w:tmpl w:val="5E2AC6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3087EE7"/>
    <w:multiLevelType w:val="multilevel"/>
    <w:tmpl w:val="683C2DC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3D3DC1"/>
    <w:multiLevelType w:val="hybridMultilevel"/>
    <w:tmpl w:val="19C60562"/>
    <w:lvl w:ilvl="0" w:tplc="E58E24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5"/>
    <w:rsid w:val="00043988"/>
    <w:rsid w:val="00064633"/>
    <w:rsid w:val="000B5FB5"/>
    <w:rsid w:val="000F0058"/>
    <w:rsid w:val="00164669"/>
    <w:rsid w:val="0017059B"/>
    <w:rsid w:val="00190F8F"/>
    <w:rsid w:val="002767C8"/>
    <w:rsid w:val="00294093"/>
    <w:rsid w:val="002C05ED"/>
    <w:rsid w:val="0034603D"/>
    <w:rsid w:val="00397D68"/>
    <w:rsid w:val="003E605B"/>
    <w:rsid w:val="004A137D"/>
    <w:rsid w:val="007F784D"/>
    <w:rsid w:val="00920EA3"/>
    <w:rsid w:val="009A1095"/>
    <w:rsid w:val="00B20AB9"/>
    <w:rsid w:val="00B74D14"/>
    <w:rsid w:val="00BE2851"/>
    <w:rsid w:val="00E804D1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C30F"/>
  <w15:chartTrackingRefBased/>
  <w15:docId w15:val="{CDD8CADC-30BA-4406-BC25-34F16F17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95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9A109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A1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1095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9A10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5B"/>
    <w:rPr>
      <w:rFonts w:eastAsia="SimSu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E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5B"/>
    <w:rPr>
      <w:rFonts w:eastAsia="SimSu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ntent$rAktet$ctl00$lblAn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admin</cp:lastModifiedBy>
  <cp:revision>2</cp:revision>
  <cp:lastPrinted>2025-07-24T13:31:00Z</cp:lastPrinted>
  <dcterms:created xsi:type="dcterms:W3CDTF">2025-07-28T21:25:00Z</dcterms:created>
  <dcterms:modified xsi:type="dcterms:W3CDTF">2025-07-28T21:25:00Z</dcterms:modified>
</cp:coreProperties>
</file>