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CE365" w14:textId="77777777" w:rsidR="00B34CE7" w:rsidRPr="00B3474B" w:rsidRDefault="00B34CE7" w:rsidP="00B34CE7">
      <w:pPr>
        <w:pStyle w:val="Heading1"/>
        <w:spacing w:before="87"/>
        <w:ind w:left="1360" w:right="2389" w:hanging="101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B3474B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anchor distT="36576" distB="36576" distL="36576" distR="36576" simplePos="0" relativeHeight="251660288" behindDoc="0" locked="0" layoutInCell="1" allowOverlap="1" wp14:anchorId="75818A2F" wp14:editId="059F34B3">
            <wp:simplePos x="0" y="0"/>
            <wp:positionH relativeFrom="column">
              <wp:posOffset>5286375</wp:posOffset>
            </wp:positionH>
            <wp:positionV relativeFrom="paragraph">
              <wp:posOffset>2540</wp:posOffset>
            </wp:positionV>
            <wp:extent cx="1028700" cy="895350"/>
            <wp:effectExtent l="0" t="0" r="0" b="0"/>
            <wp:wrapNone/>
            <wp:docPr id="9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3474B"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47B561D0" wp14:editId="1476378A">
            <wp:simplePos x="0" y="0"/>
            <wp:positionH relativeFrom="column">
              <wp:posOffset>-95250</wp:posOffset>
            </wp:positionH>
            <wp:positionV relativeFrom="paragraph">
              <wp:posOffset>-34290</wp:posOffset>
            </wp:positionV>
            <wp:extent cx="912495" cy="885825"/>
            <wp:effectExtent l="0" t="0" r="1905" b="9525"/>
            <wp:wrapNone/>
            <wp:docPr id="10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3474B">
        <w:rPr>
          <w:rFonts w:ascii="Times New Roman" w:hAnsi="Times New Roman" w:cs="Times New Roman"/>
          <w:color w:val="auto"/>
          <w:sz w:val="26"/>
          <w:szCs w:val="26"/>
        </w:rPr>
        <w:t>Republika e Kosovës-Republic of Kosovo</w:t>
      </w:r>
    </w:p>
    <w:p w14:paraId="272C8EA8" w14:textId="77777777" w:rsidR="00B34CE7" w:rsidRPr="00B3474B" w:rsidRDefault="00B34CE7" w:rsidP="00B34CE7">
      <w:pPr>
        <w:pStyle w:val="Heading1"/>
        <w:tabs>
          <w:tab w:val="left" w:pos="2082"/>
          <w:tab w:val="center" w:pos="3656"/>
        </w:tabs>
        <w:spacing w:before="87"/>
        <w:ind w:left="1360" w:right="2389" w:hanging="1018"/>
        <w:rPr>
          <w:rFonts w:ascii="Times New Roman" w:hAnsi="Times New Roman" w:cs="Times New Roman"/>
          <w:color w:val="auto"/>
          <w:sz w:val="26"/>
          <w:szCs w:val="26"/>
        </w:rPr>
      </w:pPr>
      <w:r w:rsidRPr="00B3474B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Komuna–Municipality</w:t>
      </w:r>
    </w:p>
    <w:p w14:paraId="73698B42" w14:textId="77777777" w:rsidR="00B34CE7" w:rsidRPr="00B3474B" w:rsidRDefault="00B34CE7" w:rsidP="00B34CE7">
      <w:pPr>
        <w:spacing w:before="4"/>
        <w:rPr>
          <w:rFonts w:ascii="Times New Roman" w:hAnsi="Times New Roman" w:cs="Times New Roman"/>
          <w:sz w:val="26"/>
          <w:szCs w:val="26"/>
        </w:rPr>
      </w:pPr>
      <w:r w:rsidRPr="00B347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Hani i Elezit</w:t>
      </w:r>
    </w:p>
    <w:p w14:paraId="33106714" w14:textId="17A68444" w:rsidR="00B34CE7" w:rsidRPr="00B3474B" w:rsidRDefault="00B34CE7" w:rsidP="00B34CE7">
      <w:pPr>
        <w:tabs>
          <w:tab w:val="left" w:pos="3720"/>
          <w:tab w:val="left" w:pos="7725"/>
          <w:tab w:val="left" w:pos="8640"/>
        </w:tabs>
        <w:jc w:val="right"/>
        <w:rPr>
          <w:rFonts w:ascii="Times New Roman" w:hAnsi="Times New Roman" w:cs="Times New Roman"/>
          <w:noProof/>
          <w:lang w:val="en-US"/>
        </w:rPr>
      </w:pPr>
      <w:r w:rsidRPr="00B3474B">
        <w:rPr>
          <w:rFonts w:ascii="Times New Roman" w:hAnsi="Times New Roman" w:cs="Times New Roman"/>
          <w:noProof/>
          <w:lang w:val="en-US"/>
        </w:rPr>
        <w:t>_____________________________________________________________________________________</w:t>
      </w:r>
      <w:r w:rsidRPr="00B3474B">
        <w:rPr>
          <w:rFonts w:ascii="Times New Roman" w:hAnsi="Times New Roman" w:cs="Times New Roman"/>
          <w:noProof/>
          <w:lang w:val="en-US"/>
        </w:rPr>
        <w:tab/>
      </w:r>
      <w:r w:rsidRPr="00B3474B">
        <w:rPr>
          <w:rFonts w:ascii="Times New Roman" w:hAnsi="Times New Roman" w:cs="Times New Roman"/>
          <w:b/>
          <w:sz w:val="24"/>
          <w:szCs w:val="24"/>
          <w:u w:val="single"/>
        </w:rPr>
        <w:t>04/</w:t>
      </w:r>
      <w:r w:rsidR="00240894">
        <w:rPr>
          <w:rFonts w:ascii="Times New Roman" w:hAnsi="Times New Roman" w:cs="Times New Roman"/>
          <w:b/>
          <w:sz w:val="24"/>
          <w:szCs w:val="24"/>
          <w:u w:val="single"/>
        </w:rPr>
        <w:t>2426</w:t>
      </w:r>
      <w:r w:rsidRPr="00B3474B">
        <w:rPr>
          <w:rFonts w:ascii="Times New Roman" w:hAnsi="Times New Roman" w:cs="Times New Roman"/>
          <w:b/>
          <w:sz w:val="24"/>
          <w:szCs w:val="24"/>
          <w:u w:val="single"/>
        </w:rPr>
        <w:t>/2025</w:t>
      </w:r>
    </w:p>
    <w:p w14:paraId="174F26BC" w14:textId="77777777" w:rsidR="00B34CE7" w:rsidRPr="00B3474B" w:rsidRDefault="00B34CE7" w:rsidP="00B34CE7">
      <w:pPr>
        <w:rPr>
          <w:rFonts w:ascii="Times New Roman" w:hAnsi="Times New Roman" w:cs="Times New Roman"/>
        </w:rPr>
      </w:pPr>
    </w:p>
    <w:p w14:paraId="528DC42D" w14:textId="77777777" w:rsidR="00B34CE7" w:rsidRPr="00B3474B" w:rsidRDefault="00B34CE7" w:rsidP="00B34CE7">
      <w:pPr>
        <w:jc w:val="center"/>
        <w:rPr>
          <w:rFonts w:ascii="Times New Roman" w:hAnsi="Times New Roman" w:cs="Times New Roman"/>
        </w:rPr>
      </w:pPr>
      <w:r w:rsidRPr="00B3474B">
        <w:rPr>
          <w:rFonts w:ascii="Times New Roman" w:hAnsi="Times New Roman" w:cs="Times New Roman"/>
        </w:rPr>
        <w:tab/>
      </w:r>
    </w:p>
    <w:p w14:paraId="23ABCFEF" w14:textId="77777777" w:rsidR="00B34CE7" w:rsidRPr="00B3474B" w:rsidRDefault="00B34CE7" w:rsidP="00B34CE7">
      <w:pPr>
        <w:jc w:val="center"/>
        <w:rPr>
          <w:rFonts w:ascii="Times New Roman" w:hAnsi="Times New Roman" w:cs="Times New Roman"/>
        </w:rPr>
      </w:pPr>
    </w:p>
    <w:p w14:paraId="1154D8A5" w14:textId="77777777" w:rsidR="00B34CE7" w:rsidRPr="00B3474B" w:rsidRDefault="00B34CE7" w:rsidP="00B34CE7">
      <w:pPr>
        <w:jc w:val="center"/>
        <w:rPr>
          <w:rFonts w:ascii="Times New Roman" w:hAnsi="Times New Roman" w:cs="Times New Roman"/>
          <w:sz w:val="48"/>
          <w:szCs w:val="24"/>
        </w:rPr>
      </w:pPr>
      <w:r w:rsidRPr="00B3474B">
        <w:rPr>
          <w:rFonts w:ascii="Times New Roman" w:hAnsi="Times New Roman" w:cs="Times New Roman"/>
          <w:sz w:val="48"/>
          <w:szCs w:val="24"/>
        </w:rPr>
        <w:t xml:space="preserve">DREJTORIA PËR BUXHET DHE FINANCA </w:t>
      </w:r>
    </w:p>
    <w:p w14:paraId="7F07FD17" w14:textId="77777777" w:rsidR="00B34CE7" w:rsidRPr="00B3474B" w:rsidRDefault="00B34CE7" w:rsidP="00B34CE7">
      <w:pPr>
        <w:rPr>
          <w:rFonts w:ascii="Times New Roman" w:hAnsi="Times New Roman" w:cs="Times New Roman"/>
          <w:sz w:val="72"/>
          <w:szCs w:val="24"/>
        </w:rPr>
      </w:pPr>
    </w:p>
    <w:p w14:paraId="708562AC" w14:textId="77777777" w:rsidR="00B34CE7" w:rsidRPr="00B3474B" w:rsidRDefault="00B34CE7" w:rsidP="00B34CE7">
      <w:pPr>
        <w:jc w:val="center"/>
        <w:rPr>
          <w:rFonts w:ascii="Times New Roman" w:hAnsi="Times New Roman" w:cs="Times New Roman"/>
          <w:sz w:val="44"/>
          <w:szCs w:val="24"/>
        </w:rPr>
      </w:pPr>
    </w:p>
    <w:p w14:paraId="4827627C" w14:textId="40CA5DB0" w:rsidR="00B34CE7" w:rsidRPr="00B3474B" w:rsidRDefault="00B34CE7" w:rsidP="00B34CE7">
      <w:pPr>
        <w:jc w:val="center"/>
        <w:rPr>
          <w:rFonts w:ascii="Times New Roman" w:hAnsi="Times New Roman" w:cs="Times New Roman"/>
          <w:sz w:val="44"/>
          <w:szCs w:val="24"/>
        </w:rPr>
      </w:pPr>
      <w:r w:rsidRPr="00B3474B">
        <w:rPr>
          <w:rFonts w:ascii="Times New Roman" w:hAnsi="Times New Roman" w:cs="Times New Roman"/>
          <w:sz w:val="44"/>
          <w:szCs w:val="24"/>
        </w:rPr>
        <w:t xml:space="preserve">RAPORTI I PUNËS DHE AKTIVITETEVE PËR MUAJIN </w:t>
      </w:r>
      <w:r>
        <w:rPr>
          <w:rFonts w:ascii="Times New Roman" w:hAnsi="Times New Roman" w:cs="Times New Roman"/>
          <w:sz w:val="44"/>
          <w:szCs w:val="24"/>
        </w:rPr>
        <w:t>MARS</w:t>
      </w:r>
      <w:r w:rsidRPr="00B3474B">
        <w:rPr>
          <w:rFonts w:ascii="Times New Roman" w:hAnsi="Times New Roman" w:cs="Times New Roman"/>
          <w:sz w:val="44"/>
          <w:szCs w:val="24"/>
        </w:rPr>
        <w:t xml:space="preserve"> 2025</w:t>
      </w:r>
    </w:p>
    <w:p w14:paraId="29FA0E95" w14:textId="77777777" w:rsidR="00B34CE7" w:rsidRPr="00B3474B" w:rsidRDefault="00B34CE7" w:rsidP="00B34CE7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790E344E" w14:textId="77777777" w:rsidR="00B34CE7" w:rsidRPr="00B3474B" w:rsidRDefault="00B34CE7" w:rsidP="00B34CE7">
      <w:pPr>
        <w:jc w:val="center"/>
        <w:rPr>
          <w:rFonts w:ascii="Times New Roman" w:hAnsi="Times New Roman" w:cs="Times New Roman"/>
          <w:sz w:val="56"/>
          <w:szCs w:val="24"/>
        </w:rPr>
      </w:pPr>
    </w:p>
    <w:p w14:paraId="30F98DCC" w14:textId="77777777" w:rsidR="00B34CE7" w:rsidRPr="00B3474B" w:rsidRDefault="00B34CE7" w:rsidP="00B34CE7">
      <w:pPr>
        <w:jc w:val="center"/>
        <w:rPr>
          <w:rFonts w:ascii="Times New Roman" w:hAnsi="Times New Roman" w:cs="Times New Roman"/>
          <w:i/>
          <w:sz w:val="56"/>
          <w:szCs w:val="24"/>
        </w:rPr>
      </w:pPr>
    </w:p>
    <w:p w14:paraId="70C18F84" w14:textId="77777777" w:rsidR="00B34CE7" w:rsidRPr="00B3474B" w:rsidRDefault="00B34CE7" w:rsidP="00B34CE7">
      <w:pPr>
        <w:jc w:val="right"/>
        <w:rPr>
          <w:rFonts w:ascii="Times New Roman" w:hAnsi="Times New Roman" w:cs="Times New Roman"/>
          <w:i/>
          <w:sz w:val="40"/>
          <w:szCs w:val="24"/>
        </w:rPr>
      </w:pPr>
    </w:p>
    <w:p w14:paraId="4CABB4F0" w14:textId="77777777" w:rsidR="00B34CE7" w:rsidRPr="00B3474B" w:rsidRDefault="00B34CE7" w:rsidP="00B34CE7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724929EF" w14:textId="77777777" w:rsidR="00B34CE7" w:rsidRPr="00B3474B" w:rsidRDefault="00B34CE7" w:rsidP="00B34CE7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7BDAB25A" w14:textId="77777777" w:rsidR="00B34CE7" w:rsidRPr="00B3474B" w:rsidRDefault="00B34CE7" w:rsidP="00B34CE7">
      <w:pPr>
        <w:jc w:val="center"/>
        <w:rPr>
          <w:rFonts w:ascii="Times New Roman" w:hAnsi="Times New Roman" w:cs="Times New Roman"/>
          <w:sz w:val="28"/>
          <w:szCs w:val="32"/>
        </w:rPr>
      </w:pPr>
      <w:r w:rsidRPr="00B3474B">
        <w:rPr>
          <w:rFonts w:ascii="Times New Roman" w:hAnsi="Times New Roman" w:cs="Times New Roman"/>
          <w:sz w:val="28"/>
          <w:szCs w:val="32"/>
        </w:rPr>
        <w:t>Hani i Elezit, 2025</w:t>
      </w:r>
    </w:p>
    <w:p w14:paraId="0FF922B4" w14:textId="77777777" w:rsidR="00B34CE7" w:rsidRPr="00B3474B" w:rsidRDefault="00B34CE7" w:rsidP="00B34CE7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</w:pP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DREJTORIA PËR BUXHET DHE FINANCA </w:t>
      </w:r>
    </w:p>
    <w:p w14:paraId="63B51E8B" w14:textId="77777777" w:rsidR="00B34CE7" w:rsidRPr="00B3474B" w:rsidRDefault="00B34CE7" w:rsidP="00B34CE7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619B74" w14:textId="236C91E9" w:rsidR="00B34CE7" w:rsidRPr="00B3474B" w:rsidRDefault="00B34CE7" w:rsidP="00B34CE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Drejtoria për Buxhet dhe Financa për muajin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Mars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2025, funksionin e vet e ka ushtruar në bazë të kompetencave dhe përgjegjësive ligjore mbi qeverisjen e Komunave të Republikës së Kosovës, Statutin e komunës së Hanit të Elezit, Ligjin mbi menaxhimin e financave publike dhe përgjegjësitë, Ligjin mbi financat e pushtetit lokal, Ligjin mbi vetëqeverisjen lokale, Ligjin mbi tatimin në pronën e paluajtshme, Rregulloret dhe udhëzimet administrative nga Ministria e Financave, Punës dhe Transfereve (MFPT).</w:t>
      </w:r>
    </w:p>
    <w:p w14:paraId="59958CA0" w14:textId="77777777" w:rsidR="00B34CE7" w:rsidRPr="00B3474B" w:rsidRDefault="00B34CE7" w:rsidP="00B34CE7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>Drejtoria për Buxhet dhe Financa me qëllim të realizimit sa më efikas të të gjitha kompetencave dhe përgjegjësive, ka funksionuar kryesisht në katër (4) sektorë:</w:t>
      </w:r>
    </w:p>
    <w:p w14:paraId="5940CE02" w14:textId="77777777" w:rsidR="00B34CE7" w:rsidRPr="00B3474B" w:rsidRDefault="00B34CE7" w:rsidP="00B34CE7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Sektori për buxhet</w:t>
      </w:r>
    </w:p>
    <w:p w14:paraId="262C148B" w14:textId="77777777" w:rsidR="00B34CE7" w:rsidRPr="00B3474B" w:rsidRDefault="00B34CE7" w:rsidP="00B34CE7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Sektori për financa,</w:t>
      </w:r>
    </w:p>
    <w:p w14:paraId="041CEEF8" w14:textId="77777777" w:rsidR="00B34CE7" w:rsidRPr="00B3474B" w:rsidRDefault="00B34CE7" w:rsidP="00B34CE7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Sektori për të hyra dhe</w:t>
      </w:r>
    </w:p>
    <w:p w14:paraId="650844BB" w14:textId="77777777" w:rsidR="00B34CE7" w:rsidRPr="00B3474B" w:rsidRDefault="00B34CE7" w:rsidP="00B34CE7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Sektori i tatimit në pronë.</w:t>
      </w:r>
    </w:p>
    <w:p w14:paraId="0941B352" w14:textId="77777777" w:rsidR="00B34CE7" w:rsidRPr="00B3474B" w:rsidRDefault="00B34CE7" w:rsidP="00B34CE7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890E28" w14:textId="36B25ACF" w:rsidR="00B34CE7" w:rsidRPr="00B3474B" w:rsidRDefault="00B34CE7" w:rsidP="00B34CE7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>Drejtoria për Buxhet dhe Financa e menaxhuar nga drejtoresha e drejtorisë dhe me një staf prej (</w:t>
      </w:r>
      <w:r w:rsidR="00541665">
        <w:rPr>
          <w:rFonts w:ascii="Times New Roman" w:eastAsia="MS Mincho" w:hAnsi="Times New Roman" w:cs="Times New Roman"/>
          <w:color w:val="000000"/>
          <w:sz w:val="24"/>
          <w:szCs w:val="24"/>
        </w:rPr>
        <w:t>6</w:t>
      </w: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) zyrtarëve, gjatë muajit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Mars</w:t>
      </w: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2025 kishte një angazhim permanent, me një përkushtim të madh në drejtim të realizimit sa më të suksesshëm të të gjitha objektivave dhe detyrave të parashikuara në planin e punës së drejtorisë. Aktiviteti i drejtorisë ka qenë i përqëndruar në realizimin e buxhetit sipas dinamikës së planifikuar dhe menaxhimin sa më efikas të buxhetit. </w:t>
      </w:r>
    </w:p>
    <w:p w14:paraId="7CF0E54D" w14:textId="77777777" w:rsidR="00B34CE7" w:rsidRPr="00B3474B" w:rsidRDefault="00B34CE7" w:rsidP="00B34CE7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099B3D5" w14:textId="77777777" w:rsidR="00B34CE7" w:rsidRPr="00B3474B" w:rsidRDefault="00B34CE7" w:rsidP="00B34CE7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Buxheti i komunës së Hanit të Elezit i ndarë sipas Ligjit me </w:t>
      </w:r>
      <w:r w:rsidR="00155C5C">
        <w:fldChar w:fldCharType="begin"/>
      </w:r>
      <w:r w:rsidR="00155C5C">
        <w:instrText xml:space="preserve"> HYPERLINK "javascript:__doPostBack('ctl00$MainContent$rAktet$ctl00$lblAn','')" </w:instrText>
      </w:r>
      <w:r w:rsidR="00155C5C">
        <w:fldChar w:fldCharType="separate"/>
      </w:r>
      <w:r w:rsidRPr="00B3474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NR. 08/L-332 MBI NDARJET BUXHETORE PËR BUXHETIN E REPUBLIKЁS SЁ KOSOVЁS PЁR VITIN 2025</w:t>
      </w:r>
      <w:r w:rsidR="00155C5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B3474B">
        <w:rPr>
          <w:rFonts w:ascii="Times New Roman" w:hAnsi="Times New Roman" w:cs="Times New Roman"/>
          <w:sz w:val="24"/>
          <w:szCs w:val="24"/>
        </w:rPr>
        <w:t xml:space="preserve"> </w:t>
      </w: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është në lartësi prej </w:t>
      </w:r>
      <w:r w:rsidRPr="00B3474B">
        <w:rPr>
          <w:rFonts w:ascii="Times New Roman" w:hAnsi="Times New Roman" w:cs="Times New Roman"/>
          <w:b/>
          <w:bCs/>
          <w:sz w:val="24"/>
          <w:szCs w:val="24"/>
          <w:u w:val="single"/>
        </w:rPr>
        <w:t>3,615,457</w:t>
      </w:r>
      <w:r w:rsidRPr="00B3474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u w:val="single"/>
        </w:rPr>
        <w:t>.00 Euro.</w:t>
      </w: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</w:p>
    <w:p w14:paraId="6394CBC4" w14:textId="77777777" w:rsidR="00B34CE7" w:rsidRPr="00B3474B" w:rsidRDefault="00B34CE7" w:rsidP="00B34CE7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5A12CA" w14:textId="77777777" w:rsidR="00B34CE7" w:rsidRPr="00B3474B" w:rsidRDefault="00B34CE7" w:rsidP="00B34CE7">
      <w:pPr>
        <w:pStyle w:val="BodyText"/>
        <w:spacing w:line="360" w:lineRule="auto"/>
        <w:ind w:left="342"/>
      </w:pPr>
      <w:r w:rsidRPr="00B3474B">
        <w:t>Ky buxhet është ndarë sipas kategorive ekonomike si në vijim:</w:t>
      </w:r>
    </w:p>
    <w:p w14:paraId="408FC180" w14:textId="77777777" w:rsidR="00B34CE7" w:rsidRPr="00B3474B" w:rsidRDefault="00B34CE7" w:rsidP="00B34CE7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48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Paga dhe shtesa................. 2,188,542.00 €,</w:t>
      </w:r>
    </w:p>
    <w:p w14:paraId="65FF177A" w14:textId="77777777" w:rsidR="00B34CE7" w:rsidRPr="00B3474B" w:rsidRDefault="00B34CE7" w:rsidP="00B34CE7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710"/>
        </w:tabs>
        <w:autoSpaceDE w:val="0"/>
        <w:autoSpaceDN w:val="0"/>
        <w:spacing w:before="3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Mallra dhe shërbime............. 584,500.00 €,</w:t>
      </w:r>
    </w:p>
    <w:p w14:paraId="06348435" w14:textId="77777777" w:rsidR="00B34CE7" w:rsidRPr="00B3474B" w:rsidRDefault="00B34CE7" w:rsidP="00B34CE7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86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Shpenzimet komunale</w:t>
      </w:r>
      <w:r w:rsidRPr="00B3474B">
        <w:rPr>
          <w:rFonts w:ascii="Times New Roman" w:hAnsi="Times New Roman" w:cs="Times New Roman"/>
          <w:sz w:val="24"/>
          <w:szCs w:val="24"/>
        </w:rPr>
        <w:tab/>
        <w:t>..94,000.00 €,</w:t>
      </w:r>
    </w:p>
    <w:p w14:paraId="27C09369" w14:textId="77777777" w:rsidR="00B34CE7" w:rsidRPr="00B3474B" w:rsidRDefault="00B34CE7" w:rsidP="00B34CE7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848"/>
        </w:tabs>
        <w:autoSpaceDE w:val="0"/>
        <w:autoSpaceDN w:val="0"/>
        <w:spacing w:before="2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Subvencione dhe transfere</w:t>
      </w:r>
      <w:r w:rsidRPr="00B3474B">
        <w:rPr>
          <w:rFonts w:ascii="Times New Roman" w:hAnsi="Times New Roman" w:cs="Times New Roman"/>
          <w:sz w:val="24"/>
          <w:szCs w:val="24"/>
        </w:rPr>
        <w:tab/>
        <w:t>143,000.00 €,</w:t>
      </w:r>
    </w:p>
    <w:p w14:paraId="21E3F8CA" w14:textId="77777777" w:rsidR="00B34CE7" w:rsidRPr="00B3474B" w:rsidRDefault="00B34CE7" w:rsidP="00B34CE7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729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Shpenzime kapitale</w:t>
      </w:r>
      <w:r w:rsidRPr="00B3474B">
        <w:rPr>
          <w:rFonts w:ascii="Times New Roman" w:hAnsi="Times New Roman" w:cs="Times New Roman"/>
          <w:sz w:val="24"/>
          <w:szCs w:val="24"/>
        </w:rPr>
        <w:tab/>
        <w:t>.. 605,415.00 €,</w:t>
      </w:r>
    </w:p>
    <w:p w14:paraId="41CC2876" w14:textId="77777777" w:rsidR="00B34CE7" w:rsidRPr="00B3474B" w:rsidRDefault="00B34CE7" w:rsidP="00B34CE7">
      <w:pPr>
        <w:pStyle w:val="ListParagraph"/>
        <w:widowControl w:val="0"/>
        <w:numPr>
          <w:ilvl w:val="0"/>
          <w:numId w:val="3"/>
        </w:numPr>
        <w:tabs>
          <w:tab w:val="left" w:pos="1063"/>
          <w:tab w:val="left" w:leader="dot" w:pos="3571"/>
        </w:tabs>
        <w:autoSpaceDE w:val="0"/>
        <w:autoSpaceDN w:val="0"/>
        <w:spacing w:before="6" w:after="0" w:line="360" w:lineRule="auto"/>
        <w:ind w:hanging="361"/>
        <w:contextualSpacing w:val="0"/>
        <w:rPr>
          <w:rFonts w:ascii="Times New Roman" w:hAnsi="Times New Roman" w:cs="Times New Roman"/>
          <w:sz w:val="16"/>
        </w:rPr>
      </w:pPr>
      <w:r w:rsidRPr="00B3474B">
        <w:rPr>
          <w:rFonts w:ascii="Times New Roman" w:hAnsi="Times New Roman" w:cs="Times New Roman"/>
          <w:sz w:val="24"/>
          <w:u w:val="single"/>
        </w:rPr>
        <w:t>Totali i buxhetit</w:t>
      </w:r>
      <w:r w:rsidRPr="00B3474B">
        <w:rPr>
          <w:rFonts w:ascii="Times New Roman" w:hAnsi="Times New Roman" w:cs="Times New Roman"/>
          <w:sz w:val="24"/>
        </w:rPr>
        <w:t>..................</w:t>
      </w:r>
      <w:r w:rsidRPr="00B3474B">
        <w:rPr>
          <w:rFonts w:ascii="Times New Roman" w:hAnsi="Times New Roman" w:cs="Times New Roman"/>
        </w:rPr>
        <w:t xml:space="preserve"> </w:t>
      </w:r>
      <w:r w:rsidRPr="00B3474B">
        <w:rPr>
          <w:rFonts w:ascii="Times New Roman" w:hAnsi="Times New Roman" w:cs="Times New Roman"/>
          <w:b/>
          <w:bCs/>
          <w:sz w:val="24"/>
          <w:szCs w:val="24"/>
          <w:u w:val="single"/>
        </w:rPr>
        <w:t>3,615,457.00</w:t>
      </w:r>
      <w:r w:rsidRPr="00B3474B">
        <w:rPr>
          <w:rFonts w:ascii="Times New Roman" w:hAnsi="Times New Roman" w:cs="Times New Roman"/>
          <w:b/>
          <w:bCs/>
          <w:sz w:val="24"/>
          <w:u w:val="single"/>
        </w:rPr>
        <w:t xml:space="preserve"> €.</w:t>
      </w:r>
    </w:p>
    <w:p w14:paraId="503910DB" w14:textId="77777777" w:rsidR="00B34CE7" w:rsidRPr="00B3474B" w:rsidRDefault="00B34CE7" w:rsidP="00B34CE7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848812B" w14:textId="77777777" w:rsidR="00B34CE7" w:rsidRPr="00B3474B" w:rsidRDefault="00B34CE7" w:rsidP="00B34CE7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0901FC5" w14:textId="77777777" w:rsidR="00B34CE7" w:rsidRPr="00B3474B" w:rsidRDefault="00B34CE7" w:rsidP="00B34CE7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441F978A" w14:textId="77777777" w:rsidR="00B34CE7" w:rsidRPr="00B3474B" w:rsidRDefault="00B34CE7" w:rsidP="00B34CE7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B057435" w14:textId="77777777" w:rsidR="00B34CE7" w:rsidRPr="00B3474B" w:rsidRDefault="00B34CE7" w:rsidP="00B34CE7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6B47DE62" w14:textId="77777777" w:rsidR="00B34CE7" w:rsidRPr="00B3474B" w:rsidRDefault="00B34CE7" w:rsidP="00B34CE7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3F2B3A3B" w14:textId="77777777" w:rsidR="00B34CE7" w:rsidRPr="00B3474B" w:rsidRDefault="00B34CE7" w:rsidP="00B34CE7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7865C12C" w14:textId="77777777" w:rsidR="00B34CE7" w:rsidRPr="00B3474B" w:rsidRDefault="00B34CE7" w:rsidP="00B34CE7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72B0A9B8" w14:textId="77777777" w:rsidR="00B34CE7" w:rsidRPr="00B3474B" w:rsidRDefault="00B34CE7" w:rsidP="00B34CE7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>Punët dhe aktivitetet të cilat janë zhvilluar gjatë këtij muaji, mund t’i veçojmë këto:</w:t>
      </w:r>
    </w:p>
    <w:p w14:paraId="7E6BF80B" w14:textId="77777777" w:rsidR="00B34CE7" w:rsidRPr="00B3474B" w:rsidRDefault="00B34CE7" w:rsidP="00B34CE7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0F17B61C" w14:textId="77777777" w:rsidR="00B34CE7" w:rsidRPr="00B3474B" w:rsidRDefault="00B34CE7" w:rsidP="00B34CE7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BUXHET DHE FINANCA</w:t>
      </w:r>
    </w:p>
    <w:p w14:paraId="1BB20A3E" w14:textId="1ADF0582" w:rsidR="00B34CE7" w:rsidRPr="00B3474B" w:rsidRDefault="00B34CE7" w:rsidP="00B34CE7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Deklarimi në Thesar obligimet e pa paguara dhe ato kontraktuale për muajin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Shkurt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2025, </w:t>
      </w:r>
    </w:p>
    <w:p w14:paraId="183FBD99" w14:textId="5E5986CA" w:rsidR="00B34CE7" w:rsidRPr="00B3474B" w:rsidRDefault="00B34CE7" w:rsidP="00B34CE7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Barazimi me Thesar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periudha Janar-Shkurt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2025, </w:t>
      </w:r>
    </w:p>
    <w:p w14:paraId="5F8E8FAF" w14:textId="3377C824" w:rsidR="00B34CE7" w:rsidRPr="00B3474B" w:rsidRDefault="00B34CE7" w:rsidP="00B34CE7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Është dërguar për publikim borxhi publik i muajit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shkurt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2025 në ueb faqen komunale,</w:t>
      </w:r>
    </w:p>
    <w:p w14:paraId="4513E4FF" w14:textId="280C7441" w:rsidR="00B34CE7" w:rsidRPr="00B34CE7" w:rsidRDefault="00B34CE7" w:rsidP="00B34CE7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Përgatitja dhe publikimi i raportit të punëve dhe aktiviteteve të muajit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janar dhe shkurt 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4CE7">
        <w:rPr>
          <w:rFonts w:ascii="Times New Roman" w:eastAsia="Calibri" w:hAnsi="Times New Roman" w:cs="Times New Roman"/>
          <w:color w:val="000000"/>
          <w:sz w:val="24"/>
          <w:szCs w:val="24"/>
        </w:rPr>
        <w:t>në dy formate: Word dhe PDF,</w:t>
      </w:r>
    </w:p>
    <w:p w14:paraId="2744F1F7" w14:textId="7CEECC4E" w:rsidR="00B34CE7" w:rsidRPr="00B34CE7" w:rsidRDefault="00B34CE7" w:rsidP="00B34CE7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ompletimi i lëndëve të kërkuara nga ZKA, </w:t>
      </w:r>
    </w:p>
    <w:p w14:paraId="7020C112" w14:textId="4BCD876F" w:rsidR="00B34CE7" w:rsidRPr="00B34CE7" w:rsidRDefault="00B34CE7" w:rsidP="00B34CE7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Hartimi i raportit mujor të të hyrave dhe shpenzimeve të muajit shkurt,</w:t>
      </w:r>
    </w:p>
    <w:p w14:paraId="26D193AE" w14:textId="3149550F" w:rsidR="00B34CE7" w:rsidRPr="00B3474B" w:rsidRDefault="00B34CE7" w:rsidP="00B34CE7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Themelimi i grupit punues për hartimin e planit të dëgjimeve buxhetore,</w:t>
      </w:r>
    </w:p>
    <w:p w14:paraId="1B0356B7" w14:textId="77777777" w:rsidR="00B34CE7" w:rsidRPr="00B3474B" w:rsidRDefault="00B34CE7" w:rsidP="00B34CE7">
      <w:pPr>
        <w:numPr>
          <w:ilvl w:val="0"/>
          <w:numId w:val="1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 xml:space="preserve"> </w:t>
      </w:r>
      <w:r w:rsidRPr="00B347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474B">
        <w:rPr>
          <w:rFonts w:ascii="Times New Roman" w:eastAsia="Calibri" w:hAnsi="Times New Roman" w:cs="Times New Roman"/>
          <w:color w:val="000000"/>
          <w:sz w:val="24"/>
        </w:rPr>
        <w:t>Llogaritja dhe realizimi i të gjitha pagesave të destinuar për pagesën e pagave dhe shtesave të Administratës Komunale, të këshilltarëve Komunal, komiteteve të ndryshme të Kuvendit, të Sektorit të Arsimit dhe Sektorit të Kujdesit Primar Shëndetësor</w:t>
      </w:r>
      <w:r w:rsidRPr="00B3474B">
        <w:rPr>
          <w:rFonts w:ascii="Times New Roman" w:eastAsia="Calibri" w:hAnsi="Times New Roman" w:cs="Times New Roman"/>
          <w:color w:val="000000"/>
        </w:rPr>
        <w:t>.</w:t>
      </w:r>
    </w:p>
    <w:p w14:paraId="6A2276FB" w14:textId="77777777" w:rsidR="00B34CE7" w:rsidRPr="00B3474B" w:rsidRDefault="00B34CE7" w:rsidP="00B34CE7">
      <w:pPr>
        <w:rPr>
          <w:rFonts w:ascii="Times New Roman" w:hAnsi="Times New Roman" w:cs="Times New Roman"/>
        </w:rPr>
      </w:pPr>
    </w:p>
    <w:p w14:paraId="473B667B" w14:textId="77777777" w:rsidR="00B34CE7" w:rsidRPr="00B3474B" w:rsidRDefault="00B34CE7" w:rsidP="00B34CE7">
      <w:pPr>
        <w:rPr>
          <w:rFonts w:ascii="Times New Roman" w:hAnsi="Times New Roman" w:cs="Times New Roman"/>
        </w:rPr>
      </w:pPr>
    </w:p>
    <w:p w14:paraId="4CD75AB8" w14:textId="53DF16F6" w:rsidR="00B34CE7" w:rsidRPr="00B3474B" w:rsidRDefault="00B34CE7" w:rsidP="00B34CE7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284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RAPORTI I EKZEKUTIMIT TË BUXHETIT PËR MUAJIN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MARS</w:t>
      </w: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2025</w:t>
      </w:r>
    </w:p>
    <w:p w14:paraId="7CC01D1B" w14:textId="77777777" w:rsidR="00B34CE7" w:rsidRPr="00B3474B" w:rsidRDefault="00B34CE7" w:rsidP="00B34CE7">
      <w:pPr>
        <w:pStyle w:val="ListParagraph"/>
        <w:tabs>
          <w:tab w:val="left" w:pos="540"/>
          <w:tab w:val="left" w:pos="1080"/>
        </w:tabs>
        <w:spacing w:after="0" w:line="360" w:lineRule="auto"/>
        <w:ind w:left="142" w:right="630" w:firstLine="630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tbl>
      <w:tblPr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701"/>
        <w:gridCol w:w="1417"/>
        <w:gridCol w:w="1417"/>
      </w:tblGrid>
      <w:tr w:rsidR="000F56E8" w:rsidRPr="00B3474B" w14:paraId="3CE21E13" w14:textId="5F4CB867" w:rsidTr="000F56E8">
        <w:trPr>
          <w:trHeight w:val="86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93F6" w14:textId="77777777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Kategoritë</w:t>
            </w:r>
            <w:proofErr w:type="spellEnd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ekonomike</w:t>
            </w:r>
            <w:proofErr w:type="spellEnd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të</w:t>
            </w:r>
            <w:proofErr w:type="spellEnd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shpenzimeve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A8D29" w14:textId="62DB4AB6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750D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Buxheti</w:t>
            </w:r>
            <w:proofErr w:type="spellEnd"/>
            <w:r w:rsidRPr="00750D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62573" w14:textId="771FE18A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750D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Buxheti</w:t>
            </w:r>
            <w:proofErr w:type="spellEnd"/>
            <w:r w:rsidRPr="00750D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I </w:t>
            </w:r>
            <w:proofErr w:type="spellStart"/>
            <w:r w:rsidRPr="00750D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alokuar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D8B5" w14:textId="3C0F7CC1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Realizimi</w:t>
            </w:r>
            <w:proofErr w:type="spellEnd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Mars</w:t>
            </w:r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6395" w14:textId="53CD0187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% </w:t>
            </w: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Realizim</w:t>
            </w:r>
            <w:proofErr w:type="spellEnd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planifikim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B30FF" w14:textId="7AC06F42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% </w:t>
            </w: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Realizim</w:t>
            </w:r>
            <w:proofErr w:type="spellEnd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alokim</w:t>
            </w:r>
            <w:proofErr w:type="spellEnd"/>
          </w:p>
        </w:tc>
      </w:tr>
      <w:tr w:rsidR="000F56E8" w:rsidRPr="00B3474B" w14:paraId="61AE4334" w14:textId="68A3577D" w:rsidTr="000F56E8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89BAA" w14:textId="77777777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Paga</w:t>
            </w:r>
            <w:proofErr w:type="spellEnd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dhe</w:t>
            </w:r>
            <w:proofErr w:type="spellEnd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shtesa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632E2A" w14:textId="2772E293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7B">
              <w:rPr>
                <w:rFonts w:ascii="Times New Roman" w:eastAsia="Times New Roman" w:hAnsi="Times New Roman" w:cs="Times New Roman"/>
                <w:color w:val="000000"/>
              </w:rPr>
              <w:t>2,188,542.00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EC0CB" w14:textId="7D6AE49C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7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561,541.90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4E1CB" w14:textId="0CB82E0A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3474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594.29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6DF38" w14:textId="7A5A5947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8.5</w:t>
            </w:r>
            <w:r w:rsidRPr="00B3474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040BB" w14:textId="73CAF5FB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33.2 %</w:t>
            </w:r>
          </w:p>
        </w:tc>
      </w:tr>
      <w:tr w:rsidR="000F56E8" w:rsidRPr="00B3474B" w14:paraId="2347DFFE" w14:textId="50A03C78" w:rsidTr="000F56E8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51640" w14:textId="77777777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Mallra</w:t>
            </w:r>
            <w:proofErr w:type="spellEnd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dhe</w:t>
            </w:r>
            <w:proofErr w:type="spellEnd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shërbime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BE758" w14:textId="08D13241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7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653,646.58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6DAF6" w14:textId="5C81AB92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7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598,946.08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AEFF" w14:textId="2271D90A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86,423.42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82608" w14:textId="120810BF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13.2 </w:t>
            </w:r>
            <w:r w:rsidRPr="00B3474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CAF12" w14:textId="2587CEE2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14.4 %</w:t>
            </w:r>
          </w:p>
        </w:tc>
      </w:tr>
      <w:tr w:rsidR="000F56E8" w:rsidRPr="00B3474B" w14:paraId="444E0748" w14:textId="69151975" w:rsidTr="000F56E8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8DA02" w14:textId="77777777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Shpenzime</w:t>
            </w:r>
            <w:proofErr w:type="spellEnd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komunale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3E21F" w14:textId="759FF693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50D7B">
              <w:rPr>
                <w:rFonts w:ascii="Times New Roman" w:eastAsia="Times New Roman" w:hAnsi="Times New Roman" w:cs="Times New Roman"/>
                <w:lang w:val="en-US"/>
              </w:rPr>
              <w:t>94,000.00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6A5B0" w14:textId="14C34CE2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50D7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4A786" w14:textId="178B9322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23,202.03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BA176" w14:textId="45D6C2D0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24.6</w:t>
            </w:r>
            <w:r w:rsidRPr="00B3474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E8820" w14:textId="0724BB4F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24.6</w:t>
            </w:r>
            <w:r w:rsidRPr="00B3474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%</w:t>
            </w:r>
          </w:p>
        </w:tc>
      </w:tr>
      <w:tr w:rsidR="000F56E8" w:rsidRPr="00B3474B" w14:paraId="2DE972D2" w14:textId="36391FAC" w:rsidTr="000F56E8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A1FB7" w14:textId="77777777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Subvencione</w:t>
            </w:r>
            <w:proofErr w:type="spellEnd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dhe</w:t>
            </w:r>
            <w:proofErr w:type="spellEnd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trans.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7211" w14:textId="236927BC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50D7B">
              <w:rPr>
                <w:rFonts w:ascii="Times New Roman" w:eastAsia="Times New Roman" w:hAnsi="Times New Roman" w:cs="Times New Roman"/>
                <w:lang w:val="en-US"/>
              </w:rPr>
              <w:t>143,000.00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2EAEA" w14:textId="14262287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750D7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20,509.31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A5466" w14:textId="3CE64E63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480AE" w14:textId="53CD42A2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3474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.5</w:t>
            </w:r>
            <w:r w:rsidRPr="00B3474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0E07A" w14:textId="39068A58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3.9 %</w:t>
            </w:r>
          </w:p>
        </w:tc>
      </w:tr>
      <w:tr w:rsidR="000F56E8" w:rsidRPr="00B3474B" w14:paraId="59B0751E" w14:textId="13307DBE" w:rsidTr="000F56E8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6B36F" w14:textId="77777777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Shpenzime</w:t>
            </w:r>
            <w:proofErr w:type="spellEnd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kapitale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D1281" w14:textId="1607569C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7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728,440.56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BB841" w14:textId="32924FAD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7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587,421.56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9A49F" w14:textId="77777777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3474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1877" w14:textId="77777777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B3474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49832" w14:textId="55139EFB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0 %</w:t>
            </w:r>
          </w:p>
        </w:tc>
      </w:tr>
      <w:tr w:rsidR="000F56E8" w:rsidRPr="00B3474B" w14:paraId="1BCF1C51" w14:textId="365F9C84" w:rsidTr="000F56E8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E6FF" w14:textId="77777777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AFADD" w14:textId="320771BF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D7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3,807,629.14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695E7" w14:textId="62A37451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D7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1,862,418.85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341EB" w14:textId="786914FF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</w:rPr>
              <w:t>297,019.74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49830" w14:textId="0F96215C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 xml:space="preserve">7.8 </w:t>
            </w:r>
            <w:r w:rsidRPr="00B34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45271" w14:textId="0CB92DF6" w:rsidR="000F56E8" w:rsidRPr="00B3474B" w:rsidRDefault="000F56E8" w:rsidP="000F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15.9 %</w:t>
            </w:r>
          </w:p>
        </w:tc>
      </w:tr>
    </w:tbl>
    <w:p w14:paraId="737E0FB6" w14:textId="77777777" w:rsidR="00B34CE7" w:rsidRPr="00B3474B" w:rsidRDefault="00B34CE7" w:rsidP="00B34CE7">
      <w:pPr>
        <w:tabs>
          <w:tab w:val="left" w:pos="1128"/>
        </w:tabs>
        <w:ind w:right="270" w:firstLine="630"/>
        <w:jc w:val="center"/>
        <w:rPr>
          <w:rFonts w:ascii="Times New Roman" w:hAnsi="Times New Roman" w:cs="Times New Roman"/>
        </w:rPr>
      </w:pPr>
    </w:p>
    <w:p w14:paraId="462DB37A" w14:textId="77777777" w:rsidR="00B34CE7" w:rsidRPr="00B3474B" w:rsidRDefault="00B34CE7" w:rsidP="00B34CE7">
      <w:pPr>
        <w:rPr>
          <w:rFonts w:ascii="Times New Roman" w:hAnsi="Times New Roman" w:cs="Times New Roman"/>
        </w:rPr>
      </w:pPr>
    </w:p>
    <w:p w14:paraId="624B1A9F" w14:textId="3931C238" w:rsidR="00B34CE7" w:rsidRDefault="00B34CE7" w:rsidP="00B34CE7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44F4AA79" w14:textId="77777777" w:rsidR="00B34CE7" w:rsidRPr="00B3474B" w:rsidRDefault="00B34CE7" w:rsidP="00B34CE7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764934A7" w14:textId="77777777" w:rsidR="00B34CE7" w:rsidRPr="00B3474B" w:rsidRDefault="00B34CE7" w:rsidP="00B34CE7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328E31C4" w14:textId="77777777" w:rsidR="00C64E13" w:rsidRDefault="00C64E13" w:rsidP="00B34CE7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14:paraId="7175E446" w14:textId="6C0C6511" w:rsidR="00B34CE7" w:rsidRPr="00B3474B" w:rsidRDefault="00B34CE7" w:rsidP="00B34CE7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lastRenderedPageBreak/>
        <w:t>SEKTORI PËR TË HYRAT</w:t>
      </w:r>
    </w:p>
    <w:p w14:paraId="52C34A23" w14:textId="77777777" w:rsidR="00B34CE7" w:rsidRPr="00B3474B" w:rsidRDefault="00B34CE7" w:rsidP="00B34CE7">
      <w:pPr>
        <w:rPr>
          <w:rFonts w:ascii="Times New Roman" w:hAnsi="Times New Roman" w:cs="Times New Roman"/>
        </w:rPr>
      </w:pPr>
    </w:p>
    <w:p w14:paraId="29001288" w14:textId="391561F8" w:rsidR="00B34CE7" w:rsidRPr="00B3474B" w:rsidRDefault="00B34CE7" w:rsidP="00B34CE7">
      <w:pPr>
        <w:spacing w:after="0" w:line="360" w:lineRule="auto"/>
        <w:ind w:left="-27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Times New Roman" w:hAnsi="Times New Roman" w:cs="Times New Roman"/>
          <w:sz w:val="24"/>
          <w:szCs w:val="24"/>
        </w:rPr>
        <w:t xml:space="preserve">Planifikimi i të hyrave vetanake për vitin 2025 është në shumë prej 339,719.00 €. 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Inkasimi i të hyrave për muajin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mars 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janë në shumë prej 1</w:t>
      </w:r>
      <w:r w:rsidR="005C3255">
        <w:rPr>
          <w:rFonts w:ascii="Times New Roman" w:eastAsia="Calibri" w:hAnsi="Times New Roman" w:cs="Times New Roman"/>
          <w:color w:val="000000"/>
          <w:sz w:val="24"/>
          <w:szCs w:val="24"/>
        </w:rPr>
        <w:t>5,729.81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€ dhe paraqesin </w:t>
      </w:r>
      <w:r w:rsidR="005C3255">
        <w:rPr>
          <w:rFonts w:ascii="Times New Roman" w:eastAsia="Calibri" w:hAnsi="Times New Roman" w:cs="Times New Roman"/>
          <w:color w:val="000000"/>
          <w:sz w:val="24"/>
          <w:szCs w:val="24"/>
        </w:rPr>
        <w:t>4.6</w:t>
      </w:r>
      <w:r w:rsidRPr="00B3474B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5C32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ndërsa nga muaji Janar deri në muajin Mars kemi inkasuar 37,239.12 € ose 11% prej projeksionit. </w:t>
      </w:r>
    </w:p>
    <w:p w14:paraId="10C17962" w14:textId="50FF82BD" w:rsidR="00B34CE7" w:rsidRDefault="00B34CE7" w:rsidP="00B34CE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4B">
        <w:rPr>
          <w:rFonts w:ascii="Times New Roman" w:eastAsia="Times New Roman" w:hAnsi="Times New Roman" w:cs="Times New Roman"/>
          <w:sz w:val="24"/>
          <w:szCs w:val="24"/>
        </w:rPr>
        <w:t>Regjistrimi, harmonizimi i të hyrave ditore në SIMFK</w:t>
      </w:r>
      <w:r w:rsidR="005C32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5476167" w14:textId="757EB478" w:rsidR="005C3255" w:rsidRPr="00B3474B" w:rsidRDefault="005C3255" w:rsidP="00B34CE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Alokimi i të hyrave të muajve janar-shkurt në Nën-Programe dhe kategori buxhetore, varësisht prej planifikimit buxhetor. </w:t>
      </w:r>
    </w:p>
    <w:p w14:paraId="695A5142" w14:textId="77777777" w:rsidR="00B34CE7" w:rsidRPr="00B3474B" w:rsidRDefault="00B34CE7" w:rsidP="00B34CE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EC4BB5" w14:textId="77777777" w:rsidR="00B34CE7" w:rsidRPr="00B3474B" w:rsidRDefault="00B34CE7" w:rsidP="00B34CE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214CD3" w14:textId="77777777" w:rsidR="00B34CE7" w:rsidRPr="00B3474B" w:rsidRDefault="00B34CE7" w:rsidP="00B34CE7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I TATIMIT NË PRONË</w:t>
      </w:r>
    </w:p>
    <w:p w14:paraId="148D0DFA" w14:textId="77777777" w:rsidR="00B34CE7" w:rsidRPr="00B3474B" w:rsidRDefault="00B34CE7" w:rsidP="00B34CE7">
      <w:pPr>
        <w:spacing w:after="0" w:line="240" w:lineRule="auto"/>
        <w:ind w:left="360"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26E87800" w14:textId="77777777" w:rsidR="005C3255" w:rsidRDefault="00B34CE7" w:rsidP="00B34CE7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3474B">
        <w:rPr>
          <w:rFonts w:ascii="Times New Roman" w:eastAsia="MS Mincho" w:hAnsi="Times New Roman" w:cs="Times New Roman"/>
          <w:color w:val="000000"/>
          <w:sz w:val="24"/>
          <w:szCs w:val="24"/>
        </w:rPr>
        <w:t>Gjatë këtij muaji, ky sektor ka kryer shërbime të rregullta ndaj qytetarëve, siç janë:</w:t>
      </w:r>
    </w:p>
    <w:p w14:paraId="0BEE601D" w14:textId="77777777" w:rsidR="005C3255" w:rsidRDefault="00B34CE7" w:rsidP="005C325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C32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lëshimin e faturave të tatimit në pronë, </w:t>
      </w:r>
    </w:p>
    <w:p w14:paraId="025DE2B3" w14:textId="512B79D9" w:rsidR="00B34CE7" w:rsidRPr="005C3255" w:rsidRDefault="00B34CE7" w:rsidP="005C325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C32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lëshimin e vërtetimeve për qëllime të ndryshme. </w:t>
      </w:r>
    </w:p>
    <w:p w14:paraId="08D7A178" w14:textId="2895CF55" w:rsidR="00B34CE7" w:rsidRPr="00B3474B" w:rsidRDefault="005C3255" w:rsidP="00B34CE7">
      <w:pPr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Nga Posta e Kosovës, jemi njoftuar që i kanë pranuar faturat e tatimit në pronë nga DTP-MFPT. Gjegjësisht, numri total i faturave është 1,560 ndërsa shuma e faturimit është 108,249.37 €.</w:t>
      </w:r>
    </w:p>
    <w:p w14:paraId="535A3117" w14:textId="77777777" w:rsidR="00B34CE7" w:rsidRPr="00B3474B" w:rsidRDefault="00B34CE7" w:rsidP="00B34CE7">
      <w:pPr>
        <w:rPr>
          <w:rFonts w:ascii="Times New Roman" w:hAnsi="Times New Roman" w:cs="Times New Roman"/>
        </w:rPr>
      </w:pPr>
    </w:p>
    <w:p w14:paraId="461A178C" w14:textId="77777777" w:rsidR="00B34CE7" w:rsidRPr="00B3474B" w:rsidRDefault="00B34CE7" w:rsidP="00B34CE7">
      <w:pPr>
        <w:rPr>
          <w:rFonts w:ascii="Times New Roman" w:hAnsi="Times New Roman" w:cs="Times New Roman"/>
        </w:rPr>
      </w:pPr>
    </w:p>
    <w:p w14:paraId="720627AE" w14:textId="77777777" w:rsidR="00B34CE7" w:rsidRPr="00B3474B" w:rsidRDefault="00B34CE7" w:rsidP="00B34CE7">
      <w:pPr>
        <w:rPr>
          <w:rFonts w:ascii="Times New Roman" w:hAnsi="Times New Roman" w:cs="Times New Roman"/>
        </w:rPr>
      </w:pPr>
    </w:p>
    <w:p w14:paraId="712D2589" w14:textId="77777777" w:rsidR="00B34CE7" w:rsidRPr="00B3474B" w:rsidRDefault="00B34CE7" w:rsidP="00B34CE7">
      <w:pPr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Drejtore për Buxhet dhe Financa</w:t>
      </w:r>
    </w:p>
    <w:p w14:paraId="6C05E530" w14:textId="77777777" w:rsidR="00B34CE7" w:rsidRPr="00B3474B" w:rsidRDefault="00B34CE7" w:rsidP="00B34CE7">
      <w:pPr>
        <w:rPr>
          <w:rFonts w:ascii="Times New Roman" w:hAnsi="Times New Roman" w:cs="Times New Roman"/>
          <w:sz w:val="24"/>
          <w:szCs w:val="24"/>
        </w:rPr>
      </w:pPr>
      <w:r w:rsidRPr="00B3474B">
        <w:rPr>
          <w:rFonts w:ascii="Times New Roman" w:hAnsi="Times New Roman" w:cs="Times New Roman"/>
          <w:sz w:val="24"/>
          <w:szCs w:val="24"/>
        </w:rPr>
        <w:t>Lindita Ballazhi</w:t>
      </w:r>
    </w:p>
    <w:p w14:paraId="7A2F8374" w14:textId="77777777" w:rsidR="002D3D1D" w:rsidRDefault="002D3D1D"/>
    <w:sectPr w:rsidR="002D3D1D" w:rsidSect="00682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5154"/>
    <w:multiLevelType w:val="hybridMultilevel"/>
    <w:tmpl w:val="9B98A7EE"/>
    <w:lvl w:ilvl="0" w:tplc="01E881EC">
      <w:numFmt w:val="bullet"/>
      <w:lvlText w:val=""/>
      <w:lvlJc w:val="left"/>
      <w:pPr>
        <w:ind w:left="1062" w:hanging="360"/>
      </w:pPr>
      <w:rPr>
        <w:rFonts w:ascii="Wingdings" w:eastAsia="Wingdings" w:hAnsi="Wingdings" w:cs="Wingdings" w:hint="default"/>
        <w:w w:val="99"/>
        <w:sz w:val="24"/>
        <w:szCs w:val="24"/>
        <w:lang w:val="sq-AL" w:eastAsia="en-US" w:bidi="ar-SA"/>
      </w:rPr>
    </w:lvl>
    <w:lvl w:ilvl="1" w:tplc="BFC2052E">
      <w:numFmt w:val="bullet"/>
      <w:lvlText w:val="•"/>
      <w:lvlJc w:val="left"/>
      <w:pPr>
        <w:ind w:left="1974" w:hanging="360"/>
      </w:pPr>
      <w:rPr>
        <w:rFonts w:hint="default"/>
        <w:lang w:val="sq-AL" w:eastAsia="en-US" w:bidi="ar-SA"/>
      </w:rPr>
    </w:lvl>
    <w:lvl w:ilvl="2" w:tplc="F6560BD8">
      <w:numFmt w:val="bullet"/>
      <w:lvlText w:val="•"/>
      <w:lvlJc w:val="left"/>
      <w:pPr>
        <w:ind w:left="2888" w:hanging="360"/>
      </w:pPr>
      <w:rPr>
        <w:rFonts w:hint="default"/>
        <w:lang w:val="sq-AL" w:eastAsia="en-US" w:bidi="ar-SA"/>
      </w:rPr>
    </w:lvl>
    <w:lvl w:ilvl="3" w:tplc="DEDE7086">
      <w:numFmt w:val="bullet"/>
      <w:lvlText w:val="•"/>
      <w:lvlJc w:val="left"/>
      <w:pPr>
        <w:ind w:left="3802" w:hanging="360"/>
      </w:pPr>
      <w:rPr>
        <w:rFonts w:hint="default"/>
        <w:lang w:val="sq-AL" w:eastAsia="en-US" w:bidi="ar-SA"/>
      </w:rPr>
    </w:lvl>
    <w:lvl w:ilvl="4" w:tplc="2E98FB04">
      <w:numFmt w:val="bullet"/>
      <w:lvlText w:val="•"/>
      <w:lvlJc w:val="left"/>
      <w:pPr>
        <w:ind w:left="4716" w:hanging="360"/>
      </w:pPr>
      <w:rPr>
        <w:rFonts w:hint="default"/>
        <w:lang w:val="sq-AL" w:eastAsia="en-US" w:bidi="ar-SA"/>
      </w:rPr>
    </w:lvl>
    <w:lvl w:ilvl="5" w:tplc="80E44840">
      <w:numFmt w:val="bullet"/>
      <w:lvlText w:val="•"/>
      <w:lvlJc w:val="left"/>
      <w:pPr>
        <w:ind w:left="5630" w:hanging="360"/>
      </w:pPr>
      <w:rPr>
        <w:rFonts w:hint="default"/>
        <w:lang w:val="sq-AL" w:eastAsia="en-US" w:bidi="ar-SA"/>
      </w:rPr>
    </w:lvl>
    <w:lvl w:ilvl="6" w:tplc="2F94B18C">
      <w:numFmt w:val="bullet"/>
      <w:lvlText w:val="•"/>
      <w:lvlJc w:val="left"/>
      <w:pPr>
        <w:ind w:left="6544" w:hanging="360"/>
      </w:pPr>
      <w:rPr>
        <w:rFonts w:hint="default"/>
        <w:lang w:val="sq-AL" w:eastAsia="en-US" w:bidi="ar-SA"/>
      </w:rPr>
    </w:lvl>
    <w:lvl w:ilvl="7" w:tplc="BD38C8D8">
      <w:numFmt w:val="bullet"/>
      <w:lvlText w:val="•"/>
      <w:lvlJc w:val="left"/>
      <w:pPr>
        <w:ind w:left="7458" w:hanging="360"/>
      </w:pPr>
      <w:rPr>
        <w:rFonts w:hint="default"/>
        <w:lang w:val="sq-AL" w:eastAsia="en-US" w:bidi="ar-SA"/>
      </w:rPr>
    </w:lvl>
    <w:lvl w:ilvl="8" w:tplc="A45A9FA4">
      <w:numFmt w:val="bullet"/>
      <w:lvlText w:val="•"/>
      <w:lvlJc w:val="left"/>
      <w:pPr>
        <w:ind w:left="8372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1AC826FC"/>
    <w:multiLevelType w:val="hybridMultilevel"/>
    <w:tmpl w:val="B0B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2E94"/>
    <w:multiLevelType w:val="hybridMultilevel"/>
    <w:tmpl w:val="74B6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F0C48"/>
    <w:multiLevelType w:val="hybridMultilevel"/>
    <w:tmpl w:val="C264E9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1FD1820"/>
    <w:multiLevelType w:val="hybridMultilevel"/>
    <w:tmpl w:val="5E2AC61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E7"/>
    <w:rsid w:val="000F56E8"/>
    <w:rsid w:val="00155C5C"/>
    <w:rsid w:val="00240894"/>
    <w:rsid w:val="002D3D1D"/>
    <w:rsid w:val="00541665"/>
    <w:rsid w:val="005C3255"/>
    <w:rsid w:val="00B34CE7"/>
    <w:rsid w:val="00C6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58A81"/>
  <w15:chartTrackingRefBased/>
  <w15:docId w15:val="{DDCE65F9-2E39-4ADC-A369-7B37E576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CE7"/>
    <w:pPr>
      <w:spacing w:after="200" w:line="276" w:lineRule="auto"/>
    </w:pPr>
    <w:rPr>
      <w:rFonts w:eastAsia="SimSun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C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ListParagraph">
    <w:name w:val="List Paragraph"/>
    <w:basedOn w:val="Normal"/>
    <w:uiPriority w:val="34"/>
    <w:qFormat/>
    <w:rsid w:val="00B34CE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34C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4CE7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B34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Lindita Ballazhi</dc:creator>
  <cp:keywords/>
  <dc:description/>
  <cp:lastModifiedBy>admin</cp:lastModifiedBy>
  <cp:revision>2</cp:revision>
  <dcterms:created xsi:type="dcterms:W3CDTF">2025-04-11T20:40:00Z</dcterms:created>
  <dcterms:modified xsi:type="dcterms:W3CDTF">2025-04-11T20:40:00Z</dcterms:modified>
</cp:coreProperties>
</file>