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8E" w:rsidRDefault="00580115" w:rsidP="00720A8E">
      <w:pPr>
        <w:pStyle w:val="Heading1"/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E671F">
        <w:rPr>
          <w:noProof/>
          <w:sz w:val="36"/>
          <w:szCs w:val="36"/>
          <w:lang w:val="en-US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2540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71F"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-34290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Republika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e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Kosovës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Republic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of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Kosovo</w:t>
      </w:r>
    </w:p>
    <w:p w:rsidR="00580115" w:rsidRPr="00A21349" w:rsidRDefault="00720A8E" w:rsidP="00720A8E">
      <w:pPr>
        <w:pStyle w:val="Heading1"/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Komuna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–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Municipality</w:t>
      </w:r>
    </w:p>
    <w:p w:rsidR="00580115" w:rsidRPr="00A21349" w:rsidRDefault="00580115" w:rsidP="00580115">
      <w:pPr>
        <w:spacing w:before="4"/>
        <w:rPr>
          <w:rFonts w:ascii="Times New Roman" w:hAnsi="Times New Roman" w:cs="Times New Roman"/>
          <w:sz w:val="26"/>
          <w:szCs w:val="26"/>
        </w:rPr>
      </w:pPr>
      <w:r w:rsidRPr="00A21349">
        <w:rPr>
          <w:rFonts w:ascii="Times New Roman" w:hAnsi="Times New Roman" w:cs="Times New Roman"/>
          <w:sz w:val="26"/>
          <w:szCs w:val="26"/>
        </w:rPr>
        <w:t>Hani i Elezit</w:t>
      </w:r>
    </w:p>
    <w:p w:rsidR="00580115" w:rsidRPr="009D7A31" w:rsidRDefault="00580115" w:rsidP="00580115">
      <w:pPr>
        <w:tabs>
          <w:tab w:val="left" w:pos="3720"/>
          <w:tab w:val="left" w:pos="7725"/>
          <w:tab w:val="left" w:pos="8640"/>
        </w:tabs>
        <w:jc w:val="right"/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</w:t>
      </w:r>
      <w:r>
        <w:rPr>
          <w:noProof/>
          <w:lang w:val="en-US"/>
        </w:rPr>
        <w:tab/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 w:rsidR="003C592E">
        <w:rPr>
          <w:rFonts w:ascii="Times New Roman" w:hAnsi="Times New Roman" w:cs="Times New Roman"/>
          <w:b/>
          <w:sz w:val="24"/>
          <w:szCs w:val="24"/>
          <w:u w:val="single"/>
        </w:rPr>
        <w:t>9607</w:t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:rsidR="00580115" w:rsidRDefault="00580115" w:rsidP="00580115"/>
    <w:p w:rsidR="00580115" w:rsidRDefault="00580115" w:rsidP="00580115">
      <w:pPr>
        <w:jc w:val="center"/>
      </w:pPr>
      <w:r>
        <w:tab/>
      </w:r>
    </w:p>
    <w:p w:rsidR="00580115" w:rsidRDefault="00580115" w:rsidP="00580115">
      <w:pPr>
        <w:jc w:val="center"/>
      </w:pPr>
    </w:p>
    <w:p w:rsidR="00580115" w:rsidRPr="00A65425" w:rsidRDefault="00580115" w:rsidP="00580115">
      <w:pPr>
        <w:jc w:val="center"/>
        <w:rPr>
          <w:rFonts w:ascii="Times New Roman" w:hAnsi="Times New Roman" w:cs="Times New Roman"/>
          <w:sz w:val="48"/>
          <w:szCs w:val="24"/>
        </w:rPr>
      </w:pPr>
      <w:r w:rsidRPr="00A65425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:rsidR="00580115" w:rsidRDefault="00580115" w:rsidP="00580115">
      <w:pPr>
        <w:rPr>
          <w:rFonts w:ascii="Times New Roman" w:hAnsi="Times New Roman" w:cs="Times New Roman"/>
          <w:sz w:val="72"/>
          <w:szCs w:val="24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580115" w:rsidRPr="00A65425" w:rsidRDefault="00580115" w:rsidP="00580115">
      <w:pPr>
        <w:jc w:val="center"/>
        <w:rPr>
          <w:rFonts w:ascii="Times New Roman" w:hAnsi="Times New Roman" w:cs="Times New Roman"/>
          <w:sz w:val="44"/>
          <w:szCs w:val="24"/>
        </w:rPr>
      </w:pPr>
      <w:r w:rsidRPr="00A65425">
        <w:rPr>
          <w:rFonts w:ascii="Times New Roman" w:hAnsi="Times New Roman" w:cs="Times New Roman"/>
          <w:sz w:val="44"/>
          <w:szCs w:val="24"/>
        </w:rPr>
        <w:t>RAPORTI I PUNËS DHE AKTIVITETEVE</w:t>
      </w:r>
      <w:r>
        <w:rPr>
          <w:rFonts w:ascii="Times New Roman" w:hAnsi="Times New Roman" w:cs="Times New Roman"/>
          <w:sz w:val="44"/>
          <w:szCs w:val="24"/>
        </w:rPr>
        <w:t xml:space="preserve"> PËR MUAJIN </w:t>
      </w:r>
      <w:r w:rsidR="00903DA3">
        <w:rPr>
          <w:rFonts w:ascii="Times New Roman" w:hAnsi="Times New Roman" w:cs="Times New Roman"/>
          <w:sz w:val="44"/>
          <w:szCs w:val="24"/>
        </w:rPr>
        <w:t>TETOR</w:t>
      </w:r>
      <w:r>
        <w:rPr>
          <w:rFonts w:ascii="Times New Roman" w:hAnsi="Times New Roman" w:cs="Times New Roman"/>
          <w:sz w:val="44"/>
          <w:szCs w:val="24"/>
        </w:rPr>
        <w:t xml:space="preserve"> 2024</w:t>
      </w:r>
    </w:p>
    <w:p w:rsidR="00580115" w:rsidRDefault="00580115" w:rsidP="00580115">
      <w:pPr>
        <w:jc w:val="center"/>
        <w:rPr>
          <w:rFonts w:ascii="Times New Roman" w:hAnsi="Times New Roman" w:cs="Times New Roman"/>
          <w:sz w:val="56"/>
          <w:szCs w:val="24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sz w:val="56"/>
          <w:szCs w:val="24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:rsidR="00580115" w:rsidRDefault="00580115" w:rsidP="00580115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Hani i Elezit, 2024</w:t>
      </w:r>
    </w:p>
    <w:p w:rsidR="00580115" w:rsidRPr="00FE1103" w:rsidRDefault="00580115" w:rsidP="00580115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>DREJTORIA PËR BUXHE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T DHE FINANCA </w:t>
      </w:r>
    </w:p>
    <w:p w:rsidR="00580115" w:rsidRDefault="00580115" w:rsidP="0058011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0115" w:rsidRPr="00FE1103" w:rsidRDefault="00580115" w:rsidP="0058011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Drejtoria për Buxhet dhe Financa pë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>r muajin tetor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qeverisjen lokale, Ligjin mbi tatimin në pronën e paluajtshme, Rregulloret dhe udhëzimet administrative nga Ministria e Financave, Punës dhe Transfereve (MFPT).</w:t>
      </w:r>
    </w:p>
    <w:p w:rsidR="00580115" w:rsidRPr="00FE1103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cave dhe përgjegjësive, ka funksionuar kryesisht në</w:t>
      </w:r>
      <w:r w:rsidR="006C009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katër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) sektorë:</w:t>
      </w:r>
    </w:p>
    <w:p w:rsidR="00580115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dhe</w:t>
      </w:r>
    </w:p>
    <w:p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80115" w:rsidRPr="00FE1103" w:rsidRDefault="00580115" w:rsidP="0058011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Drejtoria për Buxhet dhe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Financa e menaxhuar nga drejtoresha e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dr</w:t>
      </w:r>
      <w:r w:rsidR="006C0095">
        <w:rPr>
          <w:rFonts w:ascii="Times New Roman" w:eastAsia="MS Mincho" w:hAnsi="Times New Roman" w:cs="Times New Roman"/>
          <w:color w:val="000000"/>
          <w:sz w:val="24"/>
          <w:szCs w:val="24"/>
        </w:rPr>
        <w:t>ejtorisë dhe me një staf prej (7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) </w:t>
      </w:r>
      <w:r w:rsidR="00903DA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zyrtarëve, gjatë muajit tetor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kishte një angazhim permanent, me një përkushtim të madh në drejtim të realizimit sa më të suksesshëm të të gjitha objektiva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ve dhe detyrave të parashikuara në planin e punës së drejtorisë.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Aktiviteti i drejtorisë ka qenë i përqëndruar në realizimin e buxhetit sipas dinamikës së planifikuar dhe menaxhimin sa më efikas të buxhetit. </w:t>
      </w: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Pr="00FE1103" w:rsidRDefault="00580115" w:rsidP="00580115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Buxheti i komunës së Hanit të Elezi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t i ndarë sipas Ligjit me Nr. 08/L-260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mbi ndarjet buxhetore të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epu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blikës së Kosovës për vitin 2024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është në lartësi prej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3,349,278.00 </w:t>
      </w: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Euro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:rsidR="00580115" w:rsidRPr="00C574C5" w:rsidRDefault="00580115" w:rsidP="00580115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0115" w:rsidRPr="00C574C5" w:rsidRDefault="00580115" w:rsidP="00580115">
      <w:pPr>
        <w:pStyle w:val="BodyText"/>
        <w:spacing w:line="360" w:lineRule="auto"/>
        <w:ind w:left="342"/>
      </w:pPr>
      <w:r w:rsidRPr="00C574C5">
        <w:t>Ky</w:t>
      </w:r>
      <w:r w:rsidR="00903DA3">
        <w:t xml:space="preserve"> </w:t>
      </w:r>
      <w:r w:rsidRPr="00C574C5">
        <w:t>buxhet</w:t>
      </w:r>
      <w:r w:rsidR="00903DA3">
        <w:t xml:space="preserve"> </w:t>
      </w:r>
      <w:r w:rsidRPr="00C574C5">
        <w:t>është</w:t>
      </w:r>
      <w:r w:rsidR="00903DA3">
        <w:t xml:space="preserve"> </w:t>
      </w:r>
      <w:r w:rsidRPr="00C574C5">
        <w:t>ndarë</w:t>
      </w:r>
      <w:r w:rsidR="00903DA3">
        <w:t xml:space="preserve"> </w:t>
      </w:r>
      <w:r w:rsidRPr="00C574C5">
        <w:t>sipas</w:t>
      </w:r>
      <w:r w:rsidR="00903DA3">
        <w:t xml:space="preserve"> </w:t>
      </w:r>
      <w:r w:rsidRPr="00C574C5">
        <w:t>kategorive</w:t>
      </w:r>
      <w:r w:rsidR="00903DA3">
        <w:t xml:space="preserve"> </w:t>
      </w:r>
      <w:r w:rsidRPr="00C574C5">
        <w:t>ekonomike</w:t>
      </w:r>
      <w:r w:rsidR="00903DA3">
        <w:t xml:space="preserve"> </w:t>
      </w:r>
      <w:r w:rsidRPr="00C574C5">
        <w:t>si</w:t>
      </w:r>
      <w:r w:rsidR="00903DA3">
        <w:t xml:space="preserve"> </w:t>
      </w:r>
      <w:r w:rsidRPr="00C574C5">
        <w:t>në</w:t>
      </w:r>
      <w:r w:rsidR="00903DA3">
        <w:t xml:space="preserve"> </w:t>
      </w:r>
      <w:r w:rsidRPr="00C574C5">
        <w:t>vijim: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Paga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shtesa.................</w:t>
      </w:r>
      <w:r>
        <w:rPr>
          <w:rFonts w:ascii="Times New Roman" w:hAnsi="Times New Roman" w:cs="Times New Roman"/>
          <w:sz w:val="24"/>
        </w:rPr>
        <w:t>2,075,272.00</w:t>
      </w:r>
      <w:r w:rsidRPr="00C574C5">
        <w:rPr>
          <w:rFonts w:ascii="Times New Roman" w:hAnsi="Times New Roman" w:cs="Times New Roman"/>
          <w:sz w:val="24"/>
        </w:rPr>
        <w:t xml:space="preserve"> €,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Mallra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shërbime.............</w:t>
      </w:r>
      <w:r>
        <w:rPr>
          <w:rFonts w:ascii="Times New Roman" w:hAnsi="Times New Roman" w:cs="Times New Roman"/>
          <w:sz w:val="24"/>
        </w:rPr>
        <w:t>524,500</w:t>
      </w:r>
      <w:r w:rsidRPr="00C574C5">
        <w:rPr>
          <w:rFonts w:ascii="Times New Roman" w:hAnsi="Times New Roman" w:cs="Times New Roman"/>
          <w:sz w:val="24"/>
        </w:rPr>
        <w:t>.00€,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Shpenzimet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komunale</w:t>
      </w:r>
      <w:r w:rsidRPr="00C574C5">
        <w:rPr>
          <w:rFonts w:ascii="Times New Roman" w:hAnsi="Times New Roman" w:cs="Times New Roman"/>
          <w:sz w:val="24"/>
        </w:rPr>
        <w:tab/>
        <w:t>..9</w:t>
      </w:r>
      <w:r>
        <w:rPr>
          <w:rFonts w:ascii="Times New Roman" w:hAnsi="Times New Roman" w:cs="Times New Roman"/>
          <w:sz w:val="24"/>
        </w:rPr>
        <w:t>3</w:t>
      </w:r>
      <w:r w:rsidRPr="00C574C5">
        <w:rPr>
          <w:rFonts w:ascii="Times New Roman" w:hAnsi="Times New Roman" w:cs="Times New Roman"/>
          <w:sz w:val="24"/>
        </w:rPr>
        <w:t>,500.00€,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Subvencione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transfere</w:t>
      </w:r>
      <w:r w:rsidRPr="00C574C5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 xml:space="preserve">13,000.00 </w:t>
      </w:r>
      <w:r w:rsidRPr="00C574C5">
        <w:rPr>
          <w:rFonts w:ascii="Times New Roman" w:hAnsi="Times New Roman" w:cs="Times New Roman"/>
          <w:sz w:val="24"/>
        </w:rPr>
        <w:t>€,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</w:t>
      </w:r>
      <w:r w:rsidR="00903DA3">
        <w:rPr>
          <w:rFonts w:ascii="Times New Roman" w:hAnsi="Times New Roman" w:cs="Times New Roman"/>
          <w:sz w:val="24"/>
        </w:rPr>
        <w:t xml:space="preserve"> k</w:t>
      </w:r>
      <w:r w:rsidRPr="00C574C5">
        <w:rPr>
          <w:rFonts w:ascii="Times New Roman" w:hAnsi="Times New Roman" w:cs="Times New Roman"/>
          <w:sz w:val="24"/>
        </w:rPr>
        <w:t>apitale</w:t>
      </w:r>
      <w:r w:rsidRPr="00C574C5">
        <w:rPr>
          <w:rFonts w:ascii="Times New Roman" w:hAnsi="Times New Roman" w:cs="Times New Roman"/>
          <w:sz w:val="24"/>
        </w:rPr>
        <w:tab/>
        <w:t>..</w:t>
      </w:r>
      <w:r>
        <w:rPr>
          <w:rFonts w:ascii="Times New Roman" w:hAnsi="Times New Roman" w:cs="Times New Roman"/>
          <w:sz w:val="24"/>
        </w:rPr>
        <w:t xml:space="preserve">543,006.00 </w:t>
      </w:r>
      <w:r w:rsidRPr="00C574C5">
        <w:rPr>
          <w:rFonts w:ascii="Times New Roman" w:hAnsi="Times New Roman" w:cs="Times New Roman"/>
          <w:sz w:val="24"/>
        </w:rPr>
        <w:t>€,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C574C5">
        <w:rPr>
          <w:rFonts w:ascii="Times New Roman" w:hAnsi="Times New Roman" w:cs="Times New Roman"/>
          <w:sz w:val="24"/>
          <w:u w:val="single"/>
        </w:rPr>
        <w:t>Totali</w:t>
      </w:r>
      <w:r w:rsidR="00903DA3"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i</w:t>
      </w:r>
      <w:r w:rsidR="00903DA3"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buxhetit</w:t>
      </w:r>
      <w:r w:rsidRPr="00C574C5">
        <w:rPr>
          <w:rFonts w:ascii="Times New Roman" w:hAnsi="Times New Roman" w:cs="Times New Roman"/>
          <w:sz w:val="24"/>
        </w:rPr>
        <w:t>..................</w:t>
      </w:r>
      <w:r w:rsidRPr="00C574C5">
        <w:rPr>
          <w:rFonts w:ascii="Times New Roman" w:hAnsi="Times New Roman" w:cs="Times New Roman"/>
          <w:b/>
          <w:sz w:val="24"/>
          <w:u w:val="single"/>
        </w:rPr>
        <w:t>3,349,</w:t>
      </w:r>
      <w:r>
        <w:rPr>
          <w:rFonts w:ascii="Times New Roman" w:hAnsi="Times New Roman" w:cs="Times New Roman"/>
          <w:b/>
          <w:sz w:val="24"/>
          <w:u w:val="single"/>
        </w:rPr>
        <w:t>278.00</w:t>
      </w:r>
      <w:r w:rsidRPr="00C574C5">
        <w:rPr>
          <w:rFonts w:ascii="Times New Roman" w:hAnsi="Times New Roman" w:cs="Times New Roman"/>
          <w:sz w:val="24"/>
        </w:rPr>
        <w:t xml:space="preserve"> €.</w:t>
      </w:r>
    </w:p>
    <w:p w:rsidR="00580115" w:rsidRPr="00FE1103" w:rsidRDefault="00580115" w:rsidP="0058011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Punët dhe aktivitetet të cilat janë zhvilluar gjatë këtij muaji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mund t’i veçojmë këto:</w:t>
      </w: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:rsidR="00580115" w:rsidRDefault="00580115" w:rsidP="00580115">
      <w:pPr>
        <w:spacing w:after="0" w:line="240" w:lineRule="auto"/>
        <w:ind w:left="360"/>
        <w:contextualSpacing/>
        <w:jc w:val="center"/>
      </w:pPr>
    </w:p>
    <w:p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e raportit mujor të të hyra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>ve dhe shpenzimeve të muajit shtator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publikimi në ueb faqen e Komunës,</w:t>
      </w:r>
    </w:p>
    <w:p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e raportit të punës dhe aktiviteteve të Drejtorisë 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>Buxhet dhe Financa për muajin shtator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dorëzimi i të njejtit në Kabinetin e Kryetarit si dhe publikimi në ueb faqen e Komunës në formatin PDF dhe Word,</w:t>
      </w:r>
    </w:p>
    <w:p w:rsidR="00580115" w:rsidRPr="00B73E36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>ato kontraktuale të muajit shtator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580115" w:rsidRPr="00B73E36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Bara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>zimi me Thesar për muajin shtator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580115" w:rsidRPr="00892366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dhe publikimi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borxhit publik për muajin shtator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në ueb faqe të Komunës,</w:t>
      </w:r>
    </w:p>
    <w:p w:rsidR="00580115" w:rsidRPr="00903DA3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Hartimi i </w:t>
      </w:r>
      <w:r w:rsidR="00903DA3">
        <w:rPr>
          <w:rFonts w:ascii="Times New Roman" w:hAnsi="Times New Roman" w:cs="Times New Roman"/>
          <w:sz w:val="24"/>
          <w:szCs w:val="24"/>
        </w:rPr>
        <w:t>Raportit të Dëgjimeve Buxhetore për Buxhetin e vitit 2025 dhe parashikimet buxhetore për vitet 2026-2027,</w:t>
      </w:r>
    </w:p>
    <w:p w:rsidR="00903DA3" w:rsidRPr="00903DA3" w:rsidRDefault="00903DA3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Publikimi i Raportit të Dëgjimeve Buxhetore për Buxhetin e vitit 2025 dhe parashikimet buxhetore për vitet 2026-2027,</w:t>
      </w:r>
    </w:p>
    <w:p w:rsidR="00903DA3" w:rsidRPr="00580115" w:rsidRDefault="00903DA3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Dorëzimi i Raportit të Monitorimit të Investimeve Kapitale sipas Periudhave (Q3) në Departamentin e Buxhetit – MFPT,</w:t>
      </w:r>
    </w:p>
    <w:p w:rsidR="00580115" w:rsidRPr="000B702E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0B702E">
        <w:rPr>
          <w:rFonts w:ascii="Times New Roman" w:eastAsia="Calibri" w:hAnsi="Times New Roman" w:cs="Times New Roman"/>
          <w:color w:val="000000"/>
          <w:sz w:val="24"/>
        </w:rPr>
        <w:t>Llogaritja dhe realizimi i të gjitha pagesave të destinuar për pagesën e pagave dhe shtesave të Administratës Komunale, të këshilltarëve Komunal, komiteteve të ndryshme të Kuvendit, të Sektorit të Arsimit dhe Sektorit të Kujdesit Primar Shëndetësor</w:t>
      </w:r>
      <w:r w:rsidRPr="000B702E">
        <w:rPr>
          <w:rFonts w:ascii="Times New Roman" w:eastAsia="Calibri" w:hAnsi="Times New Roman" w:cs="Times New Roman"/>
          <w:color w:val="000000"/>
        </w:rPr>
        <w:t>.</w:t>
      </w: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903DA3" w:rsidRDefault="00903DA3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903DA3" w:rsidRDefault="00903DA3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73E3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lastRenderedPageBreak/>
        <w:t xml:space="preserve">RAPORTI I EKZEKUTIMIT TË BUXHETIT PËR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MUAJIN </w:t>
      </w:r>
      <w:r w:rsidR="00903DA3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TETOR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2024</w:t>
      </w: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tbl>
      <w:tblPr>
        <w:tblStyle w:val="GridTable6Colorful-Accent11"/>
        <w:tblW w:w="11065" w:type="dxa"/>
        <w:jc w:val="center"/>
        <w:tblLook w:val="04A0"/>
      </w:tblPr>
      <w:tblGrid>
        <w:gridCol w:w="2965"/>
        <w:gridCol w:w="1974"/>
        <w:gridCol w:w="1476"/>
        <w:gridCol w:w="1590"/>
        <w:gridCol w:w="1440"/>
        <w:gridCol w:w="1620"/>
      </w:tblGrid>
      <w:tr w:rsidR="00580115" w:rsidRPr="005E57CE" w:rsidTr="00DE6A2F">
        <w:trPr>
          <w:cnfStyle w:val="100000000000"/>
          <w:trHeight w:val="1412"/>
          <w:jc w:val="center"/>
        </w:trPr>
        <w:tc>
          <w:tcPr>
            <w:cnfStyle w:val="001000000000"/>
            <w:tcW w:w="2965" w:type="dxa"/>
          </w:tcPr>
          <w:p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Kategoritë Buxhetore</w:t>
            </w:r>
          </w:p>
        </w:tc>
        <w:tc>
          <w:tcPr>
            <w:tcW w:w="1974" w:type="dxa"/>
          </w:tcPr>
          <w:p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sipas Ligjit </w:t>
            </w:r>
            <w:r w:rsidRPr="005E57C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nr. 08/L-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76" w:type="dxa"/>
          </w:tcPr>
          <w:p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152CA4" w:rsidRPr="00152CA4" w:rsidRDefault="00580115" w:rsidP="00152CA4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</w:t>
            </w:r>
            <w:r w:rsidR="00152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1590" w:type="dxa"/>
          </w:tcPr>
          <w:p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</w:t>
            </w:r>
          </w:p>
          <w:p w:rsidR="00580115" w:rsidRPr="005E57CE" w:rsidRDefault="00903DA3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Tetor </w:t>
            </w:r>
            <w:r w:rsidR="00580115"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 Realizimit </w:t>
            </w:r>
            <w:r w:rsidR="00903D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Tetor</w:t>
            </w:r>
          </w:p>
        </w:tc>
        <w:tc>
          <w:tcPr>
            <w:tcW w:w="1620" w:type="dxa"/>
          </w:tcPr>
          <w:p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Realizimit Janar</w:t>
            </w:r>
            <w:r w:rsidR="000D2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903D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Tetor</w:t>
            </w:r>
          </w:p>
        </w:tc>
      </w:tr>
      <w:tr w:rsidR="00580115" w:rsidRPr="005E57CE" w:rsidTr="00DE6A2F">
        <w:trPr>
          <w:cnfStyle w:val="000000100000"/>
          <w:trHeight w:val="438"/>
          <w:jc w:val="center"/>
        </w:trPr>
        <w:tc>
          <w:tcPr>
            <w:cnfStyle w:val="00100000000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Paga dhe Shtesa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2,075,272.00</w:t>
            </w:r>
          </w:p>
        </w:tc>
        <w:tc>
          <w:tcPr>
            <w:tcW w:w="1476" w:type="dxa"/>
          </w:tcPr>
          <w:p w:rsidR="00580115" w:rsidRPr="002D5560" w:rsidRDefault="006C0095" w:rsidP="006C0095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</w:t>
            </w:r>
            <w:r w:rsidR="00F64C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075,272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F64C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590" w:type="dxa"/>
          </w:tcPr>
          <w:p w:rsidR="00580115" w:rsidRPr="002D5560" w:rsidRDefault="00F64CB1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169,067.30</w:t>
            </w:r>
          </w:p>
        </w:tc>
        <w:tc>
          <w:tcPr>
            <w:tcW w:w="1440" w:type="dxa"/>
          </w:tcPr>
          <w:p w:rsidR="00580115" w:rsidRPr="005E57CE" w:rsidRDefault="00F64CB1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</w:t>
            </w:r>
            <w:r w:rsidR="00580115"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580115" w:rsidRDefault="00F64CB1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86.6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:rsidTr="00DE6A2F">
        <w:trPr>
          <w:trHeight w:val="450"/>
          <w:jc w:val="center"/>
        </w:trPr>
        <w:tc>
          <w:tcPr>
            <w:cnfStyle w:val="00100000000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Mallra dhe Shërbime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524,500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476" w:type="dxa"/>
          </w:tcPr>
          <w:p w:rsidR="00580115" w:rsidRPr="002D5560" w:rsidRDefault="006C009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609,154.00</w:t>
            </w:r>
          </w:p>
        </w:tc>
        <w:tc>
          <w:tcPr>
            <w:tcW w:w="1590" w:type="dxa"/>
          </w:tcPr>
          <w:p w:rsidR="00580115" w:rsidRPr="002D5560" w:rsidRDefault="00F64CB1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58,139.90</w:t>
            </w:r>
          </w:p>
        </w:tc>
        <w:tc>
          <w:tcPr>
            <w:tcW w:w="1440" w:type="dxa"/>
          </w:tcPr>
          <w:p w:rsidR="00580115" w:rsidRPr="005E57CE" w:rsidRDefault="00F64CB1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:rsidR="00580115" w:rsidRDefault="00F64CB1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65.9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:rsidTr="00DE6A2F">
        <w:trPr>
          <w:cnfStyle w:val="000000100000"/>
          <w:trHeight w:val="438"/>
          <w:jc w:val="center"/>
        </w:trPr>
        <w:tc>
          <w:tcPr>
            <w:cnfStyle w:val="00100000000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Komunale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476" w:type="dxa"/>
          </w:tcPr>
          <w:p w:rsidR="00580115" w:rsidRPr="002D5560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590" w:type="dxa"/>
          </w:tcPr>
          <w:p w:rsidR="00580115" w:rsidRPr="002D5560" w:rsidRDefault="00F64CB1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12,557.94</w:t>
            </w:r>
          </w:p>
        </w:tc>
        <w:tc>
          <w:tcPr>
            <w:tcW w:w="1440" w:type="dxa"/>
          </w:tcPr>
          <w:p w:rsidR="00580115" w:rsidRPr="005E57CE" w:rsidRDefault="009A2B1A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6.3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:rsidR="00580115" w:rsidRDefault="00F64CB1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69.1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:rsidTr="00DE6A2F">
        <w:trPr>
          <w:trHeight w:val="438"/>
          <w:jc w:val="center"/>
        </w:trPr>
        <w:tc>
          <w:tcPr>
            <w:cnfStyle w:val="00100000000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Subvencione dhe Transfere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,000.00</w:t>
            </w:r>
          </w:p>
        </w:tc>
        <w:tc>
          <w:tcPr>
            <w:tcW w:w="1476" w:type="dxa"/>
          </w:tcPr>
          <w:p w:rsidR="00580115" w:rsidRPr="002D5560" w:rsidRDefault="006C009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372,795.00</w:t>
            </w:r>
          </w:p>
        </w:tc>
        <w:tc>
          <w:tcPr>
            <w:tcW w:w="1590" w:type="dxa"/>
          </w:tcPr>
          <w:p w:rsidR="00580115" w:rsidRPr="002D5560" w:rsidRDefault="00F64CB1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256,467.48</w:t>
            </w:r>
          </w:p>
        </w:tc>
        <w:tc>
          <w:tcPr>
            <w:tcW w:w="1440" w:type="dxa"/>
          </w:tcPr>
          <w:p w:rsidR="00580115" w:rsidRPr="005E57CE" w:rsidRDefault="00F64CB1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68.7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:rsidR="00580115" w:rsidRDefault="00F64CB1" w:rsidP="00F64CB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95.2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:rsidTr="00DE6A2F">
        <w:trPr>
          <w:cnfStyle w:val="000000100000"/>
          <w:trHeight w:val="395"/>
          <w:jc w:val="center"/>
        </w:trPr>
        <w:tc>
          <w:tcPr>
            <w:cnfStyle w:val="00100000000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Kapitale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543,006.00</w:t>
            </w:r>
          </w:p>
        </w:tc>
        <w:tc>
          <w:tcPr>
            <w:tcW w:w="1476" w:type="dxa"/>
          </w:tcPr>
          <w:p w:rsidR="00580115" w:rsidRPr="002D5560" w:rsidRDefault="006C0095" w:rsidP="00DE6A2F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793,899.45</w:t>
            </w:r>
          </w:p>
        </w:tc>
        <w:tc>
          <w:tcPr>
            <w:tcW w:w="1590" w:type="dxa"/>
          </w:tcPr>
          <w:p w:rsidR="00580115" w:rsidRPr="002D5560" w:rsidRDefault="00F64CB1" w:rsidP="00CD3B27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  <w:r w:rsidR="00CD3B2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440" w:type="dxa"/>
          </w:tcPr>
          <w:p w:rsidR="00580115" w:rsidRPr="005E57CE" w:rsidRDefault="00580115" w:rsidP="00F64CB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F64C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:rsidR="00580115" w:rsidRDefault="00F64CB1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16.6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:rsidTr="00DE6A2F">
        <w:trPr>
          <w:trHeight w:val="438"/>
          <w:jc w:val="center"/>
        </w:trPr>
        <w:tc>
          <w:tcPr>
            <w:cnfStyle w:val="00100000000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hAnsi="Times New Roman" w:cs="Times New Roman"/>
                <w:b/>
                <w:color w:val="auto"/>
                <w:sz w:val="24"/>
              </w:rPr>
              <w:t>3,349,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278.00</w:t>
            </w:r>
          </w:p>
        </w:tc>
        <w:tc>
          <w:tcPr>
            <w:tcW w:w="1476" w:type="dxa"/>
          </w:tcPr>
          <w:p w:rsidR="00580115" w:rsidRPr="002D5560" w:rsidRDefault="00152CA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3,944,620.44</w:t>
            </w:r>
          </w:p>
        </w:tc>
        <w:tc>
          <w:tcPr>
            <w:tcW w:w="1590" w:type="dxa"/>
          </w:tcPr>
          <w:p w:rsidR="00580115" w:rsidRPr="002D5560" w:rsidRDefault="00F64CB1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496,232.62</w:t>
            </w:r>
          </w:p>
        </w:tc>
        <w:tc>
          <w:tcPr>
            <w:tcW w:w="1440" w:type="dxa"/>
          </w:tcPr>
          <w:p w:rsidR="00580115" w:rsidRPr="005E57CE" w:rsidRDefault="00F64CB1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12.5</w:t>
            </w:r>
            <w:r w:rsidR="00580115" w:rsidRPr="005E57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:rsidR="00580115" w:rsidRDefault="006D1A6C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69.7</w:t>
            </w:r>
            <w:r w:rsidR="005801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Pr="00B73E36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343D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TË HYRAT</w:t>
      </w:r>
    </w:p>
    <w:p w:rsidR="00580115" w:rsidRPr="002417D4" w:rsidRDefault="00580115" w:rsidP="00580115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Pr="00720A8E" w:rsidRDefault="00580115" w:rsidP="00720A8E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03">
        <w:rPr>
          <w:rFonts w:ascii="Times New Roman" w:eastAsia="Times New Roman" w:hAnsi="Times New Roman" w:cs="Times New Roman"/>
          <w:sz w:val="24"/>
          <w:szCs w:val="24"/>
        </w:rPr>
        <w:t>Planifikimi i t</w:t>
      </w:r>
      <w:r>
        <w:rPr>
          <w:rFonts w:ascii="Times New Roman" w:eastAsia="Times New Roman" w:hAnsi="Times New Roman" w:cs="Times New Roman"/>
          <w:sz w:val="24"/>
          <w:szCs w:val="24"/>
        </w:rPr>
        <w:t>ë hyrave vetanake për vitin 2024 është në shumë prej 274,376.00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:rsidR="00580115" w:rsidRDefault="00580115" w:rsidP="0058011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Në kuadër të këtij sektori janë kryer këto aktivitete:</w:t>
      </w:r>
    </w:p>
    <w:p w:rsidR="00580115" w:rsidRPr="002F25E9" w:rsidRDefault="00580115" w:rsidP="00580115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Përpunimi, harmonizimi dhe barazimi i evidencave të detajizuara te të gjitha llojet e të hyrave sipas programeve buxhetore, fondeve dhe kodeve ekonomike 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Sistemin Informativ të M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enaxhim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 Financiar të Kosovës (SIMFK),</w:t>
      </w:r>
    </w:p>
    <w:p w:rsidR="00580115" w:rsidRDefault="00580115" w:rsidP="0058011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Pr="005E57CE" w:rsidRDefault="00580115" w:rsidP="00580115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E57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I TATIMIT NË PRONË</w:t>
      </w:r>
    </w:p>
    <w:p w:rsidR="00580115" w:rsidRPr="00FE1103" w:rsidRDefault="00580115" w:rsidP="00580115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Gjatë këtij muaji, ky sektor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ka pasur këto aktivitete:</w:t>
      </w:r>
    </w:p>
    <w:p w:rsidR="00580115" w:rsidRPr="00655A20" w:rsidRDefault="00580115" w:rsidP="00580115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55A20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:rsidR="00580115" w:rsidRPr="00720A8E" w:rsidRDefault="00580115" w:rsidP="0058011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720A8E">
        <w:rPr>
          <w:rFonts w:ascii="Times New Roman" w:eastAsia="MS Mincho" w:hAnsi="Times New Roman" w:cs="Times New Roman"/>
          <w:color w:val="000000"/>
          <w:sz w:val="24"/>
          <w:szCs w:val="24"/>
        </w:rPr>
        <w:t>Shërbime të rregullta ndaj qytetarëve</w:t>
      </w:r>
      <w:r w:rsidR="00720A8E" w:rsidRPr="00720A8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. </w:t>
      </w: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Drejtore e Drejtorisë për Buxhet dhe Financa</w:t>
      </w: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Pr="00194929" w:rsidRDefault="00580115" w:rsidP="00580115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Lindita Ballazhi</w:t>
      </w:r>
    </w:p>
    <w:p w:rsidR="00397B0D" w:rsidRDefault="00397B0D"/>
    <w:sectPr w:rsidR="00397B0D" w:rsidSect="008D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6DE"/>
    <w:multiLevelType w:val="hybridMultilevel"/>
    <w:tmpl w:val="F202B6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0F025B"/>
    <w:multiLevelType w:val="hybridMultilevel"/>
    <w:tmpl w:val="E89081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3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72E94"/>
    <w:multiLevelType w:val="hybridMultilevel"/>
    <w:tmpl w:val="4252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0384E"/>
    <w:multiLevelType w:val="hybridMultilevel"/>
    <w:tmpl w:val="865CE14E"/>
    <w:lvl w:ilvl="0" w:tplc="90B02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0115"/>
    <w:rsid w:val="000B3A9E"/>
    <w:rsid w:val="000D27C9"/>
    <w:rsid w:val="00152CA4"/>
    <w:rsid w:val="00397B0D"/>
    <w:rsid w:val="003C592E"/>
    <w:rsid w:val="003D5DE5"/>
    <w:rsid w:val="00580115"/>
    <w:rsid w:val="006147C2"/>
    <w:rsid w:val="006C0095"/>
    <w:rsid w:val="006D1A6C"/>
    <w:rsid w:val="00720A8E"/>
    <w:rsid w:val="00776B10"/>
    <w:rsid w:val="007B1891"/>
    <w:rsid w:val="007F6FF9"/>
    <w:rsid w:val="008D1B11"/>
    <w:rsid w:val="008F4E33"/>
    <w:rsid w:val="00903DA3"/>
    <w:rsid w:val="00930708"/>
    <w:rsid w:val="009A2B1A"/>
    <w:rsid w:val="00B717ED"/>
    <w:rsid w:val="00CD3B27"/>
    <w:rsid w:val="00D12C23"/>
    <w:rsid w:val="00D14212"/>
    <w:rsid w:val="00D15963"/>
    <w:rsid w:val="00F6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15"/>
    <w:pPr>
      <w:spacing w:after="200" w:line="276" w:lineRule="auto"/>
    </w:pPr>
    <w:rPr>
      <w:rFonts w:eastAsia="SimSun"/>
      <w:kern w:val="0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5801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0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0115"/>
    <w:rPr>
      <w:rFonts w:ascii="Times New Roman" w:eastAsia="Times New Roman" w:hAnsi="Times New Roman" w:cs="Times New Roman"/>
      <w:kern w:val="0"/>
      <w:sz w:val="24"/>
      <w:szCs w:val="24"/>
      <w:lang w:val="sq-AL"/>
    </w:rPr>
  </w:style>
  <w:style w:type="table" w:customStyle="1" w:styleId="GridTable6Colorful-Accent11">
    <w:name w:val="Grid Table 6 Colorful - Accent 11"/>
    <w:basedOn w:val="TableNormal"/>
    <w:uiPriority w:val="51"/>
    <w:rsid w:val="00580115"/>
    <w:pPr>
      <w:spacing w:after="0" w:line="240" w:lineRule="auto"/>
    </w:pPr>
    <w:rPr>
      <w:rFonts w:eastAsia="SimSun"/>
      <w:color w:val="2F5496" w:themeColor="accent1" w:themeShade="BF"/>
      <w:kern w:val="0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2024-12-13T12:35:00Z</cp:lastPrinted>
  <dcterms:created xsi:type="dcterms:W3CDTF">2024-12-19T08:40:00Z</dcterms:created>
  <dcterms:modified xsi:type="dcterms:W3CDTF">2024-12-19T08:40:00Z</dcterms:modified>
</cp:coreProperties>
</file>