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20"/>
        </w:rPr>
      </w:pPr>
    </w:p>
    <w:p>
      <w:pPr>
        <w:pStyle w:val="Heading1"/>
        <w:spacing w:before="86"/>
        <w:ind w:left="2459" w:right="3137"/>
        <w:jc w:val="center"/>
      </w:pPr>
      <w:r>
        <w:rPr/>
        <w:drawing>
          <wp:anchor distT="0" distB="0" distL="0" distR="0" allowOverlap="1" layoutInCell="1" locked="0" behindDoc="0" simplePos="0" relativeHeight="15728640">
            <wp:simplePos x="0" y="0"/>
            <wp:positionH relativeFrom="page">
              <wp:posOffset>619125</wp:posOffset>
            </wp:positionH>
            <wp:positionV relativeFrom="paragraph">
              <wp:posOffset>-154590</wp:posOffset>
            </wp:positionV>
            <wp:extent cx="695325" cy="857250"/>
            <wp:effectExtent l="0" t="0" r="0" b="0"/>
            <wp:wrapNone/>
            <wp:docPr id="1" name="image1.png" descr="stema e kosoves"/>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95325" cy="857250"/>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6276975</wp:posOffset>
            </wp:positionH>
            <wp:positionV relativeFrom="paragraph">
              <wp:posOffset>-106965</wp:posOffset>
            </wp:positionV>
            <wp:extent cx="843277" cy="824554"/>
            <wp:effectExtent l="0" t="0" r="0" b="0"/>
            <wp:wrapNone/>
            <wp:docPr id="3" name="image2.png" descr="STEMA 1"/>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43277" cy="824554"/>
                    </a:xfrm>
                    <a:prstGeom prst="rect">
                      <a:avLst/>
                    </a:prstGeom>
                  </pic:spPr>
                </pic:pic>
              </a:graphicData>
            </a:graphic>
          </wp:anchor>
        </w:drawing>
      </w:r>
      <w:r>
        <w:rPr/>
        <w:t>Republika</w:t>
      </w:r>
      <w:r>
        <w:rPr>
          <w:spacing w:val="-3"/>
        </w:rPr>
        <w:t> </w:t>
      </w:r>
      <w:r>
        <w:rPr/>
        <w:t>e</w:t>
      </w:r>
      <w:r>
        <w:rPr>
          <w:spacing w:val="-6"/>
        </w:rPr>
        <w:t> </w:t>
      </w:r>
      <w:r>
        <w:rPr/>
        <w:t>Kosovës</w:t>
      </w:r>
      <w:r>
        <w:rPr>
          <w:spacing w:val="40"/>
        </w:rPr>
        <w:t> </w:t>
      </w:r>
      <w:r>
        <w:rPr/>
        <w:t>-</w:t>
      </w:r>
      <w:r>
        <w:rPr>
          <w:spacing w:val="40"/>
        </w:rPr>
        <w:t> </w:t>
      </w:r>
      <w:r>
        <w:rPr/>
        <w:t>Republic</w:t>
      </w:r>
      <w:r>
        <w:rPr>
          <w:spacing w:val="-6"/>
        </w:rPr>
        <w:t> </w:t>
      </w:r>
      <w:r>
        <w:rPr/>
        <w:t>of</w:t>
      </w:r>
      <w:r>
        <w:rPr>
          <w:spacing w:val="40"/>
        </w:rPr>
        <w:t> </w:t>
      </w:r>
      <w:r>
        <w:rPr/>
        <w:t>Kosova Komuna – Municipality</w:t>
      </w:r>
    </w:p>
    <w:p>
      <w:pPr>
        <w:spacing w:line="367" w:lineRule="exact" w:before="0"/>
        <w:ind w:left="2307" w:right="3137" w:firstLine="0"/>
        <w:jc w:val="center"/>
        <w:rPr>
          <w:b/>
          <w:sz w:val="32"/>
        </w:rPr>
      </w:pPr>
      <w:r>
        <w:rPr>
          <w:b/>
          <w:sz w:val="32"/>
        </w:rPr>
        <w:t>H</w:t>
      </w:r>
      <w:r>
        <w:rPr>
          <w:b/>
          <w:spacing w:val="-2"/>
          <w:sz w:val="32"/>
        </w:rPr>
        <w:t> </w:t>
      </w:r>
      <w:r>
        <w:rPr>
          <w:b/>
          <w:sz w:val="32"/>
        </w:rPr>
        <w:t>a</w:t>
      </w:r>
      <w:r>
        <w:rPr>
          <w:b/>
          <w:spacing w:val="-2"/>
          <w:sz w:val="32"/>
        </w:rPr>
        <w:t> </w:t>
      </w:r>
      <w:r>
        <w:rPr>
          <w:b/>
          <w:sz w:val="32"/>
        </w:rPr>
        <w:t>n</w:t>
      </w:r>
      <w:r>
        <w:rPr>
          <w:b/>
          <w:spacing w:val="-2"/>
          <w:sz w:val="32"/>
        </w:rPr>
        <w:t> </w:t>
      </w:r>
      <w:r>
        <w:rPr>
          <w:b/>
          <w:sz w:val="32"/>
        </w:rPr>
        <w:t>i</w:t>
      </w:r>
      <w:r>
        <w:rPr>
          <w:b/>
          <w:spacing w:val="77"/>
          <w:sz w:val="32"/>
        </w:rPr>
        <w:t> </w:t>
      </w:r>
      <w:r>
        <w:rPr>
          <w:b/>
          <w:sz w:val="32"/>
        </w:rPr>
        <w:t>i</w:t>
      </w:r>
      <w:r>
        <w:rPr>
          <w:b/>
          <w:spacing w:val="78"/>
          <w:sz w:val="32"/>
        </w:rPr>
        <w:t> </w:t>
      </w:r>
      <w:r>
        <w:rPr>
          <w:b/>
          <w:sz w:val="32"/>
        </w:rPr>
        <w:t>E</w:t>
      </w:r>
      <w:r>
        <w:rPr>
          <w:b/>
          <w:spacing w:val="-2"/>
          <w:sz w:val="32"/>
        </w:rPr>
        <w:t> </w:t>
      </w:r>
      <w:r>
        <w:rPr>
          <w:b/>
          <w:sz w:val="32"/>
        </w:rPr>
        <w:t>l e</w:t>
      </w:r>
      <w:r>
        <w:rPr>
          <w:b/>
          <w:spacing w:val="-1"/>
          <w:sz w:val="32"/>
        </w:rPr>
        <w:t> </w:t>
      </w:r>
      <w:r>
        <w:rPr>
          <w:b/>
          <w:sz w:val="32"/>
        </w:rPr>
        <w:t>z</w:t>
      </w:r>
      <w:r>
        <w:rPr>
          <w:b/>
          <w:spacing w:val="-3"/>
          <w:sz w:val="32"/>
        </w:rPr>
        <w:t> </w:t>
      </w:r>
      <w:r>
        <w:rPr>
          <w:b/>
          <w:sz w:val="32"/>
        </w:rPr>
        <w:t>i</w:t>
      </w:r>
      <w:r>
        <w:rPr>
          <w:b/>
          <w:spacing w:val="-2"/>
          <w:sz w:val="32"/>
        </w:rPr>
        <w:t> </w:t>
      </w:r>
      <w:r>
        <w:rPr>
          <w:b/>
          <w:spacing w:val="-10"/>
          <w:sz w:val="32"/>
        </w:rPr>
        <w:t>t</w:t>
      </w:r>
    </w:p>
    <w:p>
      <w:pPr>
        <w:pStyle w:val="BodyText"/>
        <w:spacing w:before="6"/>
        <w:rPr>
          <w:b/>
          <w:sz w:val="16"/>
        </w:rPr>
      </w:pPr>
    </w:p>
    <w:p>
      <w:pPr>
        <w:tabs>
          <w:tab w:pos="2663" w:val="left" w:leader="none"/>
        </w:tabs>
        <w:spacing w:before="89"/>
        <w:ind w:left="540" w:right="0" w:firstLine="0"/>
        <w:jc w:val="left"/>
        <w:rPr>
          <w:sz w:val="28"/>
        </w:rPr>
      </w:pPr>
      <w:r>
        <w:rPr>
          <w:sz w:val="28"/>
        </w:rPr>
        <w:t>Nr. 05/ </w:t>
      </w:r>
      <w:r>
        <w:rPr>
          <w:sz w:val="28"/>
          <w:u w:val="single"/>
        </w:rPr>
        <w:tab/>
      </w:r>
      <w:r>
        <w:rPr>
          <w:spacing w:val="-4"/>
          <w:sz w:val="28"/>
        </w:rPr>
        <w:t>2023</w:t>
      </w:r>
    </w:p>
    <w:p>
      <w:pPr>
        <w:pStyle w:val="BodyText"/>
        <w:rPr>
          <w:sz w:val="20"/>
        </w:rPr>
      </w:pPr>
    </w:p>
    <w:p>
      <w:pPr>
        <w:pStyle w:val="BodyText"/>
        <w:rPr>
          <w:sz w:val="20"/>
        </w:rPr>
      </w:pPr>
    </w:p>
    <w:p>
      <w:pPr>
        <w:pStyle w:val="BodyText"/>
        <w:rPr>
          <w:sz w:val="20"/>
        </w:rPr>
      </w:pPr>
    </w:p>
    <w:p>
      <w:pPr>
        <w:pStyle w:val="BodyText"/>
        <w:spacing w:before="11"/>
        <w:rPr>
          <w:sz w:val="11"/>
        </w:rPr>
      </w:pPr>
    </w:p>
    <w:tbl>
      <w:tblPr>
        <w:tblW w:w="0" w:type="auto"/>
        <w:jc w:val="left"/>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7653"/>
      </w:tblGrid>
      <w:tr>
        <w:trPr>
          <w:trHeight w:val="395" w:hRule="atLeast"/>
        </w:trPr>
        <w:tc>
          <w:tcPr>
            <w:tcW w:w="2432" w:type="dxa"/>
          </w:tcPr>
          <w:p>
            <w:pPr>
              <w:pStyle w:val="TableParagraph"/>
              <w:spacing w:before="36"/>
              <w:ind w:left="107"/>
              <w:rPr>
                <w:b/>
                <w:sz w:val="28"/>
              </w:rPr>
            </w:pPr>
            <w:r>
              <w:rPr>
                <w:b/>
                <w:spacing w:val="-4"/>
                <w:sz w:val="28"/>
              </w:rPr>
              <w:t>DATA</w:t>
            </w:r>
          </w:p>
        </w:tc>
        <w:tc>
          <w:tcPr>
            <w:tcW w:w="7653" w:type="dxa"/>
          </w:tcPr>
          <w:p>
            <w:pPr>
              <w:pStyle w:val="TableParagraph"/>
              <w:spacing w:before="33"/>
              <w:ind w:left="107"/>
              <w:rPr>
                <w:rFonts w:ascii="Cambria"/>
                <w:b/>
                <w:sz w:val="28"/>
              </w:rPr>
            </w:pPr>
            <w:r>
              <w:rPr>
                <w:rFonts w:ascii="Cambria"/>
                <w:b/>
                <w:spacing w:val="-2"/>
                <w:sz w:val="28"/>
              </w:rPr>
              <w:t>11.09.2023</w:t>
            </w:r>
          </w:p>
        </w:tc>
      </w:tr>
      <w:tr>
        <w:trPr>
          <w:trHeight w:val="376" w:hRule="atLeast"/>
        </w:trPr>
        <w:tc>
          <w:tcPr>
            <w:tcW w:w="2432" w:type="dxa"/>
          </w:tcPr>
          <w:p>
            <w:pPr>
              <w:pStyle w:val="TableParagraph"/>
              <w:spacing w:before="26"/>
              <w:ind w:left="107"/>
              <w:rPr>
                <w:b/>
                <w:sz w:val="28"/>
              </w:rPr>
            </w:pPr>
            <w:r>
              <w:rPr>
                <w:b/>
                <w:spacing w:val="-5"/>
                <w:sz w:val="28"/>
              </w:rPr>
              <w:t>PËR</w:t>
            </w:r>
          </w:p>
        </w:tc>
        <w:tc>
          <w:tcPr>
            <w:tcW w:w="7653" w:type="dxa"/>
          </w:tcPr>
          <w:p>
            <w:pPr>
              <w:pStyle w:val="TableParagraph"/>
              <w:spacing w:before="24"/>
              <w:ind w:left="107"/>
              <w:rPr>
                <w:rFonts w:ascii="Cambria" w:hAnsi="Cambria"/>
                <w:b/>
                <w:sz w:val="28"/>
              </w:rPr>
            </w:pPr>
            <w:r>
              <w:rPr>
                <w:rFonts w:ascii="Cambria" w:hAnsi="Cambria"/>
                <w:b/>
                <w:sz w:val="28"/>
              </w:rPr>
              <w:t>KPF</w:t>
            </w:r>
            <w:r>
              <w:rPr>
                <w:rFonts w:ascii="Cambria" w:hAnsi="Cambria"/>
                <w:b/>
                <w:spacing w:val="-4"/>
                <w:sz w:val="28"/>
              </w:rPr>
              <w:t> </w:t>
            </w:r>
            <w:r>
              <w:rPr>
                <w:rFonts w:ascii="Cambria" w:hAnsi="Cambria"/>
                <w:b/>
                <w:sz w:val="28"/>
              </w:rPr>
              <w:t>DHE</w:t>
            </w:r>
            <w:r>
              <w:rPr>
                <w:rFonts w:ascii="Cambria" w:hAnsi="Cambria"/>
                <w:b/>
                <w:spacing w:val="-3"/>
                <w:sz w:val="28"/>
              </w:rPr>
              <w:t> </w:t>
            </w:r>
            <w:r>
              <w:rPr>
                <w:rFonts w:ascii="Cambria" w:hAnsi="Cambria"/>
                <w:b/>
                <w:sz w:val="28"/>
              </w:rPr>
              <w:t>KUVENDIN</w:t>
            </w:r>
            <w:r>
              <w:rPr>
                <w:rFonts w:ascii="Cambria" w:hAnsi="Cambria"/>
                <w:b/>
                <w:spacing w:val="-3"/>
                <w:sz w:val="28"/>
              </w:rPr>
              <w:t> </w:t>
            </w:r>
            <w:r>
              <w:rPr>
                <w:rFonts w:ascii="Cambria" w:hAnsi="Cambria"/>
                <w:b/>
                <w:sz w:val="28"/>
              </w:rPr>
              <w:t>E </w:t>
            </w:r>
            <w:r>
              <w:rPr>
                <w:rFonts w:ascii="Cambria" w:hAnsi="Cambria"/>
                <w:b/>
                <w:spacing w:val="-2"/>
                <w:sz w:val="28"/>
              </w:rPr>
              <w:t>KOMUNËS</w:t>
            </w:r>
          </w:p>
        </w:tc>
      </w:tr>
      <w:tr>
        <w:trPr>
          <w:trHeight w:val="657" w:hRule="atLeast"/>
        </w:trPr>
        <w:tc>
          <w:tcPr>
            <w:tcW w:w="2432" w:type="dxa"/>
          </w:tcPr>
          <w:p>
            <w:pPr>
              <w:pStyle w:val="TableParagraph"/>
              <w:spacing w:before="168"/>
              <w:ind w:left="107"/>
              <w:rPr>
                <w:b/>
                <w:sz w:val="28"/>
              </w:rPr>
            </w:pPr>
            <w:r>
              <w:rPr>
                <w:b/>
                <w:spacing w:val="-5"/>
                <w:sz w:val="28"/>
              </w:rPr>
              <w:t>NGA</w:t>
            </w:r>
          </w:p>
        </w:tc>
        <w:tc>
          <w:tcPr>
            <w:tcW w:w="7653" w:type="dxa"/>
          </w:tcPr>
          <w:p>
            <w:pPr>
              <w:pStyle w:val="TableParagraph"/>
              <w:ind w:left="107"/>
              <w:rPr>
                <w:rFonts w:ascii="Cambria"/>
                <w:b/>
                <w:sz w:val="28"/>
              </w:rPr>
            </w:pPr>
            <w:r>
              <w:rPr>
                <w:rFonts w:ascii="Cambria"/>
                <w:b/>
                <w:sz w:val="28"/>
              </w:rPr>
              <w:t>Hisni</w:t>
            </w:r>
            <w:r>
              <w:rPr>
                <w:rFonts w:ascii="Cambria"/>
                <w:b/>
                <w:spacing w:val="-3"/>
                <w:sz w:val="28"/>
              </w:rPr>
              <w:t> </w:t>
            </w:r>
            <w:r>
              <w:rPr>
                <w:rFonts w:ascii="Cambria"/>
                <w:b/>
                <w:spacing w:val="-4"/>
                <w:sz w:val="28"/>
              </w:rPr>
              <w:t>Luri</w:t>
            </w:r>
          </w:p>
          <w:p>
            <w:pPr>
              <w:pStyle w:val="TableParagraph"/>
              <w:spacing w:line="308" w:lineRule="exact"/>
              <w:ind w:left="107"/>
              <w:rPr>
                <w:rFonts w:ascii="Cambria" w:hAnsi="Cambria"/>
                <w:sz w:val="28"/>
              </w:rPr>
            </w:pPr>
            <w:r>
              <w:rPr>
                <w:rFonts w:ascii="Cambria" w:hAnsi="Cambria"/>
                <w:sz w:val="28"/>
              </w:rPr>
              <w:t>Drejtorisë</w:t>
            </w:r>
            <w:r>
              <w:rPr>
                <w:rFonts w:ascii="Cambria" w:hAnsi="Cambria"/>
                <w:spacing w:val="54"/>
                <w:sz w:val="28"/>
              </w:rPr>
              <w:t> </w:t>
            </w:r>
            <w:r>
              <w:rPr>
                <w:rFonts w:ascii="Cambria" w:hAnsi="Cambria"/>
                <w:sz w:val="28"/>
              </w:rPr>
              <w:t>për</w:t>
            </w:r>
            <w:r>
              <w:rPr>
                <w:rFonts w:ascii="Cambria" w:hAnsi="Cambria"/>
                <w:spacing w:val="-7"/>
                <w:sz w:val="28"/>
              </w:rPr>
              <w:t> </w:t>
            </w:r>
            <w:r>
              <w:rPr>
                <w:rFonts w:ascii="Cambria" w:hAnsi="Cambria"/>
                <w:sz w:val="28"/>
              </w:rPr>
              <w:t>Arsim,</w:t>
            </w:r>
            <w:r>
              <w:rPr>
                <w:rFonts w:ascii="Cambria" w:hAnsi="Cambria"/>
                <w:spacing w:val="-4"/>
                <w:sz w:val="28"/>
              </w:rPr>
              <w:t> </w:t>
            </w:r>
            <w:r>
              <w:rPr>
                <w:rFonts w:ascii="Cambria" w:hAnsi="Cambria"/>
                <w:sz w:val="28"/>
              </w:rPr>
              <w:t>Kulturë,</w:t>
            </w:r>
            <w:r>
              <w:rPr>
                <w:rFonts w:ascii="Cambria" w:hAnsi="Cambria"/>
                <w:spacing w:val="-6"/>
                <w:sz w:val="28"/>
              </w:rPr>
              <w:t> </w:t>
            </w:r>
            <w:r>
              <w:rPr>
                <w:rFonts w:ascii="Cambria" w:hAnsi="Cambria"/>
                <w:sz w:val="28"/>
              </w:rPr>
              <w:t>Rini</w:t>
            </w:r>
            <w:r>
              <w:rPr>
                <w:rFonts w:ascii="Cambria" w:hAnsi="Cambria"/>
                <w:spacing w:val="-2"/>
                <w:sz w:val="28"/>
              </w:rPr>
              <w:t> </w:t>
            </w:r>
            <w:r>
              <w:rPr>
                <w:rFonts w:ascii="Cambria" w:hAnsi="Cambria"/>
                <w:sz w:val="28"/>
              </w:rPr>
              <w:t>dhe</w:t>
            </w:r>
            <w:r>
              <w:rPr>
                <w:rFonts w:ascii="Cambria" w:hAnsi="Cambria"/>
                <w:spacing w:val="-6"/>
                <w:sz w:val="28"/>
              </w:rPr>
              <w:t> </w:t>
            </w:r>
            <w:r>
              <w:rPr>
                <w:rFonts w:ascii="Cambria" w:hAnsi="Cambria"/>
                <w:spacing w:val="-2"/>
                <w:sz w:val="28"/>
              </w:rPr>
              <w:t>Sport</w:t>
            </w:r>
          </w:p>
        </w:tc>
      </w:tr>
      <w:tr>
        <w:trPr>
          <w:trHeight w:val="377" w:hRule="atLeast"/>
        </w:trPr>
        <w:tc>
          <w:tcPr>
            <w:tcW w:w="2432" w:type="dxa"/>
          </w:tcPr>
          <w:p>
            <w:pPr>
              <w:pStyle w:val="TableParagraph"/>
              <w:spacing w:before="27"/>
              <w:ind w:left="107"/>
              <w:rPr>
                <w:b/>
                <w:sz w:val="28"/>
              </w:rPr>
            </w:pPr>
            <w:r>
              <w:rPr>
                <w:b/>
                <w:spacing w:val="-2"/>
                <w:sz w:val="28"/>
              </w:rPr>
              <w:t>Lënda</w:t>
            </w:r>
          </w:p>
        </w:tc>
        <w:tc>
          <w:tcPr>
            <w:tcW w:w="7653" w:type="dxa"/>
          </w:tcPr>
          <w:p>
            <w:pPr>
              <w:pStyle w:val="TableParagraph"/>
              <w:spacing w:before="24"/>
              <w:ind w:left="107"/>
              <w:rPr>
                <w:rFonts w:ascii="Cambria" w:hAnsi="Cambria"/>
                <w:b/>
                <w:sz w:val="28"/>
              </w:rPr>
            </w:pPr>
            <w:r>
              <w:rPr>
                <w:rFonts w:ascii="Cambria" w:hAnsi="Cambria"/>
                <w:b/>
                <w:sz w:val="28"/>
              </w:rPr>
              <w:t>Informatë</w:t>
            </w:r>
            <w:r>
              <w:rPr>
                <w:rFonts w:ascii="Cambria" w:hAnsi="Cambria"/>
                <w:b/>
                <w:spacing w:val="53"/>
                <w:sz w:val="28"/>
              </w:rPr>
              <w:t> </w:t>
            </w:r>
            <w:r>
              <w:rPr>
                <w:rFonts w:ascii="Cambria" w:hAnsi="Cambria"/>
                <w:b/>
                <w:sz w:val="28"/>
              </w:rPr>
              <w:t>për</w:t>
            </w:r>
            <w:r>
              <w:rPr>
                <w:rFonts w:ascii="Cambria" w:hAnsi="Cambria"/>
                <w:b/>
                <w:spacing w:val="-4"/>
                <w:sz w:val="28"/>
              </w:rPr>
              <w:t> </w:t>
            </w:r>
            <w:r>
              <w:rPr>
                <w:rFonts w:ascii="Cambria" w:hAnsi="Cambria"/>
                <w:b/>
                <w:sz w:val="28"/>
              </w:rPr>
              <w:t>fillimin</w:t>
            </w:r>
            <w:r>
              <w:rPr>
                <w:rFonts w:ascii="Cambria" w:hAnsi="Cambria"/>
                <w:b/>
                <w:spacing w:val="-4"/>
                <w:sz w:val="28"/>
              </w:rPr>
              <w:t> </w:t>
            </w:r>
            <w:r>
              <w:rPr>
                <w:rFonts w:ascii="Cambria" w:hAnsi="Cambria"/>
                <w:b/>
                <w:sz w:val="28"/>
              </w:rPr>
              <w:t>e</w:t>
            </w:r>
            <w:r>
              <w:rPr>
                <w:rFonts w:ascii="Cambria" w:hAnsi="Cambria"/>
                <w:b/>
                <w:spacing w:val="-5"/>
                <w:sz w:val="28"/>
              </w:rPr>
              <w:t> </w:t>
            </w:r>
            <w:r>
              <w:rPr>
                <w:rFonts w:ascii="Cambria" w:hAnsi="Cambria"/>
                <w:b/>
                <w:sz w:val="28"/>
              </w:rPr>
              <w:t>vitit</w:t>
            </w:r>
            <w:r>
              <w:rPr>
                <w:rFonts w:ascii="Cambria" w:hAnsi="Cambria"/>
                <w:b/>
                <w:spacing w:val="-5"/>
                <w:sz w:val="28"/>
              </w:rPr>
              <w:t> </w:t>
            </w:r>
            <w:r>
              <w:rPr>
                <w:rFonts w:ascii="Cambria" w:hAnsi="Cambria"/>
                <w:b/>
                <w:sz w:val="28"/>
              </w:rPr>
              <w:t>shkollor</w:t>
            </w:r>
            <w:r>
              <w:rPr>
                <w:rFonts w:ascii="Cambria" w:hAnsi="Cambria"/>
                <w:b/>
                <w:spacing w:val="51"/>
                <w:sz w:val="28"/>
              </w:rPr>
              <w:t> </w:t>
            </w:r>
            <w:r>
              <w:rPr>
                <w:rFonts w:ascii="Cambria" w:hAnsi="Cambria"/>
                <w:b/>
                <w:spacing w:val="-2"/>
                <w:sz w:val="28"/>
              </w:rPr>
              <w:t>2023/2024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0"/>
        <w:ind w:left="540"/>
      </w:pPr>
      <w:r>
        <w:rPr/>
        <w:t>Të</w:t>
      </w:r>
      <w:r>
        <w:rPr>
          <w:spacing w:val="-6"/>
        </w:rPr>
        <w:t> </w:t>
      </w:r>
      <w:r>
        <w:rPr/>
        <w:t>nderuar</w:t>
      </w:r>
      <w:r>
        <w:rPr>
          <w:spacing w:val="-4"/>
        </w:rPr>
        <w:t> </w:t>
      </w:r>
      <w:r>
        <w:rPr>
          <w:spacing w:val="-10"/>
        </w:rPr>
        <w:t>:</w:t>
      </w:r>
    </w:p>
    <w:p>
      <w:pPr>
        <w:pStyle w:val="BodyText"/>
        <w:rPr>
          <w:b/>
          <w:sz w:val="26"/>
        </w:rPr>
      </w:pPr>
    </w:p>
    <w:p>
      <w:pPr>
        <w:pStyle w:val="BodyText"/>
        <w:rPr>
          <w:b/>
          <w:sz w:val="26"/>
        </w:rPr>
      </w:pPr>
    </w:p>
    <w:p>
      <w:pPr>
        <w:spacing w:before="0"/>
        <w:ind w:left="540" w:right="0" w:firstLine="0"/>
        <w:jc w:val="left"/>
        <w:rPr>
          <w:sz w:val="28"/>
        </w:rPr>
      </w:pPr>
      <w:r>
        <w:rPr>
          <w:sz w:val="28"/>
        </w:rPr>
        <w:t>Po</w:t>
      </w:r>
      <w:r>
        <w:rPr>
          <w:spacing w:val="-5"/>
          <w:sz w:val="28"/>
        </w:rPr>
        <w:t> </w:t>
      </w:r>
      <w:r>
        <w:rPr>
          <w:sz w:val="28"/>
        </w:rPr>
        <w:t>ju</w:t>
      </w:r>
      <w:r>
        <w:rPr>
          <w:spacing w:val="-3"/>
          <w:sz w:val="28"/>
        </w:rPr>
        <w:t> </w:t>
      </w:r>
      <w:r>
        <w:rPr>
          <w:sz w:val="28"/>
        </w:rPr>
        <w:t>përcjellim</w:t>
      </w:r>
      <w:r>
        <w:rPr>
          <w:spacing w:val="-8"/>
          <w:sz w:val="28"/>
        </w:rPr>
        <w:t> </w:t>
      </w:r>
      <w:r>
        <w:rPr>
          <w:sz w:val="28"/>
        </w:rPr>
        <w:t>informatën</w:t>
      </w:r>
      <w:r>
        <w:rPr>
          <w:spacing w:val="63"/>
          <w:sz w:val="28"/>
        </w:rPr>
        <w:t> </w:t>
      </w:r>
      <w:r>
        <w:rPr>
          <w:sz w:val="28"/>
        </w:rPr>
        <w:t>për</w:t>
      </w:r>
      <w:r>
        <w:rPr>
          <w:spacing w:val="-1"/>
          <w:sz w:val="28"/>
        </w:rPr>
        <w:t> </w:t>
      </w:r>
      <w:r>
        <w:rPr>
          <w:sz w:val="28"/>
        </w:rPr>
        <w:t>fillimin</w:t>
      </w:r>
      <w:r>
        <w:rPr>
          <w:spacing w:val="-2"/>
          <w:sz w:val="28"/>
        </w:rPr>
        <w:t> </w:t>
      </w:r>
      <w:r>
        <w:rPr>
          <w:sz w:val="28"/>
        </w:rPr>
        <w:t>e</w:t>
      </w:r>
      <w:r>
        <w:rPr>
          <w:spacing w:val="-5"/>
          <w:sz w:val="28"/>
        </w:rPr>
        <w:t> </w:t>
      </w:r>
      <w:r>
        <w:rPr>
          <w:sz w:val="28"/>
        </w:rPr>
        <w:t>vitit</w:t>
      </w:r>
      <w:r>
        <w:rPr>
          <w:spacing w:val="-3"/>
          <w:sz w:val="28"/>
        </w:rPr>
        <w:t> </w:t>
      </w:r>
      <w:r>
        <w:rPr>
          <w:sz w:val="28"/>
        </w:rPr>
        <w:t>shkollor</w:t>
      </w:r>
      <w:r>
        <w:rPr>
          <w:spacing w:val="61"/>
          <w:sz w:val="28"/>
        </w:rPr>
        <w:t> </w:t>
      </w:r>
      <w:r>
        <w:rPr>
          <w:spacing w:val="-2"/>
          <w:sz w:val="28"/>
        </w:rPr>
        <w:t>2023/2024</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07"/>
        <w:ind w:left="540" w:right="0" w:firstLine="0"/>
        <w:jc w:val="left"/>
        <w:rPr>
          <w:b/>
          <w:sz w:val="24"/>
        </w:rPr>
      </w:pPr>
      <w:r>
        <w:rPr>
          <w:b/>
          <w:sz w:val="24"/>
        </w:rPr>
        <w:t>Me</w:t>
      </w:r>
      <w:r>
        <w:rPr>
          <w:b/>
          <w:spacing w:val="-4"/>
          <w:sz w:val="24"/>
        </w:rPr>
        <w:t> </w:t>
      </w:r>
      <w:r>
        <w:rPr>
          <w:b/>
          <w:spacing w:val="-2"/>
          <w:sz w:val="24"/>
        </w:rPr>
        <w:t>respekt,</w:t>
      </w:r>
    </w:p>
    <w:p>
      <w:pPr>
        <w:spacing w:after="0"/>
        <w:jc w:val="left"/>
        <w:rPr>
          <w:sz w:val="24"/>
        </w:rPr>
        <w:sectPr>
          <w:type w:val="continuous"/>
          <w:pgSz w:w="12240" w:h="15840"/>
          <w:pgMar w:top="560" w:bottom="280" w:left="720" w:right="0"/>
        </w:sectPr>
      </w:pPr>
    </w:p>
    <w:p>
      <w:pPr>
        <w:pStyle w:val="BodyText"/>
        <w:ind w:left="331"/>
        <w:rPr>
          <w:sz w:val="20"/>
        </w:rPr>
      </w:pPr>
      <w:r>
        <w:rPr>
          <w:sz w:val="20"/>
        </w:rPr>
        <w:pict>
          <v:shapetype id="_x0000_t202" o:spt="202" coordsize="21600,21600" path="m,l,21600r21600,l21600,xe">
            <v:stroke joinstyle="miter"/>
            <v:path gradientshapeok="t" o:connecttype="rect"/>
          </v:shapetype>
          <v:shape style="width:502.55pt;height:101.7pt;mso-position-horizontal-relative:char;mso-position-vertical-relative:line" type="#_x0000_t202" id="docshape1" filled="true" fillcolor="#92cddc" stroked="false">
            <w10:anchorlock/>
            <v:textbox inset="0,0,0,0">
              <w:txbxContent>
                <w:p>
                  <w:pPr>
                    <w:pStyle w:val="BodyText"/>
                    <w:rPr>
                      <w:b/>
                      <w:color w:val="000000"/>
                      <w:sz w:val="42"/>
                    </w:rPr>
                  </w:pPr>
                </w:p>
                <w:p>
                  <w:pPr>
                    <w:pStyle w:val="BodyText"/>
                    <w:rPr>
                      <w:b/>
                      <w:color w:val="000000"/>
                      <w:sz w:val="42"/>
                    </w:rPr>
                  </w:pPr>
                </w:p>
                <w:p>
                  <w:pPr>
                    <w:pStyle w:val="BodyText"/>
                    <w:spacing w:before="2"/>
                    <w:rPr>
                      <w:b/>
                      <w:color w:val="000000"/>
                      <w:sz w:val="56"/>
                    </w:rPr>
                  </w:pPr>
                </w:p>
                <w:p>
                  <w:pPr>
                    <w:spacing w:line="421" w:lineRule="exact" w:before="0"/>
                    <w:ind w:left="238" w:right="0" w:firstLine="0"/>
                    <w:jc w:val="left"/>
                    <w:rPr>
                      <w:rFonts w:ascii="Cambria" w:hAnsi="Cambria"/>
                      <w:b/>
                      <w:color w:val="000000"/>
                      <w:sz w:val="36"/>
                    </w:rPr>
                  </w:pPr>
                  <w:r>
                    <w:rPr>
                      <w:rFonts w:ascii="Cambria" w:hAnsi="Cambria"/>
                      <w:b/>
                      <w:color w:val="000000"/>
                      <w:sz w:val="36"/>
                    </w:rPr>
                    <w:t>DREJTORIA</w:t>
                  </w:r>
                  <w:r>
                    <w:rPr>
                      <w:rFonts w:ascii="Cambria" w:hAnsi="Cambria"/>
                      <w:b/>
                      <w:color w:val="000000"/>
                      <w:spacing w:val="78"/>
                      <w:sz w:val="36"/>
                    </w:rPr>
                    <w:t> </w:t>
                  </w:r>
                  <w:r>
                    <w:rPr>
                      <w:rFonts w:ascii="Cambria" w:hAnsi="Cambria"/>
                      <w:b/>
                      <w:color w:val="000000"/>
                      <w:sz w:val="36"/>
                    </w:rPr>
                    <w:t>PËR</w:t>
                  </w:r>
                  <w:r>
                    <w:rPr>
                      <w:rFonts w:ascii="Cambria" w:hAnsi="Cambria"/>
                      <w:b/>
                      <w:color w:val="000000"/>
                      <w:spacing w:val="-1"/>
                      <w:sz w:val="36"/>
                    </w:rPr>
                    <w:t> </w:t>
                  </w:r>
                  <w:r>
                    <w:rPr>
                      <w:rFonts w:ascii="Cambria" w:hAnsi="Cambria"/>
                      <w:b/>
                      <w:color w:val="000000"/>
                      <w:sz w:val="36"/>
                    </w:rPr>
                    <w:t>ARSIM,</w:t>
                  </w:r>
                  <w:r>
                    <w:rPr>
                      <w:rFonts w:ascii="Cambria" w:hAnsi="Cambria"/>
                      <w:b/>
                      <w:color w:val="000000"/>
                      <w:spacing w:val="76"/>
                      <w:sz w:val="36"/>
                    </w:rPr>
                    <w:t> </w:t>
                  </w:r>
                  <w:r>
                    <w:rPr>
                      <w:rFonts w:ascii="Cambria" w:hAnsi="Cambria"/>
                      <w:b/>
                      <w:color w:val="000000"/>
                      <w:sz w:val="36"/>
                    </w:rPr>
                    <w:t>KULTURË,</w:t>
                  </w:r>
                  <w:r>
                    <w:rPr>
                      <w:rFonts w:ascii="Cambria" w:hAnsi="Cambria"/>
                      <w:b/>
                      <w:color w:val="000000"/>
                      <w:spacing w:val="77"/>
                      <w:sz w:val="36"/>
                    </w:rPr>
                    <w:t> </w:t>
                  </w:r>
                  <w:r>
                    <w:rPr>
                      <w:rFonts w:ascii="Cambria" w:hAnsi="Cambria"/>
                      <w:b/>
                      <w:color w:val="000000"/>
                      <w:sz w:val="36"/>
                    </w:rPr>
                    <w:t>RINI</w:t>
                  </w:r>
                  <w:r>
                    <w:rPr>
                      <w:rFonts w:ascii="Cambria" w:hAnsi="Cambria"/>
                      <w:b/>
                      <w:color w:val="000000"/>
                      <w:spacing w:val="77"/>
                      <w:sz w:val="36"/>
                    </w:rPr>
                    <w:t> </w:t>
                  </w:r>
                  <w:r>
                    <w:rPr>
                      <w:rFonts w:ascii="Cambria" w:hAnsi="Cambria"/>
                      <w:b/>
                      <w:color w:val="000000"/>
                      <w:sz w:val="36"/>
                    </w:rPr>
                    <w:t>DHE</w:t>
                  </w:r>
                  <w:r>
                    <w:rPr>
                      <w:rFonts w:ascii="Cambria" w:hAnsi="Cambria"/>
                      <w:b/>
                      <w:color w:val="000000"/>
                      <w:spacing w:val="77"/>
                      <w:sz w:val="36"/>
                    </w:rPr>
                    <w:t> </w:t>
                  </w:r>
                  <w:r>
                    <w:rPr>
                      <w:rFonts w:ascii="Cambria" w:hAnsi="Cambria"/>
                      <w:b/>
                      <w:color w:val="000000"/>
                      <w:spacing w:val="-2"/>
                      <w:sz w:val="36"/>
                    </w:rPr>
                    <w:t>SPORT</w:t>
                  </w:r>
                </w:p>
              </w:txbxContent>
            </v:textbox>
            <v:fill type="solid"/>
          </v:shape>
        </w:pict>
      </w:r>
      <w:r>
        <w:rPr>
          <w:sz w:val="20"/>
        </w:rPr>
      </w:r>
    </w:p>
    <w:p>
      <w:pPr>
        <w:pStyle w:val="BodyText"/>
        <w:spacing w:before="6"/>
        <w:rPr>
          <w:b/>
          <w:sz w:val="14"/>
        </w:rPr>
      </w:pPr>
    </w:p>
    <w:p>
      <w:pPr>
        <w:pStyle w:val="Heading1"/>
        <w:tabs>
          <w:tab w:pos="4085" w:val="left" w:leader="none"/>
          <w:tab w:pos="4557" w:val="left" w:leader="none"/>
        </w:tabs>
        <w:spacing w:before="86"/>
        <w:ind w:left="3723"/>
      </w:pPr>
      <w:r>
        <w:rPr>
          <w:spacing w:val="-10"/>
        </w:rPr>
        <w:t>I</w:t>
      </w:r>
      <w:r>
        <w:rPr/>
        <w:tab/>
      </w:r>
      <w:r>
        <w:rPr>
          <w:spacing w:val="-10"/>
        </w:rPr>
        <w:t>N</w:t>
      </w:r>
      <w:r>
        <w:rPr/>
        <w:tab/>
        <w:t>F</w:t>
      </w:r>
      <w:r>
        <w:rPr>
          <w:spacing w:val="76"/>
        </w:rPr>
        <w:t> </w:t>
      </w:r>
      <w:r>
        <w:rPr/>
        <w:t>O</w:t>
      </w:r>
      <w:r>
        <w:rPr>
          <w:spacing w:val="76"/>
        </w:rPr>
        <w:t> </w:t>
      </w:r>
      <w:r>
        <w:rPr/>
        <w:t>R</w:t>
      </w:r>
      <w:r>
        <w:rPr>
          <w:spacing w:val="78"/>
        </w:rPr>
        <w:t> </w:t>
      </w:r>
      <w:r>
        <w:rPr/>
        <w:t>M</w:t>
      </w:r>
      <w:r>
        <w:rPr>
          <w:spacing w:val="-1"/>
        </w:rPr>
        <w:t> </w:t>
      </w:r>
      <w:r>
        <w:rPr/>
        <w:t>A</w:t>
      </w:r>
      <w:r>
        <w:rPr>
          <w:spacing w:val="76"/>
        </w:rPr>
        <w:t> </w:t>
      </w:r>
      <w:r>
        <w:rPr/>
        <w:t>T</w:t>
      </w:r>
      <w:r>
        <w:rPr>
          <w:spacing w:val="78"/>
        </w:rPr>
        <w:t> </w:t>
      </w:r>
      <w:r>
        <w:rPr>
          <w:spacing w:val="-10"/>
        </w:rPr>
        <w:t>Ë</w:t>
      </w:r>
    </w:p>
    <w:p>
      <w:pPr>
        <w:pStyle w:val="BodyText"/>
        <w:spacing w:before="11"/>
        <w:rPr>
          <w:b/>
          <w:sz w:val="31"/>
        </w:rPr>
      </w:pPr>
    </w:p>
    <w:p>
      <w:pPr>
        <w:pStyle w:val="ListParagraph"/>
        <w:numPr>
          <w:ilvl w:val="0"/>
          <w:numId w:val="1"/>
        </w:numPr>
        <w:tabs>
          <w:tab w:pos="900" w:val="left" w:leader="none"/>
          <w:tab w:pos="901" w:val="left" w:leader="none"/>
          <w:tab w:pos="10290" w:val="left" w:leader="none"/>
        </w:tabs>
        <w:spacing w:line="240" w:lineRule="auto" w:before="0" w:after="0"/>
        <w:ind w:left="900" w:right="0" w:hanging="361"/>
        <w:jc w:val="left"/>
        <w:rPr>
          <w:b/>
          <w:sz w:val="32"/>
        </w:rPr>
      </w:pPr>
      <w:r>
        <w:rPr>
          <w:b/>
          <w:color w:val="000000"/>
          <w:sz w:val="32"/>
          <w:shd w:fill="D9D9D9" w:color="auto" w:val="clear"/>
        </w:rPr>
        <w:t>Për</w:t>
      </w:r>
      <w:r>
        <w:rPr>
          <w:b/>
          <w:color w:val="000000"/>
          <w:spacing w:val="-6"/>
          <w:sz w:val="32"/>
          <w:shd w:fill="D9D9D9" w:color="auto" w:val="clear"/>
        </w:rPr>
        <w:t> </w:t>
      </w:r>
      <w:r>
        <w:rPr>
          <w:b/>
          <w:color w:val="000000"/>
          <w:sz w:val="32"/>
          <w:shd w:fill="D9D9D9" w:color="auto" w:val="clear"/>
        </w:rPr>
        <w:t>fillimin</w:t>
      </w:r>
      <w:r>
        <w:rPr>
          <w:b/>
          <w:color w:val="000000"/>
          <w:spacing w:val="-5"/>
          <w:sz w:val="32"/>
          <w:shd w:fill="D9D9D9" w:color="auto" w:val="clear"/>
        </w:rPr>
        <w:t> </w:t>
      </w:r>
      <w:r>
        <w:rPr>
          <w:b/>
          <w:color w:val="000000"/>
          <w:sz w:val="32"/>
          <w:shd w:fill="D9D9D9" w:color="auto" w:val="clear"/>
        </w:rPr>
        <w:t>e</w:t>
      </w:r>
      <w:r>
        <w:rPr>
          <w:b/>
          <w:color w:val="000000"/>
          <w:spacing w:val="-7"/>
          <w:sz w:val="32"/>
          <w:shd w:fill="D9D9D9" w:color="auto" w:val="clear"/>
        </w:rPr>
        <w:t> </w:t>
      </w:r>
      <w:r>
        <w:rPr>
          <w:b/>
          <w:color w:val="000000"/>
          <w:sz w:val="32"/>
          <w:shd w:fill="D9D9D9" w:color="auto" w:val="clear"/>
        </w:rPr>
        <w:t>vitit</w:t>
      </w:r>
      <w:r>
        <w:rPr>
          <w:b/>
          <w:color w:val="000000"/>
          <w:spacing w:val="-5"/>
          <w:sz w:val="32"/>
          <w:shd w:fill="D9D9D9" w:color="auto" w:val="clear"/>
        </w:rPr>
        <w:t> </w:t>
      </w:r>
      <w:r>
        <w:rPr>
          <w:b/>
          <w:color w:val="000000"/>
          <w:sz w:val="32"/>
          <w:shd w:fill="D9D9D9" w:color="auto" w:val="clear"/>
        </w:rPr>
        <w:t>shkollor</w:t>
      </w:r>
      <w:r>
        <w:rPr>
          <w:b/>
          <w:color w:val="000000"/>
          <w:spacing w:val="67"/>
          <w:sz w:val="32"/>
          <w:shd w:fill="D9D9D9" w:color="auto" w:val="clear"/>
        </w:rPr>
        <w:t> </w:t>
      </w:r>
      <w:r>
        <w:rPr>
          <w:b/>
          <w:color w:val="000000"/>
          <w:spacing w:val="-2"/>
          <w:sz w:val="32"/>
          <w:shd w:fill="D9D9D9" w:color="auto" w:val="clear"/>
        </w:rPr>
        <w:t>2023/2024.</w:t>
      </w:r>
      <w:r>
        <w:rPr>
          <w:b/>
          <w:color w:val="000000"/>
          <w:sz w:val="32"/>
          <w:shd w:fill="D9D9D9" w:color="auto" w:val="clear"/>
        </w:rPr>
        <w:tab/>
      </w:r>
    </w:p>
    <w:p>
      <w:pPr>
        <w:spacing w:line="240" w:lineRule="auto" w:before="321"/>
        <w:ind w:left="540" w:right="1255" w:firstLine="0"/>
        <w:jc w:val="both"/>
        <w:rPr>
          <w:sz w:val="28"/>
        </w:rPr>
      </w:pPr>
      <w:r>
        <w:rPr>
          <w:sz w:val="28"/>
        </w:rPr>
        <w:t>Viti shkollor 2023/24 në komunën e Hanit të Elezit nuk ka filluar</w:t>
      </w:r>
      <w:r>
        <w:rPr>
          <w:spacing w:val="40"/>
          <w:sz w:val="28"/>
        </w:rPr>
        <w:t> </w:t>
      </w:r>
      <w:r>
        <w:rPr>
          <w:sz w:val="28"/>
        </w:rPr>
        <w:t>më datën</w:t>
      </w:r>
      <w:r>
        <w:rPr>
          <w:spacing w:val="40"/>
          <w:sz w:val="28"/>
        </w:rPr>
        <w:t> </w:t>
      </w:r>
      <w:r>
        <w:rPr>
          <w:sz w:val="28"/>
        </w:rPr>
        <w:t>ashtu siq është parapar nga kalendari i Masht-it Janë bëre të gjitha pregaditjet per fillimin e vitit shkollor ,</w:t>
      </w:r>
      <w:r>
        <w:rPr>
          <w:spacing w:val="80"/>
          <w:sz w:val="28"/>
        </w:rPr>
        <w:t> </w:t>
      </w:r>
      <w:r>
        <w:rPr>
          <w:sz w:val="28"/>
        </w:rPr>
        <w:t>pastrimi</w:t>
      </w:r>
      <w:r>
        <w:rPr>
          <w:spacing w:val="40"/>
          <w:sz w:val="28"/>
        </w:rPr>
        <w:t> </w:t>
      </w:r>
      <w:r>
        <w:rPr>
          <w:sz w:val="28"/>
        </w:rPr>
        <w:t>gjeneral i objektit, janë formuar TASKFORCAT</w:t>
      </w:r>
      <w:r>
        <w:rPr>
          <w:spacing w:val="40"/>
          <w:sz w:val="28"/>
        </w:rPr>
        <w:t> </w:t>
      </w:r>
      <w:r>
        <w:rPr>
          <w:sz w:val="28"/>
        </w:rPr>
        <w:t>e shkollave për menaxhimin e proçesit edukativo arsimor.</w:t>
      </w:r>
    </w:p>
    <w:p>
      <w:pPr>
        <w:spacing w:line="240" w:lineRule="auto" w:before="1"/>
        <w:ind w:left="900" w:right="1254" w:firstLine="139"/>
        <w:jc w:val="both"/>
        <w:rPr>
          <w:sz w:val="28"/>
        </w:rPr>
      </w:pPr>
      <w:r>
        <w:rPr>
          <w:sz w:val="28"/>
        </w:rPr>
        <w:t>Nxënësit e të gjitha shkollave fillore nuk</w:t>
      </w:r>
      <w:r>
        <w:rPr>
          <w:spacing w:val="80"/>
          <w:sz w:val="28"/>
        </w:rPr>
        <w:t> </w:t>
      </w:r>
      <w:r>
        <w:rPr>
          <w:sz w:val="28"/>
        </w:rPr>
        <w:t>janë të paisur me libra shkollore të gjithë nxënësit, ngase MASHT-i nje javë para fillimit të mësimit ka ndryshuar formën e paisjeve te nxënësve me libra përmes aplikimit të prindërve per subvencione per libra përmes sistemit E- Kosova që ka pasur vështërsi të mdha në aplikim ku shumica e nxënësve ende nuk janë paisur me libra.</w:t>
      </w:r>
    </w:p>
    <w:p>
      <w:pPr>
        <w:pStyle w:val="BodyText"/>
        <w:rPr>
          <w:sz w:val="28"/>
        </w:rPr>
      </w:pPr>
    </w:p>
    <w:p>
      <w:pPr>
        <w:spacing w:line="240" w:lineRule="auto" w:before="1"/>
        <w:ind w:left="540" w:right="1253" w:firstLine="69"/>
        <w:jc w:val="both"/>
        <w:rPr>
          <w:sz w:val="28"/>
        </w:rPr>
      </w:pPr>
      <w:r>
        <w:rPr>
          <w:sz w:val="28"/>
        </w:rPr>
        <w:t>Në kuadër të përgatitjeve për fillim të vitit shkollor</w:t>
      </w:r>
      <w:r>
        <w:rPr>
          <w:spacing w:val="40"/>
          <w:sz w:val="28"/>
        </w:rPr>
        <w:t> </w:t>
      </w:r>
      <w:r>
        <w:rPr>
          <w:sz w:val="28"/>
        </w:rPr>
        <w:t>2023/24, në muajin gusht u bë pranimi i kuadrit arsimor për plotësimin e vendeve të lira të parapara nga ana e drejtorëve të shkollave dhe DKA-s. Gjithsejtë 5 vende në nivelin komunal kanë qenë të lira për plotësimin e kuadrit arsimor . Prej tyre 2 janë</w:t>
      </w:r>
      <w:r>
        <w:rPr>
          <w:spacing w:val="40"/>
          <w:sz w:val="28"/>
        </w:rPr>
        <w:t> </w:t>
      </w:r>
      <w:r>
        <w:rPr>
          <w:sz w:val="28"/>
        </w:rPr>
        <w:t>pranuar arsimtar-e për gjuhë shqipe një ne sshfmu “ Ilaz Thaçi “ dhe një një shml “ Dardania” kurse tre vende te</w:t>
      </w:r>
      <w:r>
        <w:rPr>
          <w:spacing w:val="40"/>
          <w:sz w:val="28"/>
        </w:rPr>
        <w:t> </w:t>
      </w:r>
      <w:r>
        <w:rPr>
          <w:sz w:val="28"/>
        </w:rPr>
        <w:t>lira si mesimdhenes te rregullt Edukatore mbështetese ,gjuhe Gjermane dhe nje zevendesim arsim fillor në shfmu”Ilaz Thaçi “ në Han të Elezit.</w:t>
      </w:r>
    </w:p>
    <w:p>
      <w:pPr>
        <w:spacing w:after="0" w:line="240" w:lineRule="auto"/>
        <w:jc w:val="both"/>
        <w:rPr>
          <w:sz w:val="28"/>
        </w:rPr>
        <w:sectPr>
          <w:pgSz w:w="12240" w:h="15840"/>
          <w:pgMar w:top="540" w:bottom="280" w:left="720" w:right="0"/>
        </w:sectPr>
      </w:pPr>
    </w:p>
    <w:p>
      <w:pPr>
        <w:pStyle w:val="Heading1"/>
        <w:spacing w:before="70"/>
        <w:ind w:right="1226"/>
        <w:rPr>
          <w:rFonts w:ascii="Cambria" w:hAnsi="Cambria"/>
        </w:rPr>
      </w:pPr>
      <w:r>
        <w:rPr>
          <w:rFonts w:ascii="Cambria" w:hAnsi="Cambria"/>
        </w:rPr>
        <w:t>Informatë</w:t>
      </w:r>
      <w:r>
        <w:rPr>
          <w:rFonts w:ascii="Cambria" w:hAnsi="Cambria"/>
          <w:spacing w:val="-8"/>
        </w:rPr>
        <w:t> </w:t>
      </w:r>
      <w:r>
        <w:rPr>
          <w:rFonts w:ascii="Cambria" w:hAnsi="Cambria"/>
        </w:rPr>
        <w:t>për</w:t>
      </w:r>
      <w:r>
        <w:rPr>
          <w:rFonts w:ascii="Cambria" w:hAnsi="Cambria"/>
          <w:spacing w:val="-8"/>
        </w:rPr>
        <w:t> </w:t>
      </w:r>
      <w:r>
        <w:rPr>
          <w:rFonts w:ascii="Cambria" w:hAnsi="Cambria"/>
        </w:rPr>
        <w:t>arsimin</w:t>
      </w:r>
      <w:r>
        <w:rPr>
          <w:rFonts w:ascii="Cambria" w:hAnsi="Cambria"/>
          <w:spacing w:val="-7"/>
        </w:rPr>
        <w:t> </w:t>
      </w:r>
      <w:r>
        <w:rPr>
          <w:rFonts w:ascii="Cambria" w:hAnsi="Cambria"/>
        </w:rPr>
        <w:t>në</w:t>
      </w:r>
      <w:r>
        <w:rPr>
          <w:rFonts w:ascii="Cambria" w:hAnsi="Cambria"/>
          <w:spacing w:val="-7"/>
        </w:rPr>
        <w:t> </w:t>
      </w:r>
      <w:r>
        <w:rPr>
          <w:rFonts w:ascii="Cambria" w:hAnsi="Cambria"/>
        </w:rPr>
        <w:t>Komunën</w:t>
      </w:r>
      <w:r>
        <w:rPr>
          <w:rFonts w:ascii="Cambria" w:hAnsi="Cambria"/>
          <w:spacing w:val="-9"/>
        </w:rPr>
        <w:t> </w:t>
      </w:r>
      <w:r>
        <w:rPr>
          <w:rFonts w:ascii="Cambria" w:hAnsi="Cambria"/>
        </w:rPr>
        <w:t>e</w:t>
      </w:r>
      <w:r>
        <w:rPr>
          <w:rFonts w:ascii="Cambria" w:hAnsi="Cambria"/>
          <w:spacing w:val="-8"/>
        </w:rPr>
        <w:t> </w:t>
      </w:r>
      <w:r>
        <w:rPr>
          <w:rFonts w:ascii="Cambria" w:hAnsi="Cambria"/>
        </w:rPr>
        <w:t>Hanit</w:t>
      </w:r>
      <w:r>
        <w:rPr>
          <w:rFonts w:ascii="Cambria" w:hAnsi="Cambria"/>
          <w:spacing w:val="-7"/>
        </w:rPr>
        <w:t> </w:t>
      </w:r>
      <w:r>
        <w:rPr>
          <w:rFonts w:ascii="Cambria" w:hAnsi="Cambria"/>
        </w:rPr>
        <w:t>të</w:t>
      </w:r>
      <w:r>
        <w:rPr>
          <w:rFonts w:ascii="Cambria" w:hAnsi="Cambria"/>
          <w:spacing w:val="-8"/>
        </w:rPr>
        <w:t> </w:t>
      </w:r>
      <w:r>
        <w:rPr>
          <w:rFonts w:ascii="Cambria" w:hAnsi="Cambria"/>
        </w:rPr>
        <w:t>Elezit</w:t>
      </w:r>
      <w:r>
        <w:rPr>
          <w:rFonts w:ascii="Cambria" w:hAnsi="Cambria"/>
          <w:spacing w:val="-7"/>
        </w:rPr>
        <w:t> </w:t>
      </w:r>
      <w:r>
        <w:rPr>
          <w:rFonts w:ascii="Cambria" w:hAnsi="Cambria"/>
        </w:rPr>
        <w:t>për</w:t>
      </w:r>
      <w:r>
        <w:rPr>
          <w:rFonts w:ascii="Cambria" w:hAnsi="Cambria"/>
          <w:spacing w:val="-8"/>
        </w:rPr>
        <w:t> </w:t>
      </w:r>
      <w:r>
        <w:rPr>
          <w:rFonts w:ascii="Cambria" w:hAnsi="Cambria"/>
        </w:rPr>
        <w:t>vitin shkollor 2023/24</w:t>
      </w:r>
    </w:p>
    <w:p>
      <w:pPr>
        <w:spacing w:before="281"/>
        <w:ind w:left="540" w:right="0" w:firstLine="0"/>
        <w:jc w:val="left"/>
        <w:rPr>
          <w:sz w:val="28"/>
        </w:rPr>
      </w:pPr>
      <w:r>
        <w:rPr>
          <w:sz w:val="28"/>
        </w:rPr>
        <w:t>Sistemi</w:t>
      </w:r>
      <w:r>
        <w:rPr>
          <w:spacing w:val="-5"/>
          <w:sz w:val="28"/>
        </w:rPr>
        <w:t> </w:t>
      </w:r>
      <w:r>
        <w:rPr>
          <w:sz w:val="28"/>
        </w:rPr>
        <w:t>arsimor</w:t>
      </w:r>
      <w:r>
        <w:rPr>
          <w:spacing w:val="63"/>
          <w:sz w:val="28"/>
        </w:rPr>
        <w:t> </w:t>
      </w:r>
      <w:r>
        <w:rPr>
          <w:sz w:val="28"/>
        </w:rPr>
        <w:t>në</w:t>
      </w:r>
      <w:r>
        <w:rPr>
          <w:spacing w:val="-4"/>
          <w:sz w:val="28"/>
        </w:rPr>
        <w:t> </w:t>
      </w:r>
      <w:r>
        <w:rPr>
          <w:sz w:val="28"/>
        </w:rPr>
        <w:t>Komunën</w:t>
      </w:r>
      <w:r>
        <w:rPr>
          <w:spacing w:val="-2"/>
          <w:sz w:val="28"/>
        </w:rPr>
        <w:t> </w:t>
      </w:r>
      <w:r>
        <w:rPr>
          <w:sz w:val="28"/>
        </w:rPr>
        <w:t>e</w:t>
      </w:r>
      <w:r>
        <w:rPr>
          <w:spacing w:val="-1"/>
          <w:sz w:val="28"/>
        </w:rPr>
        <w:t> </w:t>
      </w:r>
      <w:r>
        <w:rPr>
          <w:sz w:val="28"/>
        </w:rPr>
        <w:t>Hanit</w:t>
      </w:r>
      <w:r>
        <w:rPr>
          <w:spacing w:val="-3"/>
          <w:sz w:val="28"/>
        </w:rPr>
        <w:t> </w:t>
      </w:r>
      <w:r>
        <w:rPr>
          <w:sz w:val="28"/>
        </w:rPr>
        <w:t>të</w:t>
      </w:r>
      <w:r>
        <w:rPr>
          <w:spacing w:val="-3"/>
          <w:sz w:val="28"/>
        </w:rPr>
        <w:t> </w:t>
      </w:r>
      <w:r>
        <w:rPr>
          <w:sz w:val="28"/>
        </w:rPr>
        <w:t>Elezit</w:t>
      </w:r>
      <w:r>
        <w:rPr>
          <w:spacing w:val="64"/>
          <w:sz w:val="28"/>
        </w:rPr>
        <w:t> </w:t>
      </w:r>
      <w:r>
        <w:rPr>
          <w:sz w:val="28"/>
        </w:rPr>
        <w:t>është</w:t>
      </w:r>
      <w:r>
        <w:rPr>
          <w:spacing w:val="-4"/>
          <w:sz w:val="28"/>
        </w:rPr>
        <w:t> </w:t>
      </w:r>
      <w:r>
        <w:rPr>
          <w:sz w:val="28"/>
        </w:rPr>
        <w:t>e</w:t>
      </w:r>
      <w:r>
        <w:rPr>
          <w:spacing w:val="-4"/>
          <w:sz w:val="28"/>
        </w:rPr>
        <w:t> </w:t>
      </w:r>
      <w:r>
        <w:rPr>
          <w:sz w:val="28"/>
        </w:rPr>
        <w:t>organizuar</w:t>
      </w:r>
      <w:r>
        <w:rPr>
          <w:spacing w:val="-3"/>
          <w:sz w:val="28"/>
        </w:rPr>
        <w:t> </w:t>
      </w:r>
      <w:r>
        <w:rPr>
          <w:sz w:val="28"/>
        </w:rPr>
        <w:t>në</w:t>
      </w:r>
      <w:r>
        <w:rPr>
          <w:spacing w:val="-6"/>
          <w:sz w:val="28"/>
        </w:rPr>
        <w:t> </w:t>
      </w:r>
      <w:r>
        <w:rPr>
          <w:sz w:val="28"/>
        </w:rPr>
        <w:t>katër</w:t>
      </w:r>
      <w:r>
        <w:rPr>
          <w:spacing w:val="-3"/>
          <w:sz w:val="28"/>
        </w:rPr>
        <w:t> </w:t>
      </w:r>
      <w:r>
        <w:rPr>
          <w:spacing w:val="-2"/>
          <w:sz w:val="28"/>
        </w:rPr>
        <w:t>nivele:</w:t>
      </w:r>
    </w:p>
    <w:p>
      <w:pPr>
        <w:pStyle w:val="BodyText"/>
        <w:spacing w:before="10"/>
        <w:rPr>
          <w:sz w:val="27"/>
        </w:rPr>
      </w:pPr>
    </w:p>
    <w:p>
      <w:pPr>
        <w:pStyle w:val="ListParagraph"/>
        <w:numPr>
          <w:ilvl w:val="1"/>
          <w:numId w:val="1"/>
        </w:numPr>
        <w:tabs>
          <w:tab w:pos="1441" w:val="left" w:leader="none"/>
        </w:tabs>
        <w:spacing w:line="322" w:lineRule="exact" w:before="1" w:after="0"/>
        <w:ind w:left="1440" w:right="0" w:hanging="361"/>
        <w:jc w:val="left"/>
        <w:rPr>
          <w:sz w:val="28"/>
        </w:rPr>
      </w:pPr>
      <w:r>
        <w:rPr>
          <w:b/>
          <w:sz w:val="28"/>
        </w:rPr>
        <w:t>Niveli</w:t>
      </w:r>
      <w:r>
        <w:rPr>
          <w:b/>
          <w:spacing w:val="-7"/>
          <w:sz w:val="28"/>
        </w:rPr>
        <w:t> </w:t>
      </w:r>
      <w:r>
        <w:rPr>
          <w:b/>
          <w:sz w:val="28"/>
        </w:rPr>
        <w:t>0:</w:t>
      </w:r>
      <w:r>
        <w:rPr>
          <w:b/>
          <w:spacing w:val="63"/>
          <w:sz w:val="28"/>
        </w:rPr>
        <w:t> </w:t>
      </w:r>
      <w:r>
        <w:rPr>
          <w:sz w:val="28"/>
        </w:rPr>
        <w:t>arsimimi</w:t>
      </w:r>
      <w:r>
        <w:rPr>
          <w:spacing w:val="-2"/>
          <w:sz w:val="28"/>
        </w:rPr>
        <w:t> </w:t>
      </w:r>
      <w:r>
        <w:rPr>
          <w:sz w:val="28"/>
        </w:rPr>
        <w:t>parashkollorë</w:t>
      </w:r>
      <w:r>
        <w:rPr>
          <w:spacing w:val="-4"/>
          <w:sz w:val="28"/>
        </w:rPr>
        <w:t> </w:t>
      </w:r>
      <w:r>
        <w:rPr>
          <w:sz w:val="28"/>
        </w:rPr>
        <w:t>mosha</w:t>
      </w:r>
      <w:r>
        <w:rPr>
          <w:spacing w:val="-4"/>
          <w:sz w:val="28"/>
        </w:rPr>
        <w:t> </w:t>
      </w:r>
      <w:r>
        <w:rPr>
          <w:sz w:val="28"/>
        </w:rPr>
        <w:t>e</w:t>
      </w:r>
      <w:r>
        <w:rPr>
          <w:spacing w:val="-4"/>
          <w:sz w:val="28"/>
        </w:rPr>
        <w:t> </w:t>
      </w:r>
      <w:r>
        <w:rPr>
          <w:sz w:val="28"/>
        </w:rPr>
        <w:t>fëmijëve</w:t>
      </w:r>
      <w:r>
        <w:rPr>
          <w:spacing w:val="-4"/>
          <w:sz w:val="28"/>
        </w:rPr>
        <w:t> </w:t>
      </w:r>
      <w:r>
        <w:rPr>
          <w:sz w:val="28"/>
        </w:rPr>
        <w:t>prej(</w:t>
      </w:r>
      <w:r>
        <w:rPr>
          <w:spacing w:val="-4"/>
          <w:sz w:val="28"/>
        </w:rPr>
        <w:t> </w:t>
      </w:r>
      <w:r>
        <w:rPr>
          <w:sz w:val="28"/>
        </w:rPr>
        <w:t>5-6</w:t>
      </w:r>
      <w:r>
        <w:rPr>
          <w:spacing w:val="-2"/>
          <w:sz w:val="28"/>
        </w:rPr>
        <w:t> vjet)</w:t>
      </w:r>
    </w:p>
    <w:p>
      <w:pPr>
        <w:pStyle w:val="ListParagraph"/>
        <w:numPr>
          <w:ilvl w:val="1"/>
          <w:numId w:val="1"/>
        </w:numPr>
        <w:tabs>
          <w:tab w:pos="1441" w:val="left" w:leader="none"/>
        </w:tabs>
        <w:spacing w:line="322" w:lineRule="exact" w:before="0" w:after="0"/>
        <w:ind w:left="1440" w:right="0" w:hanging="361"/>
        <w:jc w:val="left"/>
        <w:rPr>
          <w:sz w:val="28"/>
        </w:rPr>
      </w:pPr>
      <w:r>
        <w:rPr>
          <w:b/>
          <w:sz w:val="28"/>
        </w:rPr>
        <w:t>Niveli</w:t>
      </w:r>
      <w:r>
        <w:rPr>
          <w:b/>
          <w:spacing w:val="-6"/>
          <w:sz w:val="28"/>
        </w:rPr>
        <w:t> </w:t>
      </w:r>
      <w:r>
        <w:rPr>
          <w:b/>
          <w:sz w:val="28"/>
        </w:rPr>
        <w:t>1</w:t>
      </w:r>
      <w:r>
        <w:rPr>
          <w:sz w:val="28"/>
        </w:rPr>
        <w:t>:</w:t>
      </w:r>
      <w:r>
        <w:rPr>
          <w:spacing w:val="-2"/>
          <w:sz w:val="28"/>
        </w:rPr>
        <w:t> </w:t>
      </w:r>
      <w:r>
        <w:rPr>
          <w:sz w:val="28"/>
        </w:rPr>
        <w:t>arsimimi</w:t>
      </w:r>
      <w:r>
        <w:rPr>
          <w:spacing w:val="-2"/>
          <w:sz w:val="28"/>
        </w:rPr>
        <w:t> </w:t>
      </w:r>
      <w:r>
        <w:rPr>
          <w:sz w:val="28"/>
        </w:rPr>
        <w:t>fillorë</w:t>
      </w:r>
      <w:r>
        <w:rPr>
          <w:spacing w:val="64"/>
          <w:sz w:val="28"/>
        </w:rPr>
        <w:t> </w:t>
      </w:r>
      <w:r>
        <w:rPr>
          <w:sz w:val="28"/>
        </w:rPr>
        <w:t>prej</w:t>
      </w:r>
      <w:r>
        <w:rPr>
          <w:spacing w:val="-3"/>
          <w:sz w:val="28"/>
        </w:rPr>
        <w:t> </w:t>
      </w:r>
      <w:r>
        <w:rPr>
          <w:sz w:val="28"/>
        </w:rPr>
        <w:t>moshës</w:t>
      </w:r>
      <w:r>
        <w:rPr>
          <w:spacing w:val="65"/>
          <w:sz w:val="28"/>
        </w:rPr>
        <w:t> </w:t>
      </w:r>
      <w:r>
        <w:rPr>
          <w:sz w:val="28"/>
        </w:rPr>
        <w:t>6</w:t>
      </w:r>
      <w:r>
        <w:rPr>
          <w:spacing w:val="62"/>
          <w:sz w:val="28"/>
        </w:rPr>
        <w:t> </w:t>
      </w:r>
      <w:r>
        <w:rPr>
          <w:spacing w:val="-2"/>
          <w:sz w:val="28"/>
        </w:rPr>
        <w:t>vjet,</w:t>
      </w:r>
    </w:p>
    <w:p>
      <w:pPr>
        <w:pStyle w:val="ListParagraph"/>
        <w:numPr>
          <w:ilvl w:val="1"/>
          <w:numId w:val="1"/>
        </w:numPr>
        <w:tabs>
          <w:tab w:pos="1441" w:val="left" w:leader="none"/>
        </w:tabs>
        <w:spacing w:line="240" w:lineRule="auto" w:before="0" w:after="0"/>
        <w:ind w:left="1440" w:right="0" w:hanging="361"/>
        <w:jc w:val="left"/>
        <w:rPr>
          <w:sz w:val="28"/>
        </w:rPr>
      </w:pPr>
      <w:r>
        <w:rPr>
          <w:b/>
          <w:sz w:val="28"/>
        </w:rPr>
        <w:t>Niveli</w:t>
      </w:r>
      <w:r>
        <w:rPr>
          <w:b/>
          <w:spacing w:val="-6"/>
          <w:sz w:val="28"/>
        </w:rPr>
        <w:t> </w:t>
      </w:r>
      <w:r>
        <w:rPr>
          <w:b/>
          <w:sz w:val="28"/>
        </w:rPr>
        <w:t>2</w:t>
      </w:r>
      <w:r>
        <w:rPr>
          <w:sz w:val="28"/>
        </w:rPr>
        <w:t>:</w:t>
      </w:r>
      <w:r>
        <w:rPr>
          <w:spacing w:val="-2"/>
          <w:sz w:val="28"/>
        </w:rPr>
        <w:t> </w:t>
      </w:r>
      <w:r>
        <w:rPr>
          <w:sz w:val="28"/>
        </w:rPr>
        <w:t>arsimimi</w:t>
      </w:r>
      <w:r>
        <w:rPr>
          <w:spacing w:val="-1"/>
          <w:sz w:val="28"/>
        </w:rPr>
        <w:t> </w:t>
      </w:r>
      <w:r>
        <w:rPr>
          <w:sz w:val="28"/>
        </w:rPr>
        <w:t>i</w:t>
      </w:r>
      <w:r>
        <w:rPr>
          <w:spacing w:val="-3"/>
          <w:sz w:val="28"/>
        </w:rPr>
        <w:t> </w:t>
      </w:r>
      <w:r>
        <w:rPr>
          <w:sz w:val="28"/>
        </w:rPr>
        <w:t>mesëm</w:t>
      </w:r>
      <w:r>
        <w:rPr>
          <w:spacing w:val="-5"/>
          <w:sz w:val="28"/>
        </w:rPr>
        <w:t> </w:t>
      </w:r>
      <w:r>
        <w:rPr>
          <w:sz w:val="28"/>
        </w:rPr>
        <w:t>i</w:t>
      </w:r>
      <w:r>
        <w:rPr>
          <w:spacing w:val="-3"/>
          <w:sz w:val="28"/>
        </w:rPr>
        <w:t> </w:t>
      </w:r>
      <w:r>
        <w:rPr>
          <w:sz w:val="28"/>
        </w:rPr>
        <w:t>ulët</w:t>
      </w:r>
      <w:r>
        <w:rPr>
          <w:spacing w:val="65"/>
          <w:sz w:val="28"/>
        </w:rPr>
        <w:t> </w:t>
      </w:r>
      <w:r>
        <w:rPr>
          <w:sz w:val="28"/>
        </w:rPr>
        <w:t>prej</w:t>
      </w:r>
      <w:r>
        <w:rPr>
          <w:spacing w:val="-3"/>
          <w:sz w:val="28"/>
        </w:rPr>
        <w:t> </w:t>
      </w:r>
      <w:r>
        <w:rPr>
          <w:sz w:val="28"/>
        </w:rPr>
        <w:t>moshës</w:t>
      </w:r>
      <w:r>
        <w:rPr>
          <w:spacing w:val="65"/>
          <w:sz w:val="28"/>
        </w:rPr>
        <w:t> </w:t>
      </w:r>
      <w:r>
        <w:rPr>
          <w:sz w:val="28"/>
        </w:rPr>
        <w:t>12</w:t>
      </w:r>
      <w:r>
        <w:rPr>
          <w:spacing w:val="-6"/>
          <w:sz w:val="28"/>
        </w:rPr>
        <w:t> </w:t>
      </w:r>
      <w:r>
        <w:rPr>
          <w:sz w:val="28"/>
        </w:rPr>
        <w:t>vjet</w:t>
      </w:r>
      <w:r>
        <w:rPr>
          <w:spacing w:val="-1"/>
          <w:sz w:val="28"/>
        </w:rPr>
        <w:t> </w:t>
      </w:r>
      <w:r>
        <w:rPr>
          <w:spacing w:val="-5"/>
          <w:sz w:val="28"/>
        </w:rPr>
        <w:t>dhe</w:t>
      </w:r>
    </w:p>
    <w:p>
      <w:pPr>
        <w:pStyle w:val="ListParagraph"/>
        <w:numPr>
          <w:ilvl w:val="1"/>
          <w:numId w:val="1"/>
        </w:numPr>
        <w:tabs>
          <w:tab w:pos="1441" w:val="left" w:leader="none"/>
        </w:tabs>
        <w:spacing w:line="322" w:lineRule="exact" w:before="1" w:after="0"/>
        <w:ind w:left="1440" w:right="0" w:hanging="361"/>
        <w:jc w:val="left"/>
        <w:rPr>
          <w:sz w:val="28"/>
        </w:rPr>
      </w:pPr>
      <w:r>
        <w:rPr>
          <w:b/>
          <w:sz w:val="28"/>
        </w:rPr>
        <w:t>Niveli</w:t>
      </w:r>
      <w:r>
        <w:rPr>
          <w:b/>
          <w:spacing w:val="-6"/>
          <w:sz w:val="28"/>
        </w:rPr>
        <w:t> </w:t>
      </w:r>
      <w:r>
        <w:rPr>
          <w:b/>
          <w:sz w:val="28"/>
        </w:rPr>
        <w:t>3</w:t>
      </w:r>
      <w:r>
        <w:rPr>
          <w:sz w:val="28"/>
        </w:rPr>
        <w:t>:</w:t>
      </w:r>
      <w:r>
        <w:rPr>
          <w:spacing w:val="-2"/>
          <w:sz w:val="28"/>
        </w:rPr>
        <w:t> </w:t>
      </w:r>
      <w:r>
        <w:rPr>
          <w:sz w:val="28"/>
        </w:rPr>
        <w:t>arsimimi</w:t>
      </w:r>
      <w:r>
        <w:rPr>
          <w:spacing w:val="-2"/>
          <w:sz w:val="28"/>
        </w:rPr>
        <w:t> </w:t>
      </w:r>
      <w:r>
        <w:rPr>
          <w:sz w:val="28"/>
        </w:rPr>
        <w:t>i</w:t>
      </w:r>
      <w:r>
        <w:rPr>
          <w:spacing w:val="-3"/>
          <w:sz w:val="28"/>
        </w:rPr>
        <w:t> </w:t>
      </w:r>
      <w:r>
        <w:rPr>
          <w:sz w:val="28"/>
        </w:rPr>
        <w:t>mesëm</w:t>
      </w:r>
      <w:r>
        <w:rPr>
          <w:spacing w:val="-6"/>
          <w:sz w:val="28"/>
        </w:rPr>
        <w:t> </w:t>
      </w:r>
      <w:r>
        <w:rPr>
          <w:sz w:val="28"/>
        </w:rPr>
        <w:t>i</w:t>
      </w:r>
      <w:r>
        <w:rPr>
          <w:spacing w:val="-2"/>
          <w:sz w:val="28"/>
        </w:rPr>
        <w:t> </w:t>
      </w:r>
      <w:r>
        <w:rPr>
          <w:sz w:val="28"/>
        </w:rPr>
        <w:t>lartë</w:t>
      </w:r>
      <w:r>
        <w:rPr>
          <w:spacing w:val="-3"/>
          <w:sz w:val="28"/>
        </w:rPr>
        <w:t> </w:t>
      </w:r>
      <w:r>
        <w:rPr>
          <w:sz w:val="28"/>
        </w:rPr>
        <w:t>prej</w:t>
      </w:r>
      <w:r>
        <w:rPr>
          <w:spacing w:val="-4"/>
          <w:sz w:val="28"/>
        </w:rPr>
        <w:t> </w:t>
      </w:r>
      <w:r>
        <w:rPr>
          <w:sz w:val="28"/>
        </w:rPr>
        <w:t>moshës</w:t>
      </w:r>
      <w:r>
        <w:rPr>
          <w:spacing w:val="-6"/>
          <w:sz w:val="28"/>
        </w:rPr>
        <w:t> </w:t>
      </w:r>
      <w:r>
        <w:rPr>
          <w:sz w:val="28"/>
        </w:rPr>
        <w:t>15</w:t>
      </w:r>
      <w:r>
        <w:rPr>
          <w:spacing w:val="-5"/>
          <w:sz w:val="28"/>
        </w:rPr>
        <w:t> </w:t>
      </w:r>
      <w:r>
        <w:rPr>
          <w:spacing w:val="-4"/>
          <w:sz w:val="28"/>
        </w:rPr>
        <w:t>vjet</w:t>
      </w:r>
    </w:p>
    <w:p>
      <w:pPr>
        <w:pStyle w:val="ListParagraph"/>
        <w:numPr>
          <w:ilvl w:val="1"/>
          <w:numId w:val="1"/>
        </w:numPr>
        <w:tabs>
          <w:tab w:pos="1441" w:val="left" w:leader="none"/>
          <w:tab w:pos="5224" w:val="left" w:leader="none"/>
          <w:tab w:pos="7320" w:val="left" w:leader="none"/>
        </w:tabs>
        <w:spacing w:line="240" w:lineRule="auto" w:before="0" w:after="0"/>
        <w:ind w:left="1440" w:right="1264" w:hanging="360"/>
        <w:jc w:val="left"/>
        <w:rPr>
          <w:sz w:val="28"/>
        </w:rPr>
      </w:pPr>
      <w:r>
        <w:rPr>
          <w:sz w:val="28"/>
        </w:rPr>
        <w:t>Në Komunën</w:t>
      </w:r>
      <w:r>
        <w:rPr>
          <w:spacing w:val="40"/>
          <w:sz w:val="28"/>
        </w:rPr>
        <w:t> </w:t>
      </w:r>
      <w:r>
        <w:rPr>
          <w:sz w:val="28"/>
        </w:rPr>
        <w:t>e Hanit</w:t>
      </w:r>
      <w:r>
        <w:rPr>
          <w:spacing w:val="40"/>
          <w:sz w:val="28"/>
        </w:rPr>
        <w:t> </w:t>
      </w:r>
      <w:r>
        <w:rPr>
          <w:sz w:val="28"/>
        </w:rPr>
        <w:t>të Elezit</w:t>
        <w:tab/>
        <w:t>sistemi</w:t>
      </w:r>
      <w:r>
        <w:rPr>
          <w:spacing w:val="40"/>
          <w:sz w:val="28"/>
        </w:rPr>
        <w:t> </w:t>
      </w:r>
      <w:r>
        <w:rPr>
          <w:sz w:val="28"/>
        </w:rPr>
        <w:t>arsimorë</w:t>
        <w:tab/>
        <w:t>përbëhet prej 3</w:t>
      </w:r>
      <w:r>
        <w:rPr>
          <w:spacing w:val="25"/>
          <w:sz w:val="28"/>
        </w:rPr>
        <w:t> </w:t>
      </w:r>
      <w:r>
        <w:rPr>
          <w:sz w:val="28"/>
        </w:rPr>
        <w:t>shkollave fillore dhe të mesme të ulët dhe një shkollë e mesme e lartë dhe atë:</w:t>
      </w:r>
    </w:p>
    <w:p>
      <w:pPr>
        <w:pStyle w:val="ListParagraph"/>
        <w:numPr>
          <w:ilvl w:val="1"/>
          <w:numId w:val="1"/>
        </w:numPr>
        <w:tabs>
          <w:tab w:pos="1441" w:val="left" w:leader="none"/>
        </w:tabs>
        <w:spacing w:line="240" w:lineRule="auto" w:before="0" w:after="0"/>
        <w:ind w:left="1440" w:right="1253" w:hanging="360"/>
        <w:jc w:val="left"/>
        <w:rPr>
          <w:sz w:val="28"/>
        </w:rPr>
      </w:pPr>
      <w:r>
        <w:rPr>
          <w:sz w:val="28"/>
        </w:rPr>
        <w:t>Shkolla</w:t>
      </w:r>
      <w:r>
        <w:rPr>
          <w:spacing w:val="-1"/>
          <w:sz w:val="28"/>
        </w:rPr>
        <w:t> </w:t>
      </w:r>
      <w:r>
        <w:rPr>
          <w:sz w:val="28"/>
        </w:rPr>
        <w:t>fillore</w:t>
      </w:r>
      <w:r>
        <w:rPr>
          <w:spacing w:val="-1"/>
          <w:sz w:val="28"/>
        </w:rPr>
        <w:t> </w:t>
      </w:r>
      <w:r>
        <w:rPr>
          <w:sz w:val="28"/>
        </w:rPr>
        <w:t>e</w:t>
      </w:r>
      <w:r>
        <w:rPr>
          <w:spacing w:val="-1"/>
          <w:sz w:val="28"/>
        </w:rPr>
        <w:t> </w:t>
      </w:r>
      <w:r>
        <w:rPr>
          <w:sz w:val="28"/>
        </w:rPr>
        <w:t>mesme</w:t>
      </w:r>
      <w:r>
        <w:rPr>
          <w:spacing w:val="-1"/>
          <w:sz w:val="28"/>
        </w:rPr>
        <w:t> </w:t>
      </w:r>
      <w:r>
        <w:rPr>
          <w:sz w:val="28"/>
        </w:rPr>
        <w:t>e</w:t>
      </w:r>
      <w:r>
        <w:rPr>
          <w:spacing w:val="-1"/>
          <w:sz w:val="28"/>
        </w:rPr>
        <w:t> </w:t>
      </w:r>
      <w:r>
        <w:rPr>
          <w:sz w:val="28"/>
        </w:rPr>
        <w:t>ulët “Ilaz</w:t>
      </w:r>
      <w:r>
        <w:rPr>
          <w:spacing w:val="-1"/>
          <w:sz w:val="28"/>
        </w:rPr>
        <w:t> </w:t>
      </w:r>
      <w:r>
        <w:rPr>
          <w:sz w:val="28"/>
        </w:rPr>
        <w:t>Thaçi”</w:t>
      </w:r>
      <w:r>
        <w:rPr>
          <w:spacing w:val="-1"/>
          <w:sz w:val="28"/>
        </w:rPr>
        <w:t> </w:t>
      </w:r>
      <w:r>
        <w:rPr>
          <w:sz w:val="28"/>
        </w:rPr>
        <w:t>Hani i Elezit ,</w:t>
      </w:r>
      <w:r>
        <w:rPr>
          <w:spacing w:val="40"/>
          <w:sz w:val="28"/>
        </w:rPr>
        <w:t> </w:t>
      </w:r>
      <w:r>
        <w:rPr>
          <w:sz w:val="28"/>
        </w:rPr>
        <w:t>me 1 paralele</w:t>
      </w:r>
      <w:r>
        <w:rPr>
          <w:spacing w:val="-1"/>
          <w:sz w:val="28"/>
        </w:rPr>
        <w:t> </w:t>
      </w:r>
      <w:r>
        <w:rPr>
          <w:sz w:val="28"/>
        </w:rPr>
        <w:t>fizike të ndara: Paralelja fizike</w:t>
      </w:r>
      <w:r>
        <w:rPr>
          <w:spacing w:val="40"/>
          <w:sz w:val="28"/>
        </w:rPr>
        <w:t> </w:t>
      </w:r>
      <w:r>
        <w:rPr>
          <w:sz w:val="28"/>
        </w:rPr>
        <w:t>në</w:t>
      </w:r>
      <w:r>
        <w:rPr>
          <w:spacing w:val="40"/>
          <w:sz w:val="28"/>
        </w:rPr>
        <w:t> </w:t>
      </w:r>
      <w:r>
        <w:rPr>
          <w:sz w:val="28"/>
        </w:rPr>
        <w:t>fshatin Seçishtë.</w:t>
      </w:r>
    </w:p>
    <w:p>
      <w:pPr>
        <w:pStyle w:val="ListParagraph"/>
        <w:numPr>
          <w:ilvl w:val="1"/>
          <w:numId w:val="1"/>
        </w:numPr>
        <w:tabs>
          <w:tab w:pos="1441" w:val="left" w:leader="none"/>
        </w:tabs>
        <w:spacing w:line="321" w:lineRule="exact" w:before="0" w:after="0"/>
        <w:ind w:left="1440" w:right="0" w:hanging="361"/>
        <w:jc w:val="left"/>
        <w:rPr>
          <w:sz w:val="28"/>
        </w:rPr>
      </w:pPr>
      <w:r>
        <w:rPr>
          <w:sz w:val="28"/>
        </w:rPr>
        <w:t>Shkolla</w:t>
      </w:r>
      <w:r>
        <w:rPr>
          <w:spacing w:val="-6"/>
          <w:sz w:val="28"/>
        </w:rPr>
        <w:t> </w:t>
      </w:r>
      <w:r>
        <w:rPr>
          <w:sz w:val="28"/>
        </w:rPr>
        <w:t>fillore</w:t>
      </w:r>
      <w:r>
        <w:rPr>
          <w:spacing w:val="61"/>
          <w:sz w:val="28"/>
        </w:rPr>
        <w:t> </w:t>
      </w:r>
      <w:r>
        <w:rPr>
          <w:sz w:val="28"/>
        </w:rPr>
        <w:t>e</w:t>
      </w:r>
      <w:r>
        <w:rPr>
          <w:spacing w:val="-4"/>
          <w:sz w:val="28"/>
        </w:rPr>
        <w:t> </w:t>
      </w:r>
      <w:r>
        <w:rPr>
          <w:sz w:val="28"/>
        </w:rPr>
        <w:t>mesme</w:t>
      </w:r>
      <w:r>
        <w:rPr>
          <w:spacing w:val="-4"/>
          <w:sz w:val="28"/>
        </w:rPr>
        <w:t> </w:t>
      </w:r>
      <w:r>
        <w:rPr>
          <w:sz w:val="28"/>
        </w:rPr>
        <w:t>e</w:t>
      </w:r>
      <w:r>
        <w:rPr>
          <w:spacing w:val="-4"/>
          <w:sz w:val="28"/>
        </w:rPr>
        <w:t> </w:t>
      </w:r>
      <w:r>
        <w:rPr>
          <w:sz w:val="28"/>
        </w:rPr>
        <w:t>ulët</w:t>
      </w:r>
      <w:r>
        <w:rPr>
          <w:spacing w:val="-3"/>
          <w:sz w:val="28"/>
        </w:rPr>
        <w:t> </w:t>
      </w:r>
      <w:r>
        <w:rPr>
          <w:sz w:val="28"/>
        </w:rPr>
        <w:t>“Kështjella</w:t>
      </w:r>
      <w:r>
        <w:rPr>
          <w:spacing w:val="-7"/>
          <w:sz w:val="28"/>
        </w:rPr>
        <w:t> </w:t>
      </w:r>
      <w:r>
        <w:rPr>
          <w:sz w:val="28"/>
        </w:rPr>
        <w:t>e</w:t>
      </w:r>
      <w:r>
        <w:rPr>
          <w:spacing w:val="-4"/>
          <w:sz w:val="28"/>
        </w:rPr>
        <w:t> </w:t>
      </w:r>
      <w:r>
        <w:rPr>
          <w:sz w:val="28"/>
        </w:rPr>
        <w:t>Diturisë”</w:t>
      </w:r>
      <w:r>
        <w:rPr>
          <w:spacing w:val="-3"/>
          <w:sz w:val="28"/>
        </w:rPr>
        <w:t> </w:t>
      </w:r>
      <w:r>
        <w:rPr>
          <w:spacing w:val="-2"/>
          <w:sz w:val="28"/>
        </w:rPr>
        <w:t>Paldenicë.</w:t>
      </w:r>
    </w:p>
    <w:p>
      <w:pPr>
        <w:pStyle w:val="ListParagraph"/>
        <w:numPr>
          <w:ilvl w:val="1"/>
          <w:numId w:val="1"/>
        </w:numPr>
        <w:tabs>
          <w:tab w:pos="1441" w:val="left" w:leader="none"/>
        </w:tabs>
        <w:spacing w:line="322" w:lineRule="exact" w:before="2" w:after="0"/>
        <w:ind w:left="1440" w:right="0" w:hanging="361"/>
        <w:jc w:val="left"/>
        <w:rPr>
          <w:sz w:val="28"/>
        </w:rPr>
      </w:pPr>
      <w:r>
        <w:rPr>
          <w:sz w:val="28"/>
        </w:rPr>
        <w:t>Shkolla</w:t>
      </w:r>
      <w:r>
        <w:rPr>
          <w:spacing w:val="-6"/>
          <w:sz w:val="28"/>
        </w:rPr>
        <w:t> </w:t>
      </w:r>
      <w:r>
        <w:rPr>
          <w:sz w:val="28"/>
        </w:rPr>
        <w:t>fillore</w:t>
      </w:r>
      <w:r>
        <w:rPr>
          <w:spacing w:val="62"/>
          <w:sz w:val="28"/>
        </w:rPr>
        <w:t> </w:t>
      </w:r>
      <w:r>
        <w:rPr>
          <w:sz w:val="28"/>
        </w:rPr>
        <w:t>e</w:t>
      </w:r>
      <w:r>
        <w:rPr>
          <w:spacing w:val="-3"/>
          <w:sz w:val="28"/>
        </w:rPr>
        <w:t> </w:t>
      </w:r>
      <w:r>
        <w:rPr>
          <w:sz w:val="28"/>
        </w:rPr>
        <w:t>mesme</w:t>
      </w:r>
      <w:r>
        <w:rPr>
          <w:spacing w:val="-4"/>
          <w:sz w:val="28"/>
        </w:rPr>
        <w:t> </w:t>
      </w:r>
      <w:r>
        <w:rPr>
          <w:sz w:val="28"/>
        </w:rPr>
        <w:t>e</w:t>
      </w:r>
      <w:r>
        <w:rPr>
          <w:spacing w:val="-4"/>
          <w:sz w:val="28"/>
        </w:rPr>
        <w:t> </w:t>
      </w:r>
      <w:r>
        <w:rPr>
          <w:sz w:val="28"/>
        </w:rPr>
        <w:t>ulët</w:t>
      </w:r>
      <w:r>
        <w:rPr>
          <w:spacing w:val="-3"/>
          <w:sz w:val="28"/>
        </w:rPr>
        <w:t> </w:t>
      </w:r>
      <w:r>
        <w:rPr>
          <w:sz w:val="28"/>
        </w:rPr>
        <w:t>“Veli</w:t>
      </w:r>
      <w:r>
        <w:rPr>
          <w:spacing w:val="-2"/>
          <w:sz w:val="28"/>
        </w:rPr>
        <w:t> </w:t>
      </w:r>
      <w:r>
        <w:rPr>
          <w:sz w:val="28"/>
        </w:rPr>
        <w:t>Ballazhi”</w:t>
      </w:r>
      <w:r>
        <w:rPr>
          <w:spacing w:val="-4"/>
          <w:sz w:val="28"/>
        </w:rPr>
        <w:t> </w:t>
      </w:r>
      <w:r>
        <w:rPr>
          <w:sz w:val="28"/>
        </w:rPr>
        <w:t>Gorancë </w:t>
      </w:r>
      <w:r>
        <w:rPr>
          <w:spacing w:val="-10"/>
          <w:sz w:val="28"/>
        </w:rPr>
        <w:t>.</w:t>
      </w:r>
    </w:p>
    <w:p>
      <w:pPr>
        <w:pStyle w:val="ListParagraph"/>
        <w:numPr>
          <w:ilvl w:val="1"/>
          <w:numId w:val="1"/>
        </w:numPr>
        <w:tabs>
          <w:tab w:pos="1441" w:val="left" w:leader="none"/>
        </w:tabs>
        <w:spacing w:line="240" w:lineRule="auto" w:before="0" w:after="0"/>
        <w:ind w:left="1440" w:right="0" w:hanging="361"/>
        <w:jc w:val="left"/>
        <w:rPr>
          <w:sz w:val="28"/>
        </w:rPr>
      </w:pPr>
      <w:r>
        <w:rPr>
          <w:sz w:val="28"/>
        </w:rPr>
        <w:t>Shkolla</w:t>
      </w:r>
      <w:r>
        <w:rPr>
          <w:spacing w:val="-6"/>
          <w:sz w:val="28"/>
        </w:rPr>
        <w:t> </w:t>
      </w:r>
      <w:r>
        <w:rPr>
          <w:sz w:val="28"/>
        </w:rPr>
        <w:t>e</w:t>
      </w:r>
      <w:r>
        <w:rPr>
          <w:spacing w:val="-2"/>
          <w:sz w:val="28"/>
        </w:rPr>
        <w:t> </w:t>
      </w:r>
      <w:r>
        <w:rPr>
          <w:sz w:val="28"/>
        </w:rPr>
        <w:t>mesme</w:t>
      </w:r>
      <w:r>
        <w:rPr>
          <w:spacing w:val="-2"/>
          <w:sz w:val="28"/>
        </w:rPr>
        <w:t> </w:t>
      </w:r>
      <w:r>
        <w:rPr>
          <w:sz w:val="28"/>
        </w:rPr>
        <w:t>e</w:t>
      </w:r>
      <w:r>
        <w:rPr>
          <w:spacing w:val="-3"/>
          <w:sz w:val="28"/>
        </w:rPr>
        <w:t> </w:t>
      </w:r>
      <w:r>
        <w:rPr>
          <w:sz w:val="28"/>
        </w:rPr>
        <w:t>lartë</w:t>
      </w:r>
      <w:r>
        <w:rPr>
          <w:spacing w:val="-2"/>
          <w:sz w:val="28"/>
        </w:rPr>
        <w:t> </w:t>
      </w:r>
      <w:r>
        <w:rPr>
          <w:sz w:val="28"/>
        </w:rPr>
        <w:t>“Dardania</w:t>
      </w:r>
      <w:r>
        <w:rPr>
          <w:spacing w:val="-2"/>
          <w:sz w:val="28"/>
        </w:rPr>
        <w:t> </w:t>
      </w:r>
      <w:r>
        <w:rPr>
          <w:sz w:val="28"/>
        </w:rPr>
        <w:t>“</w:t>
      </w:r>
      <w:r>
        <w:rPr>
          <w:spacing w:val="-7"/>
          <w:sz w:val="28"/>
        </w:rPr>
        <w:t> </w:t>
      </w:r>
      <w:r>
        <w:rPr>
          <w:sz w:val="28"/>
        </w:rPr>
        <w:t>Hani</w:t>
      </w:r>
      <w:r>
        <w:rPr>
          <w:spacing w:val="-1"/>
          <w:sz w:val="28"/>
        </w:rPr>
        <w:t> </w:t>
      </w:r>
      <w:r>
        <w:rPr>
          <w:sz w:val="28"/>
        </w:rPr>
        <w:t>i</w:t>
      </w:r>
      <w:r>
        <w:rPr>
          <w:spacing w:val="-2"/>
          <w:sz w:val="28"/>
        </w:rPr>
        <w:t> Elezit.</w:t>
      </w:r>
    </w:p>
    <w:p>
      <w:pPr>
        <w:pStyle w:val="BodyText"/>
        <w:rPr>
          <w:sz w:val="30"/>
        </w:rPr>
      </w:pPr>
    </w:p>
    <w:p>
      <w:pPr>
        <w:pStyle w:val="Heading1"/>
        <w:spacing w:before="217"/>
        <w:rPr>
          <w:rFonts w:ascii="Cambria" w:hAnsi="Cambria"/>
        </w:rPr>
      </w:pPr>
      <w:r>
        <w:rPr>
          <w:rFonts w:ascii="Cambria" w:hAnsi="Cambria"/>
          <w:spacing w:val="-2"/>
        </w:rPr>
        <w:t>Numri</w:t>
      </w:r>
      <w:r>
        <w:rPr>
          <w:rFonts w:ascii="Cambria" w:hAnsi="Cambria"/>
          <w:spacing w:val="-9"/>
        </w:rPr>
        <w:t> </w:t>
      </w:r>
      <w:r>
        <w:rPr>
          <w:rFonts w:ascii="Cambria" w:hAnsi="Cambria"/>
          <w:spacing w:val="-2"/>
        </w:rPr>
        <w:t>i</w:t>
      </w:r>
      <w:r>
        <w:rPr>
          <w:rFonts w:ascii="Cambria" w:hAnsi="Cambria"/>
          <w:spacing w:val="-10"/>
        </w:rPr>
        <w:t> </w:t>
      </w:r>
      <w:r>
        <w:rPr>
          <w:rFonts w:ascii="Cambria" w:hAnsi="Cambria"/>
          <w:spacing w:val="-2"/>
        </w:rPr>
        <w:t>nxënësve</w:t>
      </w:r>
      <w:r>
        <w:rPr>
          <w:rFonts w:ascii="Cambria" w:hAnsi="Cambria"/>
          <w:spacing w:val="-10"/>
        </w:rPr>
        <w:t> </w:t>
      </w:r>
      <w:r>
        <w:rPr>
          <w:rFonts w:ascii="Cambria" w:hAnsi="Cambria"/>
          <w:spacing w:val="-2"/>
        </w:rPr>
        <w:t>në</w:t>
      </w:r>
      <w:r>
        <w:rPr>
          <w:rFonts w:ascii="Cambria" w:hAnsi="Cambria"/>
          <w:spacing w:val="-10"/>
        </w:rPr>
        <w:t> </w:t>
      </w:r>
      <w:r>
        <w:rPr>
          <w:rFonts w:ascii="Cambria" w:hAnsi="Cambria"/>
          <w:spacing w:val="-2"/>
        </w:rPr>
        <w:t>fillim</w:t>
      </w:r>
      <w:r>
        <w:rPr>
          <w:rFonts w:ascii="Cambria" w:hAnsi="Cambria"/>
          <w:spacing w:val="-8"/>
        </w:rPr>
        <w:t> </w:t>
      </w:r>
      <w:r>
        <w:rPr>
          <w:rFonts w:ascii="Cambria" w:hAnsi="Cambria"/>
          <w:spacing w:val="-2"/>
        </w:rPr>
        <w:t>të</w:t>
      </w:r>
      <w:r>
        <w:rPr>
          <w:rFonts w:ascii="Cambria" w:hAnsi="Cambria"/>
          <w:spacing w:val="-11"/>
        </w:rPr>
        <w:t> </w:t>
      </w:r>
      <w:r>
        <w:rPr>
          <w:rFonts w:ascii="Cambria" w:hAnsi="Cambria"/>
          <w:spacing w:val="-2"/>
        </w:rPr>
        <w:t>vitit</w:t>
      </w:r>
      <w:r>
        <w:rPr>
          <w:rFonts w:ascii="Cambria" w:hAnsi="Cambria"/>
          <w:spacing w:val="-9"/>
        </w:rPr>
        <w:t> </w:t>
      </w:r>
      <w:r>
        <w:rPr>
          <w:rFonts w:ascii="Cambria" w:hAnsi="Cambria"/>
          <w:spacing w:val="-2"/>
        </w:rPr>
        <w:t>shkollor</w:t>
      </w:r>
      <w:r>
        <w:rPr>
          <w:rFonts w:ascii="Cambria" w:hAnsi="Cambria"/>
          <w:spacing w:val="-9"/>
        </w:rPr>
        <w:t> </w:t>
      </w:r>
      <w:r>
        <w:rPr>
          <w:rFonts w:ascii="Cambria" w:hAnsi="Cambria"/>
          <w:spacing w:val="-2"/>
        </w:rPr>
        <w:t>2023/2024</w:t>
      </w:r>
    </w:p>
    <w:p>
      <w:pPr>
        <w:pStyle w:val="ListParagraph"/>
        <w:numPr>
          <w:ilvl w:val="0"/>
          <w:numId w:val="2"/>
        </w:numPr>
        <w:tabs>
          <w:tab w:pos="541" w:val="left" w:leader="none"/>
          <w:tab w:pos="8139" w:val="left" w:leader="none"/>
        </w:tabs>
        <w:spacing w:line="240" w:lineRule="auto" w:before="58" w:after="0"/>
        <w:ind w:left="540" w:right="0" w:hanging="273"/>
        <w:jc w:val="left"/>
        <w:rPr>
          <w:sz w:val="28"/>
        </w:rPr>
      </w:pPr>
      <w:r>
        <w:rPr>
          <w:sz w:val="28"/>
        </w:rPr>
        <w:t>Numri</w:t>
      </w:r>
      <w:r>
        <w:rPr>
          <w:spacing w:val="-6"/>
          <w:sz w:val="28"/>
        </w:rPr>
        <w:t> </w:t>
      </w:r>
      <w:r>
        <w:rPr>
          <w:sz w:val="28"/>
        </w:rPr>
        <w:t>i</w:t>
      </w:r>
      <w:r>
        <w:rPr>
          <w:spacing w:val="-4"/>
          <w:sz w:val="28"/>
        </w:rPr>
        <w:t> </w:t>
      </w:r>
      <w:r>
        <w:rPr>
          <w:sz w:val="28"/>
        </w:rPr>
        <w:t>nxënësve</w:t>
      </w:r>
      <w:r>
        <w:rPr>
          <w:spacing w:val="-4"/>
          <w:sz w:val="28"/>
        </w:rPr>
        <w:t> </w:t>
      </w:r>
      <w:r>
        <w:rPr>
          <w:sz w:val="28"/>
        </w:rPr>
        <w:t>Parafillor</w:t>
      </w:r>
      <w:r>
        <w:rPr>
          <w:spacing w:val="-4"/>
          <w:sz w:val="28"/>
        </w:rPr>
        <w:t> </w:t>
      </w:r>
      <w:r>
        <w:rPr>
          <w:sz w:val="28"/>
        </w:rPr>
        <w:t>në</w:t>
      </w:r>
      <w:r>
        <w:rPr>
          <w:spacing w:val="-4"/>
          <w:sz w:val="28"/>
        </w:rPr>
        <w:t> </w:t>
      </w:r>
      <w:r>
        <w:rPr>
          <w:sz w:val="28"/>
        </w:rPr>
        <w:t>nivel</w:t>
      </w:r>
      <w:r>
        <w:rPr>
          <w:spacing w:val="-3"/>
          <w:sz w:val="28"/>
        </w:rPr>
        <w:t> </w:t>
      </w:r>
      <w:r>
        <w:rPr>
          <w:sz w:val="28"/>
        </w:rPr>
        <w:t>Komunal</w:t>
      </w:r>
      <w:r>
        <w:rPr>
          <w:spacing w:val="-7"/>
          <w:sz w:val="28"/>
        </w:rPr>
        <w:t> </w:t>
      </w:r>
      <w:r>
        <w:rPr>
          <w:sz w:val="28"/>
        </w:rPr>
        <w:t>gjithsejtë</w:t>
      </w:r>
      <w:r>
        <w:rPr>
          <w:spacing w:val="-4"/>
          <w:sz w:val="28"/>
        </w:rPr>
        <w:t> </w:t>
      </w:r>
      <w:r>
        <w:rPr>
          <w:sz w:val="28"/>
        </w:rPr>
        <w:t>janë</w:t>
      </w:r>
      <w:r>
        <w:rPr>
          <w:spacing w:val="62"/>
          <w:sz w:val="28"/>
        </w:rPr>
        <w:t> </w:t>
      </w:r>
      <w:r>
        <w:rPr>
          <w:spacing w:val="-5"/>
          <w:sz w:val="28"/>
        </w:rPr>
        <w:t>114</w:t>
      </w:r>
      <w:r>
        <w:rPr>
          <w:sz w:val="28"/>
        </w:rPr>
        <w:tab/>
      </w:r>
      <w:r>
        <w:rPr>
          <w:spacing w:val="-2"/>
          <w:sz w:val="28"/>
        </w:rPr>
        <w:t>nxënës.</w:t>
      </w:r>
    </w:p>
    <w:p>
      <w:pPr>
        <w:pStyle w:val="ListParagraph"/>
        <w:numPr>
          <w:ilvl w:val="0"/>
          <w:numId w:val="2"/>
        </w:numPr>
        <w:tabs>
          <w:tab w:pos="541" w:val="left" w:leader="none"/>
        </w:tabs>
        <w:spacing w:line="240" w:lineRule="auto" w:before="0" w:after="0"/>
        <w:ind w:left="540" w:right="0" w:hanging="273"/>
        <w:jc w:val="left"/>
        <w:rPr>
          <w:sz w:val="28"/>
        </w:rPr>
      </w:pPr>
      <w:r>
        <w:rPr>
          <w:sz w:val="28"/>
        </w:rPr>
        <w:t>Numri</w:t>
      </w:r>
      <w:r>
        <w:rPr>
          <w:spacing w:val="-4"/>
          <w:sz w:val="28"/>
        </w:rPr>
        <w:t> </w:t>
      </w:r>
      <w:r>
        <w:rPr>
          <w:sz w:val="28"/>
        </w:rPr>
        <w:t>i</w:t>
      </w:r>
      <w:r>
        <w:rPr>
          <w:spacing w:val="-3"/>
          <w:sz w:val="28"/>
        </w:rPr>
        <w:t> </w:t>
      </w:r>
      <w:r>
        <w:rPr>
          <w:sz w:val="28"/>
        </w:rPr>
        <w:t>nxënësve</w:t>
      </w:r>
      <w:r>
        <w:rPr>
          <w:spacing w:val="-2"/>
          <w:sz w:val="28"/>
        </w:rPr>
        <w:t> </w:t>
      </w:r>
      <w:r>
        <w:rPr>
          <w:sz w:val="28"/>
        </w:rPr>
        <w:t>nga</w:t>
      </w:r>
      <w:r>
        <w:rPr>
          <w:spacing w:val="-3"/>
          <w:sz w:val="28"/>
        </w:rPr>
        <w:t> </w:t>
      </w:r>
      <w:r>
        <w:rPr>
          <w:sz w:val="28"/>
        </w:rPr>
        <w:t>klasa</w:t>
      </w:r>
      <w:r>
        <w:rPr>
          <w:spacing w:val="-2"/>
          <w:sz w:val="28"/>
        </w:rPr>
        <w:t> </w:t>
      </w:r>
      <w:r>
        <w:rPr>
          <w:sz w:val="28"/>
        </w:rPr>
        <w:t>e</w:t>
      </w:r>
      <w:r>
        <w:rPr>
          <w:spacing w:val="-4"/>
          <w:sz w:val="28"/>
        </w:rPr>
        <w:t> </w:t>
      </w:r>
      <w:r>
        <w:rPr>
          <w:sz w:val="28"/>
        </w:rPr>
        <w:t>I-V</w:t>
      </w:r>
      <w:r>
        <w:rPr>
          <w:spacing w:val="-7"/>
          <w:sz w:val="28"/>
        </w:rPr>
        <w:t> </w:t>
      </w:r>
      <w:r>
        <w:rPr>
          <w:sz w:val="28"/>
        </w:rPr>
        <w:t>në</w:t>
      </w:r>
      <w:r>
        <w:rPr>
          <w:spacing w:val="-2"/>
          <w:sz w:val="28"/>
        </w:rPr>
        <w:t> </w:t>
      </w:r>
      <w:r>
        <w:rPr>
          <w:sz w:val="28"/>
        </w:rPr>
        <w:t>nivel</w:t>
      </w:r>
      <w:r>
        <w:rPr>
          <w:spacing w:val="-4"/>
          <w:sz w:val="28"/>
        </w:rPr>
        <w:t> </w:t>
      </w:r>
      <w:r>
        <w:rPr>
          <w:sz w:val="28"/>
        </w:rPr>
        <w:t>Komunal</w:t>
      </w:r>
      <w:r>
        <w:rPr>
          <w:spacing w:val="-1"/>
          <w:sz w:val="28"/>
        </w:rPr>
        <w:t> </w:t>
      </w:r>
      <w:r>
        <w:rPr>
          <w:sz w:val="28"/>
        </w:rPr>
        <w:t>gjithsejtë</w:t>
      </w:r>
      <w:r>
        <w:rPr>
          <w:spacing w:val="-3"/>
          <w:sz w:val="28"/>
        </w:rPr>
        <w:t> </w:t>
      </w:r>
      <w:r>
        <w:rPr>
          <w:sz w:val="28"/>
        </w:rPr>
        <w:t>janë</w:t>
      </w:r>
      <w:r>
        <w:rPr>
          <w:spacing w:val="-5"/>
          <w:sz w:val="28"/>
        </w:rPr>
        <w:t> </w:t>
      </w:r>
      <w:r>
        <w:rPr>
          <w:sz w:val="28"/>
        </w:rPr>
        <w:t>686</w:t>
      </w:r>
      <w:r>
        <w:rPr>
          <w:spacing w:val="66"/>
          <w:sz w:val="28"/>
        </w:rPr>
        <w:t> </w:t>
      </w:r>
      <w:r>
        <w:rPr>
          <w:spacing w:val="-2"/>
          <w:sz w:val="28"/>
        </w:rPr>
        <w:t>nxënës.</w:t>
      </w:r>
    </w:p>
    <w:p>
      <w:pPr>
        <w:pStyle w:val="ListParagraph"/>
        <w:numPr>
          <w:ilvl w:val="0"/>
          <w:numId w:val="2"/>
        </w:numPr>
        <w:tabs>
          <w:tab w:pos="541" w:val="left" w:leader="none"/>
        </w:tabs>
        <w:spacing w:line="322" w:lineRule="exact" w:before="2" w:after="0"/>
        <w:ind w:left="540" w:right="0" w:hanging="273"/>
        <w:jc w:val="left"/>
        <w:rPr>
          <w:sz w:val="28"/>
        </w:rPr>
      </w:pPr>
      <w:r>
        <w:rPr>
          <w:sz w:val="28"/>
        </w:rPr>
        <w:t>Numri</w:t>
      </w:r>
      <w:r>
        <w:rPr>
          <w:spacing w:val="-5"/>
          <w:sz w:val="28"/>
        </w:rPr>
        <w:t> </w:t>
      </w:r>
      <w:r>
        <w:rPr>
          <w:sz w:val="28"/>
        </w:rPr>
        <w:t>i</w:t>
      </w:r>
      <w:r>
        <w:rPr>
          <w:spacing w:val="-4"/>
          <w:sz w:val="28"/>
        </w:rPr>
        <w:t> </w:t>
      </w:r>
      <w:r>
        <w:rPr>
          <w:sz w:val="28"/>
        </w:rPr>
        <w:t>nxënësve</w:t>
      </w:r>
      <w:r>
        <w:rPr>
          <w:spacing w:val="-3"/>
          <w:sz w:val="28"/>
        </w:rPr>
        <w:t> </w:t>
      </w:r>
      <w:r>
        <w:rPr>
          <w:sz w:val="28"/>
        </w:rPr>
        <w:t>nga</w:t>
      </w:r>
      <w:r>
        <w:rPr>
          <w:spacing w:val="-4"/>
          <w:sz w:val="28"/>
        </w:rPr>
        <w:t> </w:t>
      </w:r>
      <w:r>
        <w:rPr>
          <w:sz w:val="28"/>
        </w:rPr>
        <w:t>klasa</w:t>
      </w:r>
      <w:r>
        <w:rPr>
          <w:spacing w:val="-4"/>
          <w:sz w:val="28"/>
        </w:rPr>
        <w:t> </w:t>
      </w:r>
      <w:r>
        <w:rPr>
          <w:sz w:val="28"/>
        </w:rPr>
        <w:t>e</w:t>
      </w:r>
      <w:r>
        <w:rPr>
          <w:spacing w:val="-4"/>
          <w:sz w:val="28"/>
        </w:rPr>
        <w:t> </w:t>
      </w:r>
      <w:r>
        <w:rPr>
          <w:sz w:val="28"/>
        </w:rPr>
        <w:t>VI-IX</w:t>
      </w:r>
      <w:r>
        <w:rPr>
          <w:spacing w:val="-9"/>
          <w:sz w:val="28"/>
        </w:rPr>
        <w:t> </w:t>
      </w:r>
      <w:r>
        <w:rPr>
          <w:sz w:val="28"/>
        </w:rPr>
        <w:t>në</w:t>
      </w:r>
      <w:r>
        <w:rPr>
          <w:spacing w:val="-3"/>
          <w:sz w:val="28"/>
        </w:rPr>
        <w:t> </w:t>
      </w:r>
      <w:r>
        <w:rPr>
          <w:sz w:val="28"/>
        </w:rPr>
        <w:t>nivel</w:t>
      </w:r>
      <w:r>
        <w:rPr>
          <w:spacing w:val="-3"/>
          <w:sz w:val="28"/>
        </w:rPr>
        <w:t> </w:t>
      </w:r>
      <w:r>
        <w:rPr>
          <w:sz w:val="28"/>
        </w:rPr>
        <w:t>Komunal</w:t>
      </w:r>
      <w:r>
        <w:rPr>
          <w:spacing w:val="-6"/>
          <w:sz w:val="28"/>
        </w:rPr>
        <w:t> </w:t>
      </w:r>
      <w:r>
        <w:rPr>
          <w:sz w:val="28"/>
        </w:rPr>
        <w:t>gjithsejtë</w:t>
      </w:r>
      <w:r>
        <w:rPr>
          <w:spacing w:val="-1"/>
          <w:sz w:val="28"/>
        </w:rPr>
        <w:t> </w:t>
      </w:r>
      <w:r>
        <w:rPr>
          <w:sz w:val="28"/>
        </w:rPr>
        <w:t>janë</w:t>
      </w:r>
      <w:r>
        <w:rPr>
          <w:spacing w:val="-5"/>
          <w:sz w:val="28"/>
        </w:rPr>
        <w:t> </w:t>
      </w:r>
      <w:r>
        <w:rPr>
          <w:sz w:val="28"/>
        </w:rPr>
        <w:t>542</w:t>
      </w:r>
      <w:r>
        <w:rPr>
          <w:spacing w:val="-2"/>
          <w:sz w:val="28"/>
        </w:rPr>
        <w:t> nxënës.</w:t>
      </w:r>
    </w:p>
    <w:p>
      <w:pPr>
        <w:pStyle w:val="ListParagraph"/>
        <w:numPr>
          <w:ilvl w:val="0"/>
          <w:numId w:val="2"/>
        </w:numPr>
        <w:tabs>
          <w:tab w:pos="541" w:val="left" w:leader="none"/>
        </w:tabs>
        <w:spacing w:line="322" w:lineRule="exact" w:before="0" w:after="0"/>
        <w:ind w:left="540" w:right="0" w:hanging="273"/>
        <w:jc w:val="left"/>
        <w:rPr>
          <w:sz w:val="28"/>
        </w:rPr>
      </w:pPr>
      <w:r>
        <w:rPr>
          <w:sz w:val="28"/>
        </w:rPr>
        <w:t>Numri</w:t>
      </w:r>
      <w:r>
        <w:rPr>
          <w:spacing w:val="-5"/>
          <w:sz w:val="28"/>
        </w:rPr>
        <w:t> </w:t>
      </w:r>
      <w:r>
        <w:rPr>
          <w:sz w:val="28"/>
        </w:rPr>
        <w:t>i</w:t>
      </w:r>
      <w:r>
        <w:rPr>
          <w:spacing w:val="-4"/>
          <w:sz w:val="28"/>
        </w:rPr>
        <w:t> </w:t>
      </w:r>
      <w:r>
        <w:rPr>
          <w:sz w:val="28"/>
        </w:rPr>
        <w:t>nxënësve</w:t>
      </w:r>
      <w:r>
        <w:rPr>
          <w:spacing w:val="-3"/>
          <w:sz w:val="28"/>
        </w:rPr>
        <w:t> </w:t>
      </w:r>
      <w:r>
        <w:rPr>
          <w:sz w:val="28"/>
        </w:rPr>
        <w:t>nga</w:t>
      </w:r>
      <w:r>
        <w:rPr>
          <w:spacing w:val="-4"/>
          <w:sz w:val="28"/>
        </w:rPr>
        <w:t> </w:t>
      </w:r>
      <w:r>
        <w:rPr>
          <w:sz w:val="28"/>
        </w:rPr>
        <w:t>klasa</w:t>
      </w:r>
      <w:r>
        <w:rPr>
          <w:spacing w:val="-3"/>
          <w:sz w:val="28"/>
        </w:rPr>
        <w:t> </w:t>
      </w:r>
      <w:r>
        <w:rPr>
          <w:sz w:val="28"/>
        </w:rPr>
        <w:t>e</w:t>
      </w:r>
      <w:r>
        <w:rPr>
          <w:spacing w:val="-5"/>
          <w:sz w:val="28"/>
        </w:rPr>
        <w:t> </w:t>
      </w:r>
      <w:r>
        <w:rPr>
          <w:sz w:val="28"/>
        </w:rPr>
        <w:t>X-XII</w:t>
      </w:r>
      <w:r>
        <w:rPr>
          <w:spacing w:val="-6"/>
          <w:sz w:val="28"/>
        </w:rPr>
        <w:t> </w:t>
      </w:r>
      <w:r>
        <w:rPr>
          <w:sz w:val="28"/>
        </w:rPr>
        <w:t>në</w:t>
      </w:r>
      <w:r>
        <w:rPr>
          <w:spacing w:val="-3"/>
          <w:sz w:val="28"/>
        </w:rPr>
        <w:t> </w:t>
      </w:r>
      <w:r>
        <w:rPr>
          <w:sz w:val="28"/>
        </w:rPr>
        <w:t>nivel</w:t>
      </w:r>
      <w:r>
        <w:rPr>
          <w:spacing w:val="-3"/>
          <w:sz w:val="28"/>
        </w:rPr>
        <w:t> </w:t>
      </w:r>
      <w:r>
        <w:rPr>
          <w:sz w:val="28"/>
        </w:rPr>
        <w:t>Komunal</w:t>
      </w:r>
      <w:r>
        <w:rPr>
          <w:spacing w:val="-6"/>
          <w:sz w:val="28"/>
        </w:rPr>
        <w:t> </w:t>
      </w:r>
      <w:r>
        <w:rPr>
          <w:sz w:val="28"/>
        </w:rPr>
        <w:t>gjithsejtë</w:t>
      </w:r>
      <w:r>
        <w:rPr>
          <w:spacing w:val="-4"/>
          <w:sz w:val="28"/>
        </w:rPr>
        <w:t> </w:t>
      </w:r>
      <w:r>
        <w:rPr>
          <w:sz w:val="28"/>
        </w:rPr>
        <w:t>janë</w:t>
      </w:r>
      <w:r>
        <w:rPr>
          <w:spacing w:val="-1"/>
          <w:sz w:val="28"/>
        </w:rPr>
        <w:t> </w:t>
      </w:r>
      <w:r>
        <w:rPr>
          <w:sz w:val="28"/>
        </w:rPr>
        <w:t>258</w:t>
      </w:r>
      <w:r>
        <w:rPr>
          <w:spacing w:val="64"/>
          <w:sz w:val="28"/>
        </w:rPr>
        <w:t> </w:t>
      </w:r>
      <w:r>
        <w:rPr>
          <w:spacing w:val="-2"/>
          <w:sz w:val="28"/>
        </w:rPr>
        <w:t>nxënës.</w:t>
      </w:r>
    </w:p>
    <w:p>
      <w:pPr>
        <w:pStyle w:val="ListParagraph"/>
        <w:numPr>
          <w:ilvl w:val="0"/>
          <w:numId w:val="2"/>
        </w:numPr>
        <w:tabs>
          <w:tab w:pos="541" w:val="left" w:leader="none"/>
        </w:tabs>
        <w:spacing w:line="240" w:lineRule="auto" w:before="0" w:after="0"/>
        <w:ind w:left="631" w:right="1254" w:hanging="363"/>
        <w:jc w:val="left"/>
        <w:rPr>
          <w:sz w:val="28"/>
        </w:rPr>
      </w:pPr>
      <w:r>
        <w:rPr>
          <w:sz w:val="28"/>
        </w:rPr>
        <w:t>Numri</w:t>
      </w:r>
      <w:r>
        <w:rPr>
          <w:spacing w:val="40"/>
          <w:sz w:val="28"/>
        </w:rPr>
        <w:t> </w:t>
      </w:r>
      <w:r>
        <w:rPr>
          <w:sz w:val="28"/>
        </w:rPr>
        <w:t>i</w:t>
      </w:r>
      <w:r>
        <w:rPr>
          <w:spacing w:val="40"/>
          <w:sz w:val="28"/>
        </w:rPr>
        <w:t> </w:t>
      </w:r>
      <w:r>
        <w:rPr>
          <w:sz w:val="28"/>
        </w:rPr>
        <w:t>nxënësve</w:t>
      </w:r>
      <w:r>
        <w:rPr>
          <w:spacing w:val="40"/>
          <w:sz w:val="28"/>
        </w:rPr>
        <w:t> </w:t>
      </w:r>
      <w:r>
        <w:rPr>
          <w:sz w:val="28"/>
        </w:rPr>
        <w:t>nga</w:t>
      </w:r>
      <w:r>
        <w:rPr>
          <w:spacing w:val="40"/>
          <w:sz w:val="28"/>
        </w:rPr>
        <w:t> </w:t>
      </w:r>
      <w:r>
        <w:rPr>
          <w:sz w:val="28"/>
        </w:rPr>
        <w:t>Parafillorë</w:t>
      </w:r>
      <w:r>
        <w:rPr>
          <w:spacing w:val="40"/>
          <w:sz w:val="28"/>
        </w:rPr>
        <w:t> </w:t>
      </w:r>
      <w:r>
        <w:rPr>
          <w:sz w:val="28"/>
        </w:rPr>
        <w:t>deri</w:t>
      </w:r>
      <w:r>
        <w:rPr>
          <w:spacing w:val="40"/>
          <w:sz w:val="28"/>
        </w:rPr>
        <w:t> </w:t>
      </w:r>
      <w:r>
        <w:rPr>
          <w:sz w:val="28"/>
        </w:rPr>
        <w:t>në</w:t>
      </w:r>
      <w:r>
        <w:rPr>
          <w:spacing w:val="40"/>
          <w:sz w:val="28"/>
        </w:rPr>
        <w:t> </w:t>
      </w:r>
      <w:r>
        <w:rPr>
          <w:sz w:val="28"/>
        </w:rPr>
        <w:t>klasën</w:t>
      </w:r>
      <w:r>
        <w:rPr>
          <w:spacing w:val="40"/>
          <w:sz w:val="28"/>
        </w:rPr>
        <w:t> </w:t>
      </w:r>
      <w:r>
        <w:rPr>
          <w:sz w:val="28"/>
        </w:rPr>
        <w:t>e</w:t>
      </w:r>
      <w:r>
        <w:rPr>
          <w:spacing w:val="40"/>
          <w:sz w:val="28"/>
        </w:rPr>
        <w:t> </w:t>
      </w:r>
      <w:r>
        <w:rPr>
          <w:sz w:val="28"/>
        </w:rPr>
        <w:t>dymbëdhjetë</w:t>
      </w:r>
      <w:r>
        <w:rPr>
          <w:spacing w:val="40"/>
          <w:sz w:val="28"/>
        </w:rPr>
        <w:t> </w:t>
      </w:r>
      <w:r>
        <w:rPr>
          <w:sz w:val="28"/>
        </w:rPr>
        <w:t>në</w:t>
      </w:r>
      <w:r>
        <w:rPr>
          <w:spacing w:val="40"/>
          <w:sz w:val="28"/>
        </w:rPr>
        <w:t> </w:t>
      </w:r>
      <w:r>
        <w:rPr>
          <w:sz w:val="28"/>
        </w:rPr>
        <w:t>nivel</w:t>
      </w:r>
      <w:r>
        <w:rPr>
          <w:spacing w:val="40"/>
          <w:sz w:val="28"/>
        </w:rPr>
        <w:t> </w:t>
      </w:r>
      <w:r>
        <w:rPr>
          <w:sz w:val="28"/>
        </w:rPr>
        <w:t>Komunal gjithsejtë janë 1660 nxënës.</w:t>
      </w:r>
    </w:p>
    <w:p>
      <w:pPr>
        <w:pStyle w:val="BodyText"/>
        <w:spacing w:before="9"/>
        <w:rPr>
          <w:sz w:val="32"/>
        </w:rPr>
      </w:pPr>
    </w:p>
    <w:p>
      <w:pPr>
        <w:pStyle w:val="Heading1"/>
        <w:ind w:right="1226"/>
        <w:rPr>
          <w:rFonts w:ascii="Cambria" w:hAnsi="Cambria"/>
        </w:rPr>
      </w:pPr>
      <w:r>
        <w:rPr>
          <w:rFonts w:ascii="Cambria" w:hAnsi="Cambria"/>
        </w:rPr>
        <w:t>Krahasimi</w:t>
      </w:r>
      <w:r>
        <w:rPr>
          <w:rFonts w:ascii="Cambria" w:hAnsi="Cambria"/>
          <w:spacing w:val="-12"/>
        </w:rPr>
        <w:t> </w:t>
      </w:r>
      <w:r>
        <w:rPr>
          <w:rFonts w:ascii="Cambria" w:hAnsi="Cambria"/>
        </w:rPr>
        <w:t>i</w:t>
      </w:r>
      <w:r>
        <w:rPr>
          <w:rFonts w:ascii="Cambria" w:hAnsi="Cambria"/>
          <w:spacing w:val="-14"/>
        </w:rPr>
        <w:t> </w:t>
      </w:r>
      <w:r>
        <w:rPr>
          <w:rFonts w:ascii="Cambria" w:hAnsi="Cambria"/>
        </w:rPr>
        <w:t>nxënësve</w:t>
      </w:r>
      <w:r>
        <w:rPr>
          <w:rFonts w:ascii="Cambria" w:hAnsi="Cambria"/>
          <w:spacing w:val="-14"/>
        </w:rPr>
        <w:t> </w:t>
      </w:r>
      <w:r>
        <w:rPr>
          <w:rFonts w:ascii="Cambria" w:hAnsi="Cambria"/>
        </w:rPr>
        <w:t>mes</w:t>
      </w:r>
      <w:r>
        <w:rPr>
          <w:rFonts w:ascii="Cambria" w:hAnsi="Cambria"/>
          <w:spacing w:val="-13"/>
        </w:rPr>
        <w:t> </w:t>
      </w:r>
      <w:r>
        <w:rPr>
          <w:rFonts w:ascii="Cambria" w:hAnsi="Cambria"/>
        </w:rPr>
        <w:t>vitit</w:t>
      </w:r>
      <w:r>
        <w:rPr>
          <w:rFonts w:ascii="Cambria" w:hAnsi="Cambria"/>
          <w:spacing w:val="-14"/>
        </w:rPr>
        <w:t> </w:t>
      </w:r>
      <w:r>
        <w:rPr>
          <w:rFonts w:ascii="Cambria" w:hAnsi="Cambria"/>
        </w:rPr>
        <w:t>shkollor</w:t>
      </w:r>
      <w:r>
        <w:rPr>
          <w:rFonts w:ascii="Cambria" w:hAnsi="Cambria"/>
          <w:spacing w:val="-14"/>
        </w:rPr>
        <w:t> </w:t>
      </w:r>
      <w:r>
        <w:rPr>
          <w:rFonts w:ascii="Cambria" w:hAnsi="Cambria"/>
        </w:rPr>
        <w:t>2022/23</w:t>
      </w:r>
      <w:r>
        <w:rPr>
          <w:rFonts w:ascii="Cambria" w:hAnsi="Cambria"/>
          <w:spacing w:val="-10"/>
        </w:rPr>
        <w:t> </w:t>
      </w:r>
      <w:r>
        <w:rPr>
          <w:rFonts w:ascii="Cambria" w:hAnsi="Cambria"/>
        </w:rPr>
        <w:t>dhe</w:t>
      </w:r>
      <w:r>
        <w:rPr>
          <w:rFonts w:ascii="Cambria" w:hAnsi="Cambria"/>
          <w:spacing w:val="-14"/>
        </w:rPr>
        <w:t> </w:t>
      </w:r>
      <w:r>
        <w:rPr>
          <w:rFonts w:ascii="Cambria" w:hAnsi="Cambria"/>
        </w:rPr>
        <w:t>2023/24</w:t>
      </w:r>
      <w:r>
        <w:rPr>
          <w:rFonts w:ascii="Cambria" w:hAnsi="Cambria"/>
          <w:spacing w:val="-12"/>
        </w:rPr>
        <w:t> </w:t>
      </w:r>
      <w:r>
        <w:rPr>
          <w:rFonts w:ascii="Cambria" w:hAnsi="Cambria"/>
        </w:rPr>
        <w:t>në nivelin komunal për të gjitha shkollat</w:t>
      </w:r>
    </w:p>
    <w:p>
      <w:pPr>
        <w:pStyle w:val="BodyText"/>
        <w:spacing w:before="4"/>
        <w:rPr>
          <w:rFonts w:ascii="Cambria"/>
          <w:b/>
          <w:sz w:val="23"/>
        </w:rPr>
      </w:pPr>
    </w:p>
    <w:tbl>
      <w:tblPr>
        <w:tblW w:w="0" w:type="auto"/>
        <w:jc w:val="left"/>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9"/>
        <w:gridCol w:w="3217"/>
      </w:tblGrid>
      <w:tr>
        <w:trPr>
          <w:trHeight w:val="321" w:hRule="atLeast"/>
        </w:trPr>
        <w:tc>
          <w:tcPr>
            <w:tcW w:w="3409" w:type="dxa"/>
          </w:tcPr>
          <w:p>
            <w:pPr>
              <w:pStyle w:val="TableParagraph"/>
              <w:spacing w:line="301" w:lineRule="exact"/>
              <w:ind w:left="199"/>
              <w:rPr>
                <w:sz w:val="28"/>
              </w:rPr>
            </w:pPr>
            <w:r>
              <w:rPr>
                <w:spacing w:val="-2"/>
                <w:sz w:val="28"/>
              </w:rPr>
              <w:t>2022/2023</w:t>
            </w:r>
          </w:p>
        </w:tc>
        <w:tc>
          <w:tcPr>
            <w:tcW w:w="3217" w:type="dxa"/>
          </w:tcPr>
          <w:p>
            <w:pPr>
              <w:pStyle w:val="TableParagraph"/>
              <w:spacing w:line="301" w:lineRule="exact"/>
              <w:ind w:left="198"/>
              <w:rPr>
                <w:sz w:val="28"/>
              </w:rPr>
            </w:pPr>
            <w:r>
              <w:rPr>
                <w:spacing w:val="-4"/>
                <w:sz w:val="28"/>
              </w:rPr>
              <w:t>1682</w:t>
            </w:r>
          </w:p>
        </w:tc>
      </w:tr>
      <w:tr>
        <w:trPr>
          <w:trHeight w:val="323" w:hRule="atLeast"/>
        </w:trPr>
        <w:tc>
          <w:tcPr>
            <w:tcW w:w="3409" w:type="dxa"/>
          </w:tcPr>
          <w:p>
            <w:pPr>
              <w:pStyle w:val="TableParagraph"/>
              <w:spacing w:line="301" w:lineRule="exact" w:before="2"/>
              <w:ind w:left="199"/>
              <w:rPr>
                <w:sz w:val="28"/>
              </w:rPr>
            </w:pPr>
            <w:r>
              <w:rPr>
                <w:spacing w:val="-2"/>
                <w:sz w:val="28"/>
              </w:rPr>
              <w:t>2023/2024</w:t>
            </w:r>
          </w:p>
        </w:tc>
        <w:tc>
          <w:tcPr>
            <w:tcW w:w="3217" w:type="dxa"/>
          </w:tcPr>
          <w:p>
            <w:pPr>
              <w:pStyle w:val="TableParagraph"/>
              <w:spacing w:line="301" w:lineRule="exact" w:before="2"/>
              <w:ind w:left="198"/>
              <w:rPr>
                <w:sz w:val="28"/>
              </w:rPr>
            </w:pPr>
            <w:r>
              <w:rPr>
                <w:spacing w:val="-4"/>
                <w:sz w:val="28"/>
              </w:rPr>
              <w:t>1600</w:t>
            </w:r>
          </w:p>
        </w:tc>
      </w:tr>
      <w:tr>
        <w:trPr>
          <w:trHeight w:val="321" w:hRule="atLeast"/>
        </w:trPr>
        <w:tc>
          <w:tcPr>
            <w:tcW w:w="3409" w:type="dxa"/>
          </w:tcPr>
          <w:p>
            <w:pPr>
              <w:pStyle w:val="TableParagraph"/>
              <w:spacing w:line="301" w:lineRule="exact"/>
              <w:ind w:left="199"/>
              <w:rPr>
                <w:sz w:val="28"/>
              </w:rPr>
            </w:pPr>
            <w:r>
              <w:rPr>
                <w:sz w:val="28"/>
              </w:rPr>
              <w:t>Krahasimi</w:t>
            </w:r>
            <w:r>
              <w:rPr>
                <w:spacing w:val="-2"/>
                <w:sz w:val="28"/>
              </w:rPr>
              <w:t> </w:t>
            </w:r>
            <w:r>
              <w:rPr>
                <w:sz w:val="28"/>
              </w:rPr>
              <w:t>i</w:t>
            </w:r>
            <w:r>
              <w:rPr>
                <w:spacing w:val="-3"/>
                <w:sz w:val="28"/>
              </w:rPr>
              <w:t> </w:t>
            </w:r>
            <w:r>
              <w:rPr>
                <w:sz w:val="28"/>
              </w:rPr>
              <w:t>nr.të</w:t>
            </w:r>
            <w:r>
              <w:rPr>
                <w:spacing w:val="-3"/>
                <w:sz w:val="28"/>
              </w:rPr>
              <w:t> </w:t>
            </w:r>
            <w:r>
              <w:rPr>
                <w:spacing w:val="-2"/>
                <w:sz w:val="28"/>
              </w:rPr>
              <w:t>nxënësve</w:t>
            </w:r>
          </w:p>
        </w:tc>
        <w:tc>
          <w:tcPr>
            <w:tcW w:w="3217" w:type="dxa"/>
          </w:tcPr>
          <w:p>
            <w:pPr>
              <w:pStyle w:val="TableParagraph"/>
              <w:spacing w:line="301" w:lineRule="exact"/>
              <w:ind w:left="559"/>
              <w:rPr>
                <w:sz w:val="28"/>
              </w:rPr>
            </w:pPr>
            <w:r>
              <w:rPr>
                <w:sz w:val="28"/>
              </w:rPr>
              <w:t>-</w:t>
            </w:r>
            <w:r>
              <w:rPr>
                <w:spacing w:val="-5"/>
                <w:sz w:val="28"/>
              </w:rPr>
              <w:t>82</w:t>
            </w:r>
          </w:p>
        </w:tc>
      </w:tr>
    </w:tbl>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6"/>
        <w:rPr>
          <w:rFonts w:ascii="Cambria"/>
          <w:b/>
          <w:sz w:val="29"/>
        </w:rPr>
      </w:pPr>
      <w:r>
        <w:rPr/>
        <w:pict>
          <v:rect style="position:absolute;margin-left:61.560001pt;margin-top:18.499268pt;width:488.98pt;height:16.080000pt;mso-position-horizontal-relative:page;mso-position-vertical-relative:paragraph;z-index:-15727104;mso-wrap-distance-left:0;mso-wrap-distance-right:0" id="docshape2" filled="true" fillcolor="#ddd9c3" stroked="false">
            <v:fill type="solid"/>
            <w10:wrap type="topAndBottom"/>
          </v:rect>
        </w:pict>
      </w:r>
    </w:p>
    <w:p>
      <w:pPr>
        <w:spacing w:after="0"/>
        <w:rPr>
          <w:rFonts w:ascii="Cambria"/>
          <w:sz w:val="29"/>
        </w:rPr>
        <w:sectPr>
          <w:pgSz w:w="12240" w:h="15840"/>
          <w:pgMar w:top="1700" w:bottom="280" w:left="720" w:right="0"/>
        </w:sectPr>
      </w:pPr>
    </w:p>
    <w:p>
      <w:pPr>
        <w:tabs>
          <w:tab w:pos="10290" w:val="left" w:leader="none"/>
        </w:tabs>
        <w:spacing w:line="322" w:lineRule="exact" w:before="60"/>
        <w:ind w:left="540" w:right="0" w:firstLine="0"/>
        <w:jc w:val="left"/>
        <w:rPr>
          <w:b/>
          <w:sz w:val="28"/>
        </w:rPr>
      </w:pPr>
      <w:r>
        <w:rPr>
          <w:b/>
          <w:color w:val="000000"/>
          <w:sz w:val="28"/>
          <w:shd w:fill="DDD9C3" w:color="auto" w:val="clear"/>
        </w:rPr>
        <w:t>ShFMU</w:t>
      </w:r>
      <w:r>
        <w:rPr>
          <w:b/>
          <w:color w:val="000000"/>
          <w:spacing w:val="-6"/>
          <w:sz w:val="28"/>
          <w:shd w:fill="DDD9C3" w:color="auto" w:val="clear"/>
        </w:rPr>
        <w:t> </w:t>
      </w:r>
      <w:r>
        <w:rPr>
          <w:b/>
          <w:color w:val="000000"/>
          <w:sz w:val="28"/>
          <w:shd w:fill="DDD9C3" w:color="auto" w:val="clear"/>
        </w:rPr>
        <w:t>”Ilaz</w:t>
      </w:r>
      <w:r>
        <w:rPr>
          <w:b/>
          <w:color w:val="000000"/>
          <w:spacing w:val="-5"/>
          <w:sz w:val="28"/>
          <w:shd w:fill="DDD9C3" w:color="auto" w:val="clear"/>
        </w:rPr>
        <w:t> </w:t>
      </w:r>
      <w:r>
        <w:rPr>
          <w:b/>
          <w:color w:val="000000"/>
          <w:sz w:val="28"/>
          <w:shd w:fill="DDD9C3" w:color="auto" w:val="clear"/>
        </w:rPr>
        <w:t>Thaçi”-Hani</w:t>
      </w:r>
      <w:r>
        <w:rPr>
          <w:b/>
          <w:color w:val="000000"/>
          <w:spacing w:val="-7"/>
          <w:sz w:val="28"/>
          <w:shd w:fill="DDD9C3" w:color="auto" w:val="clear"/>
        </w:rPr>
        <w:t> </w:t>
      </w:r>
      <w:r>
        <w:rPr>
          <w:b/>
          <w:color w:val="000000"/>
          <w:sz w:val="28"/>
          <w:shd w:fill="DDD9C3" w:color="auto" w:val="clear"/>
        </w:rPr>
        <w:t>i</w:t>
      </w:r>
      <w:r>
        <w:rPr>
          <w:b/>
          <w:color w:val="000000"/>
          <w:spacing w:val="-3"/>
          <w:sz w:val="28"/>
          <w:shd w:fill="DDD9C3" w:color="auto" w:val="clear"/>
        </w:rPr>
        <w:t> </w:t>
      </w:r>
      <w:r>
        <w:rPr>
          <w:b/>
          <w:color w:val="000000"/>
          <w:spacing w:val="-2"/>
          <w:sz w:val="28"/>
          <w:shd w:fill="DDD9C3" w:color="auto" w:val="clear"/>
        </w:rPr>
        <w:t>Elezit.</w:t>
      </w:r>
      <w:r>
        <w:rPr>
          <w:b/>
          <w:color w:val="000000"/>
          <w:sz w:val="28"/>
          <w:shd w:fill="DDD9C3" w:color="auto" w:val="clear"/>
        </w:rPr>
        <w:tab/>
      </w:r>
    </w:p>
    <w:p>
      <w:pPr>
        <w:spacing w:before="0"/>
        <w:ind w:left="540" w:right="2127" w:firstLine="0"/>
        <w:jc w:val="left"/>
        <w:rPr>
          <w:sz w:val="28"/>
        </w:rPr>
      </w:pPr>
      <w:r>
        <w:rPr>
          <w:sz w:val="28"/>
        </w:rPr>
        <w:t>Janë</w:t>
      </w:r>
      <w:r>
        <w:rPr>
          <w:spacing w:val="-3"/>
          <w:sz w:val="28"/>
        </w:rPr>
        <w:t> </w:t>
      </w:r>
      <w:r>
        <w:rPr>
          <w:sz w:val="28"/>
        </w:rPr>
        <w:t>bërë</w:t>
      </w:r>
      <w:r>
        <w:rPr>
          <w:spacing w:val="-3"/>
          <w:sz w:val="28"/>
        </w:rPr>
        <w:t> </w:t>
      </w:r>
      <w:r>
        <w:rPr>
          <w:sz w:val="28"/>
        </w:rPr>
        <w:t>përgatitjet</w:t>
      </w:r>
      <w:r>
        <w:rPr>
          <w:spacing w:val="-2"/>
          <w:sz w:val="28"/>
        </w:rPr>
        <w:t> </w:t>
      </w:r>
      <w:r>
        <w:rPr>
          <w:sz w:val="28"/>
        </w:rPr>
        <w:t>e</w:t>
      </w:r>
      <w:r>
        <w:rPr>
          <w:spacing w:val="-6"/>
          <w:sz w:val="28"/>
        </w:rPr>
        <w:t> </w:t>
      </w:r>
      <w:r>
        <w:rPr>
          <w:sz w:val="28"/>
        </w:rPr>
        <w:t>duhura</w:t>
      </w:r>
      <w:r>
        <w:rPr>
          <w:spacing w:val="-4"/>
          <w:sz w:val="28"/>
        </w:rPr>
        <w:t> </w:t>
      </w:r>
      <w:r>
        <w:rPr>
          <w:sz w:val="28"/>
        </w:rPr>
        <w:t>për</w:t>
      </w:r>
      <w:r>
        <w:rPr>
          <w:spacing w:val="-3"/>
          <w:sz w:val="28"/>
        </w:rPr>
        <w:t> </w:t>
      </w:r>
      <w:r>
        <w:rPr>
          <w:sz w:val="28"/>
        </w:rPr>
        <w:t>fillimin</w:t>
      </w:r>
      <w:r>
        <w:rPr>
          <w:spacing w:val="-2"/>
          <w:sz w:val="28"/>
        </w:rPr>
        <w:t> </w:t>
      </w:r>
      <w:r>
        <w:rPr>
          <w:sz w:val="28"/>
        </w:rPr>
        <w:t>e</w:t>
      </w:r>
      <w:r>
        <w:rPr>
          <w:spacing w:val="-4"/>
          <w:sz w:val="28"/>
        </w:rPr>
        <w:t> </w:t>
      </w:r>
      <w:r>
        <w:rPr>
          <w:sz w:val="28"/>
        </w:rPr>
        <w:t>vitit</w:t>
      </w:r>
      <w:r>
        <w:rPr>
          <w:spacing w:val="-2"/>
          <w:sz w:val="28"/>
        </w:rPr>
        <w:t> </w:t>
      </w:r>
      <w:r>
        <w:rPr>
          <w:sz w:val="28"/>
        </w:rPr>
        <w:t>shkollor</w:t>
      </w:r>
      <w:r>
        <w:rPr>
          <w:spacing w:val="-6"/>
          <w:sz w:val="28"/>
        </w:rPr>
        <w:t> </w:t>
      </w:r>
      <w:r>
        <w:rPr>
          <w:sz w:val="28"/>
        </w:rPr>
        <w:t>2023/24</w:t>
      </w:r>
      <w:r>
        <w:rPr>
          <w:spacing w:val="-5"/>
          <w:sz w:val="28"/>
        </w:rPr>
        <w:t> </w:t>
      </w:r>
      <w:r>
        <w:rPr>
          <w:sz w:val="28"/>
        </w:rPr>
        <w:t>si</w:t>
      </w:r>
      <w:r>
        <w:rPr>
          <w:spacing w:val="-6"/>
          <w:sz w:val="28"/>
        </w:rPr>
        <w:t> </w:t>
      </w:r>
      <w:r>
        <w:rPr>
          <w:sz w:val="28"/>
        </w:rPr>
        <w:t>nëvijim: Është bërë pastrimi gjeneral i objekteve shkollore dhe hapësirave tjera për mbarëvajtjen e procesit mësimor.</w:t>
      </w:r>
    </w:p>
    <w:p>
      <w:pPr>
        <w:spacing w:before="1"/>
        <w:ind w:left="540" w:right="1226" w:firstLine="0"/>
        <w:jc w:val="left"/>
        <w:rPr>
          <w:sz w:val="28"/>
        </w:rPr>
      </w:pPr>
      <w:r>
        <w:rPr>
          <w:sz w:val="28"/>
        </w:rPr>
        <w:t>Është mbajtur edhe mledhja e Këshillit të Mësimdhënësve,ku janë njoftuar me përgatitjet</w:t>
      </w:r>
      <w:r>
        <w:rPr>
          <w:spacing w:val="-7"/>
          <w:sz w:val="28"/>
        </w:rPr>
        <w:t> </w:t>
      </w:r>
      <w:r>
        <w:rPr>
          <w:sz w:val="28"/>
        </w:rPr>
        <w:t>dhe</w:t>
      </w:r>
      <w:r>
        <w:rPr>
          <w:spacing w:val="-7"/>
          <w:sz w:val="28"/>
        </w:rPr>
        <w:t> </w:t>
      </w:r>
      <w:r>
        <w:rPr>
          <w:sz w:val="28"/>
        </w:rPr>
        <w:t>kushtet</w:t>
      </w:r>
      <w:r>
        <w:rPr>
          <w:spacing w:val="-4"/>
          <w:sz w:val="28"/>
        </w:rPr>
        <w:t> </w:t>
      </w:r>
      <w:r>
        <w:rPr>
          <w:sz w:val="28"/>
        </w:rPr>
        <w:t>në</w:t>
      </w:r>
      <w:r>
        <w:rPr>
          <w:spacing w:val="-7"/>
          <w:sz w:val="28"/>
        </w:rPr>
        <w:t> </w:t>
      </w:r>
      <w:r>
        <w:rPr>
          <w:sz w:val="28"/>
        </w:rPr>
        <w:t>të</w:t>
      </w:r>
      <w:r>
        <w:rPr>
          <w:spacing w:val="-4"/>
          <w:sz w:val="28"/>
        </w:rPr>
        <w:t> </w:t>
      </w:r>
      <w:r>
        <w:rPr>
          <w:sz w:val="28"/>
        </w:rPr>
        <w:t>cilat</w:t>
      </w:r>
      <w:r>
        <w:rPr>
          <w:spacing w:val="-4"/>
          <w:sz w:val="28"/>
        </w:rPr>
        <w:t> </w:t>
      </w:r>
      <w:r>
        <w:rPr>
          <w:sz w:val="28"/>
        </w:rPr>
        <w:t>mund</w:t>
      </w:r>
      <w:r>
        <w:rPr>
          <w:spacing w:val="-4"/>
          <w:sz w:val="28"/>
        </w:rPr>
        <w:t> </w:t>
      </w:r>
      <w:r>
        <w:rPr>
          <w:sz w:val="28"/>
        </w:rPr>
        <w:t>të</w:t>
      </w:r>
      <w:r>
        <w:rPr>
          <w:spacing w:val="-4"/>
          <w:sz w:val="28"/>
        </w:rPr>
        <w:t> </w:t>
      </w:r>
      <w:r>
        <w:rPr>
          <w:sz w:val="28"/>
        </w:rPr>
        <w:t>fillohet</w:t>
      </w:r>
      <w:r>
        <w:rPr>
          <w:spacing w:val="-4"/>
          <w:sz w:val="28"/>
        </w:rPr>
        <w:t> </w:t>
      </w:r>
      <w:r>
        <w:rPr>
          <w:sz w:val="28"/>
        </w:rPr>
        <w:t>procesi</w:t>
      </w:r>
      <w:r>
        <w:rPr>
          <w:spacing w:val="-4"/>
          <w:sz w:val="28"/>
        </w:rPr>
        <w:t> </w:t>
      </w:r>
      <w:r>
        <w:rPr>
          <w:sz w:val="28"/>
        </w:rPr>
        <w:t>mësimor,mësimdhënësit</w:t>
      </w:r>
      <w:r>
        <w:rPr>
          <w:spacing w:val="-4"/>
          <w:sz w:val="28"/>
        </w:rPr>
        <w:t> </w:t>
      </w:r>
      <w:r>
        <w:rPr>
          <w:sz w:val="28"/>
        </w:rPr>
        <w:t>janë njoftuar me detyrat e tyre,gjithashtu janë formuar Aktivet profesionale sipas fushave dhe lëndëve përkatëse,të cilët do të hartojnë planet vjetore e dymujore për vitin shkollor 2023/24.</w:t>
      </w:r>
    </w:p>
    <w:p>
      <w:pPr>
        <w:spacing w:line="242" w:lineRule="auto" w:before="0"/>
        <w:ind w:left="540" w:right="2127" w:firstLine="0"/>
        <w:jc w:val="left"/>
        <w:rPr>
          <w:sz w:val="28"/>
        </w:rPr>
      </w:pPr>
      <w:r>
        <w:rPr>
          <w:sz w:val="28"/>
        </w:rPr>
        <w:t>Gjithashtu</w:t>
      </w:r>
      <w:r>
        <w:rPr>
          <w:spacing w:val="-3"/>
          <w:sz w:val="28"/>
        </w:rPr>
        <w:t> </w:t>
      </w:r>
      <w:r>
        <w:rPr>
          <w:sz w:val="28"/>
        </w:rPr>
        <w:t>është</w:t>
      </w:r>
      <w:r>
        <w:rPr>
          <w:spacing w:val="-4"/>
          <w:sz w:val="28"/>
        </w:rPr>
        <w:t> </w:t>
      </w:r>
      <w:r>
        <w:rPr>
          <w:sz w:val="28"/>
        </w:rPr>
        <w:t>bërë</w:t>
      </w:r>
      <w:r>
        <w:rPr>
          <w:spacing w:val="-7"/>
          <w:sz w:val="28"/>
        </w:rPr>
        <w:t> </w:t>
      </w:r>
      <w:r>
        <w:rPr>
          <w:sz w:val="28"/>
        </w:rPr>
        <w:t>edhe</w:t>
      </w:r>
      <w:r>
        <w:rPr>
          <w:spacing w:val="-4"/>
          <w:sz w:val="28"/>
        </w:rPr>
        <w:t> </w:t>
      </w:r>
      <w:r>
        <w:rPr>
          <w:sz w:val="28"/>
        </w:rPr>
        <w:t>ndarja</w:t>
      </w:r>
      <w:r>
        <w:rPr>
          <w:spacing w:val="-4"/>
          <w:sz w:val="28"/>
        </w:rPr>
        <w:t> </w:t>
      </w:r>
      <w:r>
        <w:rPr>
          <w:sz w:val="28"/>
        </w:rPr>
        <w:t>e</w:t>
      </w:r>
      <w:r>
        <w:rPr>
          <w:spacing w:val="-7"/>
          <w:sz w:val="28"/>
        </w:rPr>
        <w:t> </w:t>
      </w:r>
      <w:r>
        <w:rPr>
          <w:sz w:val="28"/>
        </w:rPr>
        <w:t>orëve</w:t>
      </w:r>
      <w:r>
        <w:rPr>
          <w:spacing w:val="-4"/>
          <w:sz w:val="28"/>
        </w:rPr>
        <w:t> </w:t>
      </w:r>
      <w:r>
        <w:rPr>
          <w:sz w:val="28"/>
        </w:rPr>
        <w:t>për</w:t>
      </w:r>
      <w:r>
        <w:rPr>
          <w:spacing w:val="-3"/>
          <w:sz w:val="28"/>
        </w:rPr>
        <w:t> </w:t>
      </w:r>
      <w:r>
        <w:rPr>
          <w:sz w:val="28"/>
        </w:rPr>
        <w:t>mësimdhënës</w:t>
      </w:r>
      <w:r>
        <w:rPr>
          <w:spacing w:val="-7"/>
          <w:sz w:val="28"/>
        </w:rPr>
        <w:t> </w:t>
      </w:r>
      <w:r>
        <w:rPr>
          <w:sz w:val="28"/>
        </w:rPr>
        <w:t>dhe</w:t>
      </w:r>
      <w:r>
        <w:rPr>
          <w:spacing w:val="-4"/>
          <w:sz w:val="28"/>
        </w:rPr>
        <w:t> </w:t>
      </w:r>
      <w:r>
        <w:rPr>
          <w:sz w:val="28"/>
        </w:rPr>
        <w:t>janë</w:t>
      </w:r>
      <w:r>
        <w:rPr>
          <w:spacing w:val="-4"/>
          <w:sz w:val="28"/>
        </w:rPr>
        <w:t> </w:t>
      </w:r>
      <w:r>
        <w:rPr>
          <w:sz w:val="28"/>
        </w:rPr>
        <w:t>caktuar kujdestarët e klasave.</w:t>
      </w:r>
    </w:p>
    <w:p>
      <w:pPr>
        <w:spacing w:line="240" w:lineRule="auto" w:before="0"/>
        <w:ind w:left="540" w:right="0" w:firstLine="0"/>
        <w:jc w:val="left"/>
        <w:rPr>
          <w:sz w:val="28"/>
        </w:rPr>
      </w:pPr>
      <w:r>
        <w:rPr>
          <w:sz w:val="28"/>
        </w:rPr>
        <w:t>Në</w:t>
      </w:r>
      <w:r>
        <w:rPr>
          <w:spacing w:val="-3"/>
          <w:sz w:val="28"/>
        </w:rPr>
        <w:t> </w:t>
      </w:r>
      <w:r>
        <w:rPr>
          <w:sz w:val="28"/>
        </w:rPr>
        <w:t>kët</w:t>
      </w:r>
      <w:r>
        <w:rPr>
          <w:spacing w:val="-6"/>
          <w:sz w:val="28"/>
        </w:rPr>
        <w:t> </w:t>
      </w:r>
      <w:r>
        <w:rPr>
          <w:sz w:val="28"/>
        </w:rPr>
        <w:t>vit</w:t>
      </w:r>
      <w:r>
        <w:rPr>
          <w:spacing w:val="-2"/>
          <w:sz w:val="28"/>
        </w:rPr>
        <w:t> </w:t>
      </w:r>
      <w:r>
        <w:rPr>
          <w:sz w:val="28"/>
        </w:rPr>
        <w:t>shkollor,</w:t>
      </w:r>
      <w:r>
        <w:rPr>
          <w:spacing w:val="-7"/>
          <w:sz w:val="28"/>
        </w:rPr>
        <w:t> </w:t>
      </w:r>
      <w:r>
        <w:rPr>
          <w:sz w:val="28"/>
        </w:rPr>
        <w:t>në</w:t>
      </w:r>
      <w:r>
        <w:rPr>
          <w:spacing w:val="-3"/>
          <w:sz w:val="28"/>
        </w:rPr>
        <w:t> </w:t>
      </w:r>
      <w:r>
        <w:rPr>
          <w:sz w:val="28"/>
        </w:rPr>
        <w:t>shkollën</w:t>
      </w:r>
      <w:r>
        <w:rPr>
          <w:spacing w:val="-2"/>
          <w:sz w:val="28"/>
        </w:rPr>
        <w:t> </w:t>
      </w:r>
      <w:r>
        <w:rPr>
          <w:sz w:val="28"/>
        </w:rPr>
        <w:t>tonë</w:t>
      </w:r>
      <w:r>
        <w:rPr>
          <w:spacing w:val="-3"/>
          <w:sz w:val="28"/>
        </w:rPr>
        <w:t> </w:t>
      </w:r>
      <w:r>
        <w:rPr>
          <w:sz w:val="28"/>
        </w:rPr>
        <w:t>amë,</w:t>
      </w:r>
      <w:r>
        <w:rPr>
          <w:spacing w:val="-2"/>
          <w:sz w:val="28"/>
        </w:rPr>
        <w:t> </w:t>
      </w:r>
      <w:r>
        <w:rPr>
          <w:sz w:val="28"/>
        </w:rPr>
        <w:t>mësimin</w:t>
      </w:r>
      <w:r>
        <w:rPr>
          <w:spacing w:val="-2"/>
          <w:sz w:val="28"/>
        </w:rPr>
        <w:t> </w:t>
      </w:r>
      <w:r>
        <w:rPr>
          <w:sz w:val="28"/>
        </w:rPr>
        <w:t>do</w:t>
      </w:r>
      <w:r>
        <w:rPr>
          <w:spacing w:val="-5"/>
          <w:sz w:val="28"/>
        </w:rPr>
        <w:t> </w:t>
      </w:r>
      <w:r>
        <w:rPr>
          <w:sz w:val="28"/>
        </w:rPr>
        <w:t>të</w:t>
      </w:r>
      <w:r>
        <w:rPr>
          <w:spacing w:val="-3"/>
          <w:sz w:val="28"/>
        </w:rPr>
        <w:t> </w:t>
      </w:r>
      <w:r>
        <w:rPr>
          <w:sz w:val="28"/>
        </w:rPr>
        <w:t>ndjekin</w:t>
      </w:r>
      <w:r>
        <w:rPr>
          <w:spacing w:val="-2"/>
          <w:sz w:val="28"/>
        </w:rPr>
        <w:t> </w:t>
      </w:r>
      <w:r>
        <w:rPr>
          <w:sz w:val="28"/>
        </w:rPr>
        <w:t>tri</w:t>
      </w:r>
      <w:r>
        <w:rPr>
          <w:spacing w:val="-2"/>
          <w:sz w:val="28"/>
        </w:rPr>
        <w:t> </w:t>
      </w:r>
      <w:r>
        <w:rPr>
          <w:sz w:val="28"/>
        </w:rPr>
        <w:t>paralele</w:t>
      </w:r>
      <w:r>
        <w:rPr>
          <w:spacing w:val="-6"/>
          <w:sz w:val="28"/>
        </w:rPr>
        <w:t> </w:t>
      </w:r>
      <w:r>
        <w:rPr>
          <w:sz w:val="28"/>
        </w:rPr>
        <w:t>të</w:t>
      </w:r>
      <w:r>
        <w:rPr>
          <w:spacing w:val="-6"/>
          <w:sz w:val="28"/>
        </w:rPr>
        <w:t> </w:t>
      </w:r>
      <w:r>
        <w:rPr>
          <w:sz w:val="28"/>
        </w:rPr>
        <w:t>klasës pëgatitore,nga katër paralele të klasave 1-5,si dhe nga katër paralele të klasave 6-9.</w:t>
      </w:r>
    </w:p>
    <w:p>
      <w:pPr>
        <w:spacing w:before="0"/>
        <w:ind w:left="540" w:right="1226" w:firstLine="0"/>
        <w:jc w:val="left"/>
        <w:rPr>
          <w:sz w:val="28"/>
        </w:rPr>
      </w:pPr>
      <w:r>
        <w:rPr>
          <w:sz w:val="28"/>
        </w:rPr>
        <w:t>Në</w:t>
      </w:r>
      <w:r>
        <w:rPr>
          <w:spacing w:val="-2"/>
          <w:sz w:val="28"/>
        </w:rPr>
        <w:t> </w:t>
      </w:r>
      <w:r>
        <w:rPr>
          <w:sz w:val="28"/>
        </w:rPr>
        <w:t>paralelen</w:t>
      </w:r>
      <w:r>
        <w:rPr>
          <w:spacing w:val="-1"/>
          <w:sz w:val="28"/>
        </w:rPr>
        <w:t> </w:t>
      </w:r>
      <w:r>
        <w:rPr>
          <w:sz w:val="28"/>
        </w:rPr>
        <w:t>e</w:t>
      </w:r>
      <w:r>
        <w:rPr>
          <w:spacing w:val="-6"/>
          <w:sz w:val="28"/>
        </w:rPr>
        <w:t> </w:t>
      </w:r>
      <w:r>
        <w:rPr>
          <w:sz w:val="28"/>
        </w:rPr>
        <w:t>ndarë</w:t>
      </w:r>
      <w:r>
        <w:rPr>
          <w:spacing w:val="-5"/>
          <w:sz w:val="28"/>
        </w:rPr>
        <w:t> </w:t>
      </w:r>
      <w:r>
        <w:rPr>
          <w:sz w:val="28"/>
        </w:rPr>
        <w:t>fizike</w:t>
      </w:r>
      <w:r>
        <w:rPr>
          <w:spacing w:val="-5"/>
          <w:sz w:val="28"/>
        </w:rPr>
        <w:t> </w:t>
      </w:r>
      <w:r>
        <w:rPr>
          <w:sz w:val="28"/>
        </w:rPr>
        <w:t>në</w:t>
      </w:r>
      <w:r>
        <w:rPr>
          <w:spacing w:val="-2"/>
          <w:sz w:val="28"/>
        </w:rPr>
        <w:t> </w:t>
      </w:r>
      <w:r>
        <w:rPr>
          <w:sz w:val="28"/>
        </w:rPr>
        <w:t>Seçishtë</w:t>
      </w:r>
      <w:r>
        <w:rPr>
          <w:spacing w:val="-2"/>
          <w:sz w:val="28"/>
        </w:rPr>
        <w:t> </w:t>
      </w:r>
      <w:r>
        <w:rPr>
          <w:sz w:val="28"/>
        </w:rPr>
        <w:t>mësimin</w:t>
      </w:r>
      <w:r>
        <w:rPr>
          <w:spacing w:val="-1"/>
          <w:sz w:val="28"/>
        </w:rPr>
        <w:t> </w:t>
      </w:r>
      <w:r>
        <w:rPr>
          <w:sz w:val="28"/>
        </w:rPr>
        <w:t>do</w:t>
      </w:r>
      <w:r>
        <w:rPr>
          <w:spacing w:val="-1"/>
          <w:sz w:val="28"/>
        </w:rPr>
        <w:t> </w:t>
      </w:r>
      <w:r>
        <w:rPr>
          <w:sz w:val="28"/>
        </w:rPr>
        <w:t>të</w:t>
      </w:r>
      <w:r>
        <w:rPr>
          <w:spacing w:val="-4"/>
          <w:sz w:val="28"/>
        </w:rPr>
        <w:t> </w:t>
      </w:r>
      <w:r>
        <w:rPr>
          <w:sz w:val="28"/>
        </w:rPr>
        <w:t>ndjekin</w:t>
      </w:r>
      <w:r>
        <w:rPr>
          <w:spacing w:val="-5"/>
          <w:sz w:val="28"/>
        </w:rPr>
        <w:t> </w:t>
      </w:r>
      <w:r>
        <w:rPr>
          <w:sz w:val="28"/>
        </w:rPr>
        <w:t>nga</w:t>
      </w:r>
      <w:r>
        <w:rPr>
          <w:spacing w:val="-2"/>
          <w:sz w:val="28"/>
        </w:rPr>
        <w:t> </w:t>
      </w:r>
      <w:r>
        <w:rPr>
          <w:sz w:val="28"/>
        </w:rPr>
        <w:t>një</w:t>
      </w:r>
      <w:r>
        <w:rPr>
          <w:spacing w:val="-6"/>
          <w:sz w:val="28"/>
        </w:rPr>
        <w:t> </w:t>
      </w:r>
      <w:r>
        <w:rPr>
          <w:sz w:val="28"/>
        </w:rPr>
        <w:t>paralele,klasa përgatitore dhe klasët 1-5.</w:t>
      </w:r>
    </w:p>
    <w:p>
      <w:pPr>
        <w:pStyle w:val="BodyText"/>
        <w:spacing w:before="4"/>
        <w:rPr>
          <w:sz w:val="27"/>
        </w:rPr>
      </w:pPr>
    </w:p>
    <w:p>
      <w:pPr>
        <w:spacing w:line="240" w:lineRule="auto" w:before="0"/>
        <w:ind w:left="540" w:right="1226" w:firstLine="0"/>
        <w:jc w:val="left"/>
        <w:rPr>
          <w:sz w:val="28"/>
        </w:rPr>
      </w:pPr>
      <w:r>
        <w:rPr>
          <w:sz w:val="28"/>
        </w:rPr>
        <w:t>Përgatitjet janë bërë që mësimi të fillon sipas kalendarit shkollor më 01.09.2022,por shkaku</w:t>
      </w:r>
      <w:r>
        <w:rPr>
          <w:spacing w:val="-7"/>
          <w:sz w:val="28"/>
        </w:rPr>
        <w:t> </w:t>
      </w:r>
      <w:r>
        <w:rPr>
          <w:sz w:val="28"/>
        </w:rPr>
        <w:t>i</w:t>
      </w:r>
      <w:r>
        <w:rPr>
          <w:spacing w:val="-2"/>
          <w:sz w:val="28"/>
        </w:rPr>
        <w:t> </w:t>
      </w:r>
      <w:r>
        <w:rPr>
          <w:sz w:val="28"/>
        </w:rPr>
        <w:t>disa</w:t>
      </w:r>
      <w:r>
        <w:rPr>
          <w:spacing w:val="-4"/>
          <w:sz w:val="28"/>
        </w:rPr>
        <w:t> </w:t>
      </w:r>
      <w:r>
        <w:rPr>
          <w:sz w:val="28"/>
        </w:rPr>
        <w:t>punimeve</w:t>
      </w:r>
      <w:r>
        <w:rPr>
          <w:spacing w:val="-4"/>
          <w:sz w:val="28"/>
        </w:rPr>
        <w:t> </w:t>
      </w:r>
      <w:r>
        <w:rPr>
          <w:sz w:val="28"/>
        </w:rPr>
        <w:t>në</w:t>
      </w:r>
      <w:r>
        <w:rPr>
          <w:spacing w:val="-4"/>
          <w:sz w:val="28"/>
        </w:rPr>
        <w:t> </w:t>
      </w:r>
      <w:r>
        <w:rPr>
          <w:sz w:val="28"/>
        </w:rPr>
        <w:t>shkollën</w:t>
      </w:r>
      <w:r>
        <w:rPr>
          <w:spacing w:val="-3"/>
          <w:sz w:val="28"/>
        </w:rPr>
        <w:t> </w:t>
      </w:r>
      <w:r>
        <w:rPr>
          <w:sz w:val="28"/>
        </w:rPr>
        <w:t>amë</w:t>
      </w:r>
      <w:r>
        <w:rPr>
          <w:spacing w:val="-3"/>
          <w:sz w:val="28"/>
        </w:rPr>
        <w:t> </w:t>
      </w:r>
      <w:r>
        <w:rPr>
          <w:sz w:val="28"/>
        </w:rPr>
        <w:t>mësimi</w:t>
      </w:r>
      <w:r>
        <w:rPr>
          <w:spacing w:val="-3"/>
          <w:sz w:val="28"/>
        </w:rPr>
        <w:t> </w:t>
      </w:r>
      <w:r>
        <w:rPr>
          <w:sz w:val="28"/>
        </w:rPr>
        <w:t>ka</w:t>
      </w:r>
      <w:r>
        <w:rPr>
          <w:spacing w:val="-4"/>
          <w:sz w:val="28"/>
        </w:rPr>
        <w:t> </w:t>
      </w:r>
      <w:r>
        <w:rPr>
          <w:sz w:val="28"/>
        </w:rPr>
        <w:t>filluar</w:t>
      </w:r>
      <w:r>
        <w:rPr>
          <w:spacing w:val="-4"/>
          <w:sz w:val="28"/>
        </w:rPr>
        <w:t> </w:t>
      </w:r>
      <w:r>
        <w:rPr>
          <w:sz w:val="28"/>
        </w:rPr>
        <w:t>më</w:t>
      </w:r>
      <w:r>
        <w:rPr>
          <w:spacing w:val="-4"/>
          <w:sz w:val="28"/>
        </w:rPr>
        <w:t> </w:t>
      </w:r>
      <w:r>
        <w:rPr>
          <w:sz w:val="28"/>
        </w:rPr>
        <w:t>datën</w:t>
      </w:r>
      <w:r>
        <w:rPr>
          <w:spacing w:val="-6"/>
          <w:sz w:val="28"/>
        </w:rPr>
        <w:t> </w:t>
      </w:r>
      <w:r>
        <w:rPr>
          <w:sz w:val="28"/>
        </w:rPr>
        <w:t>04.09.2023,kurse paralelja e ndarë fizike në Seçishtë ka filluar mësimin sipas kalendarit shkollor.</w:t>
      </w:r>
    </w:p>
    <w:p>
      <w:pPr>
        <w:spacing w:before="1"/>
        <w:ind w:left="540" w:right="1226" w:firstLine="0"/>
        <w:jc w:val="left"/>
        <w:rPr>
          <w:sz w:val="28"/>
        </w:rPr>
      </w:pPr>
      <w:r>
        <w:rPr>
          <w:sz w:val="28"/>
        </w:rPr>
        <w:t>Punimet</w:t>
      </w:r>
      <w:r>
        <w:rPr>
          <w:spacing w:val="-2"/>
          <w:sz w:val="28"/>
        </w:rPr>
        <w:t> </w:t>
      </w:r>
      <w:r>
        <w:rPr>
          <w:sz w:val="28"/>
        </w:rPr>
        <w:t>në</w:t>
      </w:r>
      <w:r>
        <w:rPr>
          <w:spacing w:val="-3"/>
          <w:sz w:val="28"/>
        </w:rPr>
        <w:t> </w:t>
      </w:r>
      <w:r>
        <w:rPr>
          <w:sz w:val="28"/>
        </w:rPr>
        <w:t>shkollën</w:t>
      </w:r>
      <w:r>
        <w:rPr>
          <w:spacing w:val="-5"/>
          <w:sz w:val="28"/>
        </w:rPr>
        <w:t> </w:t>
      </w:r>
      <w:r>
        <w:rPr>
          <w:sz w:val="28"/>
        </w:rPr>
        <w:t>amë</w:t>
      </w:r>
      <w:r>
        <w:rPr>
          <w:spacing w:val="-3"/>
          <w:sz w:val="28"/>
        </w:rPr>
        <w:t> </w:t>
      </w:r>
      <w:r>
        <w:rPr>
          <w:sz w:val="28"/>
        </w:rPr>
        <w:t>ende</w:t>
      </w:r>
      <w:r>
        <w:rPr>
          <w:spacing w:val="-6"/>
          <w:sz w:val="28"/>
        </w:rPr>
        <w:t> </w:t>
      </w:r>
      <w:r>
        <w:rPr>
          <w:sz w:val="28"/>
        </w:rPr>
        <w:t>nuk</w:t>
      </w:r>
      <w:r>
        <w:rPr>
          <w:spacing w:val="-6"/>
          <w:sz w:val="28"/>
        </w:rPr>
        <w:t> </w:t>
      </w:r>
      <w:r>
        <w:rPr>
          <w:sz w:val="28"/>
        </w:rPr>
        <w:t>kanë</w:t>
      </w:r>
      <w:r>
        <w:rPr>
          <w:spacing w:val="-3"/>
          <w:sz w:val="28"/>
        </w:rPr>
        <w:t> </w:t>
      </w:r>
      <w:r>
        <w:rPr>
          <w:sz w:val="28"/>
        </w:rPr>
        <w:t>përfunduar</w:t>
      </w:r>
      <w:r>
        <w:rPr>
          <w:spacing w:val="-3"/>
          <w:sz w:val="28"/>
        </w:rPr>
        <w:t> </w:t>
      </w:r>
      <w:r>
        <w:rPr>
          <w:sz w:val="28"/>
        </w:rPr>
        <w:t>por</w:t>
      </w:r>
      <w:r>
        <w:rPr>
          <w:spacing w:val="-3"/>
          <w:sz w:val="28"/>
        </w:rPr>
        <w:t> </w:t>
      </w:r>
      <w:r>
        <w:rPr>
          <w:sz w:val="28"/>
        </w:rPr>
        <w:t>janë</w:t>
      </w:r>
      <w:r>
        <w:rPr>
          <w:spacing w:val="-6"/>
          <w:sz w:val="28"/>
        </w:rPr>
        <w:t> </w:t>
      </w:r>
      <w:r>
        <w:rPr>
          <w:sz w:val="28"/>
        </w:rPr>
        <w:t>bërë</w:t>
      </w:r>
      <w:r>
        <w:rPr>
          <w:spacing w:val="-3"/>
          <w:sz w:val="28"/>
        </w:rPr>
        <w:t> </w:t>
      </w:r>
      <w:r>
        <w:rPr>
          <w:sz w:val="28"/>
        </w:rPr>
        <w:t>sanimet</w:t>
      </w:r>
      <w:r>
        <w:rPr>
          <w:spacing w:val="-2"/>
          <w:sz w:val="28"/>
        </w:rPr>
        <w:t> </w:t>
      </w:r>
      <w:r>
        <w:rPr>
          <w:sz w:val="28"/>
        </w:rPr>
        <w:t>e</w:t>
      </w:r>
      <w:r>
        <w:rPr>
          <w:spacing w:val="-4"/>
          <w:sz w:val="28"/>
        </w:rPr>
        <w:t> </w:t>
      </w:r>
      <w:r>
        <w:rPr>
          <w:sz w:val="28"/>
        </w:rPr>
        <w:t>duhura</w:t>
      </w:r>
      <w:r>
        <w:rPr>
          <w:spacing w:val="-6"/>
          <w:sz w:val="28"/>
        </w:rPr>
        <w:t> </w:t>
      </w:r>
      <w:r>
        <w:rPr>
          <w:sz w:val="28"/>
        </w:rPr>
        <w:t>që procesi mësimor të zhvillohet pa pengesa.</w:t>
      </w:r>
    </w:p>
    <w:p>
      <w:pPr>
        <w:pStyle w:val="BodyText"/>
        <w:rPr>
          <w:sz w:val="30"/>
        </w:rPr>
      </w:pPr>
    </w:p>
    <w:p>
      <w:pPr>
        <w:pStyle w:val="BodyText"/>
        <w:rPr>
          <w:sz w:val="30"/>
        </w:rPr>
      </w:pPr>
    </w:p>
    <w:p>
      <w:pPr>
        <w:pStyle w:val="ListParagraph"/>
        <w:numPr>
          <w:ilvl w:val="1"/>
          <w:numId w:val="2"/>
        </w:numPr>
        <w:tabs>
          <w:tab w:pos="1981" w:val="left" w:leader="none"/>
        </w:tabs>
        <w:spacing w:line="240" w:lineRule="auto" w:before="230" w:after="0"/>
        <w:ind w:left="1980" w:right="0" w:hanging="181"/>
        <w:jc w:val="left"/>
        <w:rPr>
          <w:rFonts w:ascii="Symbol" w:hAnsi="Symbol"/>
          <w:sz w:val="28"/>
        </w:rPr>
      </w:pPr>
      <w:r>
        <w:rPr>
          <w:sz w:val="28"/>
        </w:rPr>
        <w:t>Numri</w:t>
      </w:r>
      <w:r>
        <w:rPr>
          <w:spacing w:val="-3"/>
          <w:sz w:val="28"/>
        </w:rPr>
        <w:t> </w:t>
      </w:r>
      <w:r>
        <w:rPr>
          <w:sz w:val="28"/>
        </w:rPr>
        <w:t>i</w:t>
      </w:r>
      <w:r>
        <w:rPr>
          <w:spacing w:val="-2"/>
          <w:sz w:val="28"/>
        </w:rPr>
        <w:t> </w:t>
      </w:r>
      <w:r>
        <w:rPr>
          <w:sz w:val="28"/>
        </w:rPr>
        <w:t>nxënësve</w:t>
      </w:r>
      <w:r>
        <w:rPr>
          <w:spacing w:val="-3"/>
          <w:sz w:val="28"/>
        </w:rPr>
        <w:t> </w:t>
      </w:r>
      <w:r>
        <w:rPr>
          <w:sz w:val="28"/>
        </w:rPr>
        <w:t>Parafillor</w:t>
      </w:r>
      <w:r>
        <w:rPr>
          <w:spacing w:val="-4"/>
          <w:sz w:val="28"/>
        </w:rPr>
        <w:t> </w:t>
      </w:r>
      <w:r>
        <w:rPr>
          <w:sz w:val="28"/>
        </w:rPr>
        <w:t>është</w:t>
      </w:r>
      <w:r>
        <w:rPr>
          <w:spacing w:val="63"/>
          <w:sz w:val="28"/>
        </w:rPr>
        <w:t> </w:t>
      </w:r>
      <w:r>
        <w:rPr>
          <w:sz w:val="28"/>
        </w:rPr>
        <w:t>83</w:t>
      </w:r>
      <w:r>
        <w:rPr>
          <w:spacing w:val="-2"/>
          <w:sz w:val="28"/>
        </w:rPr>
        <w:t> </w:t>
      </w:r>
      <w:r>
        <w:rPr>
          <w:sz w:val="28"/>
        </w:rPr>
        <w:t>nxënës</w:t>
      </w:r>
      <w:r>
        <w:rPr>
          <w:spacing w:val="-3"/>
          <w:sz w:val="28"/>
        </w:rPr>
        <w:t> </w:t>
      </w:r>
      <w:r>
        <w:rPr>
          <w:sz w:val="28"/>
        </w:rPr>
        <w:t>48</w:t>
      </w:r>
      <w:r>
        <w:rPr>
          <w:spacing w:val="-2"/>
          <w:sz w:val="28"/>
        </w:rPr>
        <w:t> </w:t>
      </w:r>
      <w:r>
        <w:rPr>
          <w:sz w:val="28"/>
        </w:rPr>
        <w:t>M</w:t>
      </w:r>
      <w:r>
        <w:rPr>
          <w:spacing w:val="-7"/>
          <w:sz w:val="28"/>
        </w:rPr>
        <w:t> </w:t>
      </w:r>
      <w:r>
        <w:rPr>
          <w:sz w:val="28"/>
        </w:rPr>
        <w:t>dhe</w:t>
      </w:r>
      <w:r>
        <w:rPr>
          <w:spacing w:val="-6"/>
          <w:sz w:val="28"/>
        </w:rPr>
        <w:t> </w:t>
      </w:r>
      <w:r>
        <w:rPr>
          <w:sz w:val="28"/>
        </w:rPr>
        <w:t>35</w:t>
      </w:r>
      <w:r>
        <w:rPr>
          <w:spacing w:val="3"/>
          <w:sz w:val="28"/>
        </w:rPr>
        <w:t> </w:t>
      </w:r>
      <w:r>
        <w:rPr>
          <w:spacing w:val="-5"/>
          <w:sz w:val="28"/>
        </w:rPr>
        <w:t>F.</w:t>
      </w:r>
    </w:p>
    <w:p>
      <w:pPr>
        <w:pStyle w:val="ListParagraph"/>
        <w:numPr>
          <w:ilvl w:val="1"/>
          <w:numId w:val="2"/>
        </w:numPr>
        <w:tabs>
          <w:tab w:pos="1981" w:val="left" w:leader="none"/>
          <w:tab w:pos="5955" w:val="left" w:leader="none"/>
        </w:tabs>
        <w:spacing w:line="342" w:lineRule="exact" w:before="1" w:after="0"/>
        <w:ind w:left="1980" w:right="0" w:hanging="181"/>
        <w:jc w:val="left"/>
        <w:rPr>
          <w:rFonts w:ascii="Symbol" w:hAnsi="Symbol"/>
          <w:sz w:val="28"/>
        </w:rPr>
      </w:pPr>
      <w:r>
        <w:rPr>
          <w:sz w:val="28"/>
        </w:rPr>
        <w:t>Numri</w:t>
      </w:r>
      <w:r>
        <w:rPr>
          <w:spacing w:val="-2"/>
          <w:sz w:val="28"/>
        </w:rPr>
        <w:t> </w:t>
      </w:r>
      <w:r>
        <w:rPr>
          <w:sz w:val="28"/>
        </w:rPr>
        <w:t>i</w:t>
      </w:r>
      <w:r>
        <w:rPr>
          <w:spacing w:val="-3"/>
          <w:sz w:val="28"/>
        </w:rPr>
        <w:t> </w:t>
      </w:r>
      <w:r>
        <w:rPr>
          <w:sz w:val="28"/>
        </w:rPr>
        <w:t>nxënësve</w:t>
      </w:r>
      <w:r>
        <w:rPr>
          <w:spacing w:val="-3"/>
          <w:sz w:val="28"/>
        </w:rPr>
        <w:t> </w:t>
      </w:r>
      <w:r>
        <w:rPr>
          <w:sz w:val="28"/>
        </w:rPr>
        <w:t>nga</w:t>
      </w:r>
      <w:r>
        <w:rPr>
          <w:spacing w:val="-2"/>
          <w:sz w:val="28"/>
        </w:rPr>
        <w:t> </w:t>
      </w:r>
      <w:r>
        <w:rPr>
          <w:sz w:val="28"/>
        </w:rPr>
        <w:t>klasa</w:t>
      </w:r>
      <w:r>
        <w:rPr>
          <w:spacing w:val="-3"/>
          <w:sz w:val="28"/>
        </w:rPr>
        <w:t> </w:t>
      </w:r>
      <w:r>
        <w:rPr>
          <w:sz w:val="28"/>
        </w:rPr>
        <w:t>e</w:t>
      </w:r>
      <w:r>
        <w:rPr>
          <w:spacing w:val="-3"/>
          <w:sz w:val="28"/>
        </w:rPr>
        <w:t> </w:t>
      </w:r>
      <w:r>
        <w:rPr>
          <w:sz w:val="28"/>
        </w:rPr>
        <w:t>I-</w:t>
      </w:r>
      <w:r>
        <w:rPr>
          <w:spacing w:val="-10"/>
          <w:sz w:val="28"/>
        </w:rPr>
        <w:t>V</w:t>
      </w:r>
      <w:r>
        <w:rPr>
          <w:sz w:val="28"/>
        </w:rPr>
        <w:tab/>
        <w:t>janë</w:t>
      </w:r>
      <w:r>
        <w:rPr>
          <w:spacing w:val="-5"/>
          <w:sz w:val="28"/>
        </w:rPr>
        <w:t> </w:t>
      </w:r>
      <w:r>
        <w:rPr>
          <w:sz w:val="28"/>
        </w:rPr>
        <w:t>517</w:t>
      </w:r>
      <w:r>
        <w:rPr>
          <w:spacing w:val="66"/>
          <w:sz w:val="28"/>
        </w:rPr>
        <w:t> </w:t>
      </w:r>
      <w:r>
        <w:rPr>
          <w:sz w:val="28"/>
        </w:rPr>
        <w:t>nxënës</w:t>
      </w:r>
      <w:r>
        <w:rPr>
          <w:spacing w:val="-3"/>
          <w:sz w:val="28"/>
        </w:rPr>
        <w:t> </w:t>
      </w:r>
      <w:r>
        <w:rPr>
          <w:sz w:val="28"/>
        </w:rPr>
        <w:t>264</w:t>
      </w:r>
      <w:r>
        <w:rPr>
          <w:spacing w:val="-1"/>
          <w:sz w:val="28"/>
        </w:rPr>
        <w:t> </w:t>
      </w:r>
      <w:r>
        <w:rPr>
          <w:sz w:val="28"/>
        </w:rPr>
        <w:t>M</w:t>
      </w:r>
      <w:r>
        <w:rPr>
          <w:spacing w:val="-6"/>
          <w:sz w:val="28"/>
        </w:rPr>
        <w:t> </w:t>
      </w:r>
      <w:r>
        <w:rPr>
          <w:sz w:val="28"/>
        </w:rPr>
        <w:t>dhe</w:t>
      </w:r>
      <w:r>
        <w:rPr>
          <w:spacing w:val="-2"/>
          <w:sz w:val="28"/>
        </w:rPr>
        <w:t> </w:t>
      </w:r>
      <w:r>
        <w:rPr>
          <w:sz w:val="28"/>
        </w:rPr>
        <w:t>253</w:t>
      </w:r>
      <w:r>
        <w:rPr>
          <w:spacing w:val="1"/>
          <w:sz w:val="28"/>
        </w:rPr>
        <w:t> </w:t>
      </w:r>
      <w:r>
        <w:rPr>
          <w:spacing w:val="-5"/>
          <w:sz w:val="28"/>
        </w:rPr>
        <w:t>F.</w:t>
      </w:r>
    </w:p>
    <w:p>
      <w:pPr>
        <w:pStyle w:val="ListParagraph"/>
        <w:numPr>
          <w:ilvl w:val="1"/>
          <w:numId w:val="2"/>
        </w:numPr>
        <w:tabs>
          <w:tab w:pos="1981" w:val="left" w:leader="none"/>
        </w:tabs>
        <w:spacing w:line="342" w:lineRule="exact" w:before="0" w:after="0"/>
        <w:ind w:left="1980" w:right="0" w:hanging="181"/>
        <w:jc w:val="left"/>
        <w:rPr>
          <w:rFonts w:ascii="Symbol" w:hAnsi="Symbol"/>
          <w:sz w:val="28"/>
        </w:rPr>
      </w:pPr>
      <w:r>
        <w:rPr>
          <w:sz w:val="28"/>
        </w:rPr>
        <w:t>Numri</w:t>
      </w:r>
      <w:r>
        <w:rPr>
          <w:spacing w:val="-2"/>
          <w:sz w:val="28"/>
        </w:rPr>
        <w:t> </w:t>
      </w:r>
      <w:r>
        <w:rPr>
          <w:sz w:val="28"/>
        </w:rPr>
        <w:t>i</w:t>
      </w:r>
      <w:r>
        <w:rPr>
          <w:spacing w:val="-3"/>
          <w:sz w:val="28"/>
        </w:rPr>
        <w:t> </w:t>
      </w:r>
      <w:r>
        <w:rPr>
          <w:sz w:val="28"/>
        </w:rPr>
        <w:t>nxënësve</w:t>
      </w:r>
      <w:r>
        <w:rPr>
          <w:spacing w:val="-2"/>
          <w:sz w:val="28"/>
        </w:rPr>
        <w:t> </w:t>
      </w:r>
      <w:r>
        <w:rPr>
          <w:sz w:val="28"/>
        </w:rPr>
        <w:t>nga</w:t>
      </w:r>
      <w:r>
        <w:rPr>
          <w:spacing w:val="-3"/>
          <w:sz w:val="28"/>
        </w:rPr>
        <w:t> </w:t>
      </w:r>
      <w:r>
        <w:rPr>
          <w:sz w:val="28"/>
        </w:rPr>
        <w:t>klasa</w:t>
      </w:r>
      <w:r>
        <w:rPr>
          <w:spacing w:val="-2"/>
          <w:sz w:val="28"/>
        </w:rPr>
        <w:t> </w:t>
      </w:r>
      <w:r>
        <w:rPr>
          <w:sz w:val="28"/>
        </w:rPr>
        <w:t>e</w:t>
      </w:r>
      <w:r>
        <w:rPr>
          <w:spacing w:val="-4"/>
          <w:sz w:val="28"/>
        </w:rPr>
        <w:t> </w:t>
      </w:r>
      <w:r>
        <w:rPr>
          <w:sz w:val="28"/>
        </w:rPr>
        <w:t>VI-IX</w:t>
      </w:r>
      <w:r>
        <w:rPr>
          <w:spacing w:val="-3"/>
          <w:sz w:val="28"/>
        </w:rPr>
        <w:t> </w:t>
      </w:r>
      <w:r>
        <w:rPr>
          <w:sz w:val="28"/>
        </w:rPr>
        <w:t>janë</w:t>
      </w:r>
      <w:r>
        <w:rPr>
          <w:spacing w:val="-3"/>
          <w:sz w:val="28"/>
        </w:rPr>
        <w:t> </w:t>
      </w:r>
      <w:r>
        <w:rPr>
          <w:sz w:val="28"/>
        </w:rPr>
        <w:t>424</w:t>
      </w:r>
      <w:r>
        <w:rPr>
          <w:spacing w:val="65"/>
          <w:sz w:val="28"/>
        </w:rPr>
        <w:t> </w:t>
      </w:r>
      <w:r>
        <w:rPr>
          <w:sz w:val="28"/>
        </w:rPr>
        <w:t>nxënës</w:t>
      </w:r>
      <w:r>
        <w:rPr>
          <w:spacing w:val="-1"/>
          <w:sz w:val="28"/>
        </w:rPr>
        <w:t> </w:t>
      </w:r>
      <w:r>
        <w:rPr>
          <w:sz w:val="28"/>
        </w:rPr>
        <w:t>225</w:t>
      </w:r>
      <w:r>
        <w:rPr>
          <w:spacing w:val="-6"/>
          <w:sz w:val="28"/>
        </w:rPr>
        <w:t> </w:t>
      </w:r>
      <w:r>
        <w:rPr>
          <w:sz w:val="28"/>
        </w:rPr>
        <w:t>M</w:t>
      </w:r>
      <w:r>
        <w:rPr>
          <w:spacing w:val="-2"/>
          <w:sz w:val="28"/>
        </w:rPr>
        <w:t> </w:t>
      </w:r>
      <w:r>
        <w:rPr>
          <w:sz w:val="28"/>
        </w:rPr>
        <w:t>dhe</w:t>
      </w:r>
      <w:r>
        <w:rPr>
          <w:spacing w:val="-3"/>
          <w:sz w:val="28"/>
        </w:rPr>
        <w:t> </w:t>
      </w:r>
      <w:r>
        <w:rPr>
          <w:sz w:val="28"/>
        </w:rPr>
        <w:t>199</w:t>
      </w:r>
      <w:r>
        <w:rPr>
          <w:spacing w:val="2"/>
          <w:sz w:val="28"/>
        </w:rPr>
        <w:t> </w:t>
      </w:r>
      <w:r>
        <w:rPr>
          <w:spacing w:val="-5"/>
          <w:sz w:val="28"/>
        </w:rPr>
        <w:t>F.</w:t>
      </w:r>
    </w:p>
    <w:p>
      <w:pPr>
        <w:pStyle w:val="ListParagraph"/>
        <w:numPr>
          <w:ilvl w:val="1"/>
          <w:numId w:val="2"/>
        </w:numPr>
        <w:tabs>
          <w:tab w:pos="1981" w:val="left" w:leader="none"/>
        </w:tabs>
        <w:spacing w:line="240" w:lineRule="auto" w:before="0" w:after="0"/>
        <w:ind w:left="1980" w:right="1812" w:hanging="180"/>
        <w:jc w:val="left"/>
        <w:rPr>
          <w:rFonts w:ascii="Symbol" w:hAnsi="Symbol"/>
          <w:sz w:val="28"/>
        </w:rPr>
      </w:pPr>
      <w:r>
        <w:rPr>
          <w:sz w:val="28"/>
        </w:rPr>
        <w:t>Numri</w:t>
      </w:r>
      <w:r>
        <w:rPr>
          <w:spacing w:val="-2"/>
          <w:sz w:val="28"/>
        </w:rPr>
        <w:t> </w:t>
      </w:r>
      <w:r>
        <w:rPr>
          <w:sz w:val="28"/>
        </w:rPr>
        <w:t>i</w:t>
      </w:r>
      <w:r>
        <w:rPr>
          <w:spacing w:val="-3"/>
          <w:sz w:val="28"/>
        </w:rPr>
        <w:t> </w:t>
      </w:r>
      <w:r>
        <w:rPr>
          <w:sz w:val="28"/>
        </w:rPr>
        <w:t>nxënësve</w:t>
      </w:r>
      <w:r>
        <w:rPr>
          <w:spacing w:val="-3"/>
          <w:sz w:val="28"/>
        </w:rPr>
        <w:t> </w:t>
      </w:r>
      <w:r>
        <w:rPr>
          <w:sz w:val="28"/>
        </w:rPr>
        <w:t>nga</w:t>
      </w:r>
      <w:r>
        <w:rPr>
          <w:spacing w:val="-3"/>
          <w:sz w:val="28"/>
        </w:rPr>
        <w:t> </w:t>
      </w:r>
      <w:r>
        <w:rPr>
          <w:sz w:val="28"/>
        </w:rPr>
        <w:t>klasa</w:t>
      </w:r>
      <w:r>
        <w:rPr>
          <w:spacing w:val="-3"/>
          <w:sz w:val="28"/>
        </w:rPr>
        <w:t> </w:t>
      </w:r>
      <w:r>
        <w:rPr>
          <w:sz w:val="28"/>
        </w:rPr>
        <w:t>I</w:t>
      </w:r>
      <w:r>
        <w:rPr>
          <w:spacing w:val="-4"/>
          <w:sz w:val="28"/>
        </w:rPr>
        <w:t> </w:t>
      </w:r>
      <w:r>
        <w:rPr>
          <w:sz w:val="28"/>
        </w:rPr>
        <w:t>–</w:t>
      </w:r>
      <w:r>
        <w:rPr>
          <w:spacing w:val="-3"/>
          <w:sz w:val="28"/>
        </w:rPr>
        <w:t> </w:t>
      </w:r>
      <w:r>
        <w:rPr>
          <w:sz w:val="28"/>
        </w:rPr>
        <w:t>IX</w:t>
      </w:r>
      <w:r>
        <w:rPr>
          <w:spacing w:val="-4"/>
          <w:sz w:val="28"/>
        </w:rPr>
        <w:t> </w:t>
      </w:r>
      <w:r>
        <w:rPr>
          <w:sz w:val="28"/>
        </w:rPr>
        <w:t>janë</w:t>
      </w:r>
      <w:r>
        <w:rPr>
          <w:spacing w:val="-3"/>
          <w:sz w:val="28"/>
        </w:rPr>
        <w:t> </w:t>
      </w:r>
      <w:r>
        <w:rPr>
          <w:sz w:val="28"/>
        </w:rPr>
        <w:t>941</w:t>
      </w:r>
      <w:r>
        <w:rPr>
          <w:spacing w:val="-2"/>
          <w:sz w:val="28"/>
        </w:rPr>
        <w:t> </w:t>
      </w:r>
      <w:r>
        <w:rPr>
          <w:sz w:val="28"/>
        </w:rPr>
        <w:t>nxënës</w:t>
      </w:r>
      <w:r>
        <w:rPr>
          <w:spacing w:val="-2"/>
          <w:sz w:val="28"/>
        </w:rPr>
        <w:t> </w:t>
      </w:r>
      <w:r>
        <w:rPr>
          <w:sz w:val="28"/>
        </w:rPr>
        <w:t>489</w:t>
      </w:r>
      <w:r>
        <w:rPr>
          <w:spacing w:val="-2"/>
          <w:sz w:val="28"/>
        </w:rPr>
        <w:t> </w:t>
      </w:r>
      <w:r>
        <w:rPr>
          <w:sz w:val="28"/>
        </w:rPr>
        <w:t>M</w:t>
      </w:r>
      <w:r>
        <w:rPr>
          <w:spacing w:val="-7"/>
          <w:sz w:val="28"/>
        </w:rPr>
        <w:t> </w:t>
      </w:r>
      <w:r>
        <w:rPr>
          <w:sz w:val="28"/>
        </w:rPr>
        <w:t>dhe</w:t>
      </w:r>
      <w:r>
        <w:rPr>
          <w:spacing w:val="-6"/>
          <w:sz w:val="28"/>
        </w:rPr>
        <w:t> </w:t>
      </w:r>
      <w:r>
        <w:rPr>
          <w:sz w:val="28"/>
        </w:rPr>
        <w:t>452 F </w:t>
      </w:r>
      <w:r>
        <w:rPr>
          <w:rFonts w:ascii="Calibri" w:hAnsi="Calibri"/>
          <w:sz w:val="28"/>
        </w:rPr>
        <w:t>Numri i nxënësve nga Parafillorë deri në klasëne nentë është 1024 nxënës</w:t>
      </w:r>
      <w:r>
        <w:rPr>
          <w:rFonts w:ascii="Calibri" w:hAnsi="Calibri"/>
          <w:spacing w:val="40"/>
          <w:sz w:val="28"/>
        </w:rPr>
        <w:t> </w:t>
      </w:r>
      <w:r>
        <w:rPr>
          <w:rFonts w:ascii="Calibri" w:hAnsi="Calibri"/>
          <w:sz w:val="28"/>
        </w:rPr>
        <w:t>537 M 487 F</w:t>
      </w:r>
    </w:p>
    <w:p>
      <w:pPr>
        <w:pStyle w:val="BodyText"/>
        <w:spacing w:before="4"/>
        <w:rPr>
          <w:rFonts w:ascii="Calibri"/>
          <w:sz w:val="22"/>
        </w:rPr>
      </w:pPr>
    </w:p>
    <w:p>
      <w:pPr>
        <w:spacing w:before="0"/>
        <w:ind w:left="1613" w:right="2127" w:hanging="63"/>
        <w:jc w:val="left"/>
        <w:rPr>
          <w:rFonts w:ascii="Calibri" w:hAnsi="Calibri"/>
          <w:b/>
          <w:sz w:val="28"/>
        </w:rPr>
      </w:pPr>
      <w:r>
        <w:rPr>
          <w:rFonts w:ascii="Calibri" w:hAnsi="Calibri"/>
          <w:b/>
          <w:sz w:val="28"/>
        </w:rPr>
        <w:t>Krahasimi</w:t>
      </w:r>
      <w:r>
        <w:rPr>
          <w:rFonts w:ascii="Calibri" w:hAnsi="Calibri"/>
          <w:b/>
          <w:spacing w:val="-5"/>
          <w:sz w:val="28"/>
        </w:rPr>
        <w:t> </w:t>
      </w:r>
      <w:r>
        <w:rPr>
          <w:rFonts w:ascii="Calibri" w:hAnsi="Calibri"/>
          <w:b/>
          <w:sz w:val="28"/>
        </w:rPr>
        <w:t>me</w:t>
      </w:r>
      <w:r>
        <w:rPr>
          <w:rFonts w:ascii="Calibri" w:hAnsi="Calibri"/>
          <w:b/>
          <w:spacing w:val="-4"/>
          <w:sz w:val="28"/>
        </w:rPr>
        <w:t> </w:t>
      </w:r>
      <w:r>
        <w:rPr>
          <w:rFonts w:ascii="Calibri" w:hAnsi="Calibri"/>
          <w:b/>
          <w:sz w:val="28"/>
        </w:rPr>
        <w:t>vitin</w:t>
      </w:r>
      <w:r>
        <w:rPr>
          <w:rFonts w:ascii="Calibri" w:hAnsi="Calibri"/>
          <w:b/>
          <w:spacing w:val="-2"/>
          <w:sz w:val="28"/>
        </w:rPr>
        <w:t> </w:t>
      </w:r>
      <w:r>
        <w:rPr>
          <w:rFonts w:ascii="Calibri" w:hAnsi="Calibri"/>
          <w:b/>
          <w:sz w:val="28"/>
        </w:rPr>
        <w:t>shkollor</w:t>
      </w:r>
      <w:r>
        <w:rPr>
          <w:rFonts w:ascii="Calibri" w:hAnsi="Calibri"/>
          <w:b/>
          <w:spacing w:val="40"/>
          <w:sz w:val="28"/>
        </w:rPr>
        <w:t> </w:t>
      </w:r>
      <w:r>
        <w:rPr>
          <w:rFonts w:ascii="Calibri" w:hAnsi="Calibri"/>
          <w:b/>
          <w:sz w:val="28"/>
        </w:rPr>
        <w:t>2022-2023,</w:t>
      </w:r>
      <w:r>
        <w:rPr>
          <w:rFonts w:ascii="Calibri" w:hAnsi="Calibri"/>
          <w:b/>
          <w:spacing w:val="-4"/>
          <w:sz w:val="28"/>
        </w:rPr>
        <w:t> </w:t>
      </w:r>
      <w:r>
        <w:rPr>
          <w:rFonts w:ascii="Calibri" w:hAnsi="Calibri"/>
          <w:b/>
          <w:sz w:val="28"/>
        </w:rPr>
        <w:t>kemi</w:t>
      </w:r>
      <w:r>
        <w:rPr>
          <w:rFonts w:ascii="Calibri" w:hAnsi="Calibri"/>
          <w:b/>
          <w:spacing w:val="-3"/>
          <w:sz w:val="28"/>
        </w:rPr>
        <w:t> </w:t>
      </w:r>
      <w:r>
        <w:rPr>
          <w:rFonts w:ascii="Calibri" w:hAnsi="Calibri"/>
          <w:b/>
          <w:sz w:val="28"/>
        </w:rPr>
        <w:t>40</w:t>
      </w:r>
      <w:r>
        <w:rPr>
          <w:rFonts w:ascii="Calibri" w:hAnsi="Calibri"/>
          <w:b/>
          <w:spacing w:val="-5"/>
          <w:sz w:val="28"/>
        </w:rPr>
        <w:t> </w:t>
      </w:r>
      <w:r>
        <w:rPr>
          <w:rFonts w:ascii="Calibri" w:hAnsi="Calibri"/>
          <w:b/>
          <w:sz w:val="28"/>
        </w:rPr>
        <w:t>nxënës</w:t>
      </w:r>
      <w:r>
        <w:rPr>
          <w:rFonts w:ascii="Calibri" w:hAnsi="Calibri"/>
          <w:b/>
          <w:spacing w:val="-2"/>
          <w:sz w:val="28"/>
        </w:rPr>
        <w:t> </w:t>
      </w:r>
      <w:r>
        <w:rPr>
          <w:rFonts w:ascii="Calibri" w:hAnsi="Calibri"/>
          <w:b/>
          <w:sz w:val="28"/>
        </w:rPr>
        <w:t>më</w:t>
      </w:r>
      <w:r>
        <w:rPr>
          <w:rFonts w:ascii="Calibri" w:hAnsi="Calibri"/>
          <w:b/>
          <w:spacing w:val="-4"/>
          <w:sz w:val="28"/>
        </w:rPr>
        <w:t> </w:t>
      </w:r>
      <w:r>
        <w:rPr>
          <w:rFonts w:ascii="Calibri" w:hAnsi="Calibri"/>
          <w:b/>
          <w:sz w:val="28"/>
        </w:rPr>
        <w:t>pakë Viti shkollor 2022-2023,</w:t>
      </w:r>
      <w:r>
        <w:rPr>
          <w:rFonts w:ascii="Calibri" w:hAnsi="Calibri"/>
          <w:b/>
          <w:spacing w:val="80"/>
          <w:sz w:val="28"/>
        </w:rPr>
        <w:t> </w:t>
      </w:r>
      <w:r>
        <w:rPr>
          <w:rFonts w:ascii="Calibri" w:hAnsi="Calibri"/>
          <w:b/>
          <w:sz w:val="28"/>
        </w:rPr>
        <w:t>1064 nxënës</w:t>
      </w:r>
    </w:p>
    <w:p>
      <w:pPr>
        <w:spacing w:before="0"/>
        <w:ind w:left="1613" w:right="0" w:firstLine="0"/>
        <w:jc w:val="left"/>
        <w:rPr>
          <w:rFonts w:ascii="Calibri" w:hAnsi="Calibri"/>
          <w:b/>
          <w:sz w:val="28"/>
        </w:rPr>
      </w:pPr>
      <w:r>
        <w:rPr>
          <w:rFonts w:ascii="Calibri" w:hAnsi="Calibri"/>
          <w:b/>
          <w:sz w:val="28"/>
        </w:rPr>
        <w:t>Viti</w:t>
      </w:r>
      <w:r>
        <w:rPr>
          <w:rFonts w:ascii="Calibri" w:hAnsi="Calibri"/>
          <w:b/>
          <w:spacing w:val="-3"/>
          <w:sz w:val="28"/>
        </w:rPr>
        <w:t> </w:t>
      </w:r>
      <w:r>
        <w:rPr>
          <w:rFonts w:ascii="Calibri" w:hAnsi="Calibri"/>
          <w:b/>
          <w:sz w:val="28"/>
        </w:rPr>
        <w:t>shkollor</w:t>
      </w:r>
      <w:r>
        <w:rPr>
          <w:rFonts w:ascii="Calibri" w:hAnsi="Calibri"/>
          <w:b/>
          <w:spacing w:val="-3"/>
          <w:sz w:val="28"/>
        </w:rPr>
        <w:t> </w:t>
      </w:r>
      <w:r>
        <w:rPr>
          <w:rFonts w:ascii="Calibri" w:hAnsi="Calibri"/>
          <w:b/>
          <w:sz w:val="28"/>
        </w:rPr>
        <w:t>2023-2024,</w:t>
      </w:r>
      <w:r>
        <w:rPr>
          <w:rFonts w:ascii="Calibri" w:hAnsi="Calibri"/>
          <w:b/>
          <w:spacing w:val="27"/>
          <w:sz w:val="28"/>
        </w:rPr>
        <w:t>  </w:t>
      </w:r>
      <w:r>
        <w:rPr>
          <w:rFonts w:ascii="Calibri" w:hAnsi="Calibri"/>
          <w:b/>
          <w:sz w:val="28"/>
        </w:rPr>
        <w:t>1024</w:t>
      </w:r>
      <w:r>
        <w:rPr>
          <w:rFonts w:ascii="Calibri" w:hAnsi="Calibri"/>
          <w:b/>
          <w:spacing w:val="-4"/>
          <w:sz w:val="28"/>
        </w:rPr>
        <w:t> </w:t>
      </w:r>
      <w:r>
        <w:rPr>
          <w:rFonts w:ascii="Calibri" w:hAnsi="Calibri"/>
          <w:b/>
          <w:spacing w:val="-2"/>
          <w:sz w:val="28"/>
        </w:rPr>
        <w:t>nxënës</w:t>
      </w:r>
    </w:p>
    <w:p>
      <w:pPr>
        <w:spacing w:after="0"/>
        <w:jc w:val="left"/>
        <w:rPr>
          <w:rFonts w:ascii="Calibri" w:hAnsi="Calibri"/>
          <w:sz w:val="28"/>
        </w:rPr>
        <w:sectPr>
          <w:pgSz w:w="12240" w:h="15840"/>
          <w:pgMar w:top="480" w:bottom="280" w:left="720" w:right="0"/>
        </w:sectPr>
      </w:pPr>
    </w:p>
    <w:p>
      <w:pPr>
        <w:tabs>
          <w:tab w:pos="10290" w:val="left" w:leader="none"/>
        </w:tabs>
        <w:spacing w:before="69"/>
        <w:ind w:left="540" w:right="0" w:firstLine="0"/>
        <w:jc w:val="left"/>
        <w:rPr>
          <w:sz w:val="28"/>
        </w:rPr>
      </w:pPr>
      <w:r>
        <w:rPr>
          <w:color w:val="000000"/>
          <w:sz w:val="28"/>
          <w:shd w:fill="DDD9C3" w:color="auto" w:val="clear"/>
        </w:rPr>
        <w:t>Sh.F.M.U.</w:t>
      </w:r>
      <w:r>
        <w:rPr>
          <w:color w:val="000000"/>
          <w:spacing w:val="-7"/>
          <w:sz w:val="28"/>
          <w:shd w:fill="DDD9C3" w:color="auto" w:val="clear"/>
        </w:rPr>
        <w:t> </w:t>
      </w:r>
      <w:r>
        <w:rPr>
          <w:color w:val="000000"/>
          <w:sz w:val="28"/>
          <w:shd w:fill="DDD9C3" w:color="auto" w:val="clear"/>
        </w:rPr>
        <w:t>“Kështjella</w:t>
      </w:r>
      <w:r>
        <w:rPr>
          <w:color w:val="000000"/>
          <w:spacing w:val="-7"/>
          <w:sz w:val="28"/>
          <w:shd w:fill="DDD9C3" w:color="auto" w:val="clear"/>
        </w:rPr>
        <w:t> </w:t>
      </w:r>
      <w:r>
        <w:rPr>
          <w:color w:val="000000"/>
          <w:sz w:val="28"/>
          <w:shd w:fill="DDD9C3" w:color="auto" w:val="clear"/>
        </w:rPr>
        <w:t>e</w:t>
      </w:r>
      <w:r>
        <w:rPr>
          <w:color w:val="000000"/>
          <w:spacing w:val="-8"/>
          <w:sz w:val="28"/>
          <w:shd w:fill="DDD9C3" w:color="auto" w:val="clear"/>
        </w:rPr>
        <w:t> </w:t>
      </w:r>
      <w:r>
        <w:rPr>
          <w:color w:val="000000"/>
          <w:sz w:val="28"/>
          <w:shd w:fill="DDD9C3" w:color="auto" w:val="clear"/>
        </w:rPr>
        <w:t>Diturisë”-</w:t>
      </w:r>
      <w:r>
        <w:rPr>
          <w:color w:val="000000"/>
          <w:spacing w:val="-2"/>
          <w:sz w:val="28"/>
          <w:shd w:fill="DDD9C3" w:color="auto" w:val="clear"/>
        </w:rPr>
        <w:t>Paldenicë.</w:t>
      </w:r>
      <w:r>
        <w:rPr>
          <w:color w:val="000000"/>
          <w:sz w:val="28"/>
          <w:shd w:fill="DDD9C3" w:color="auto" w:val="clear"/>
        </w:rPr>
        <w:tab/>
      </w:r>
    </w:p>
    <w:p>
      <w:pPr>
        <w:pStyle w:val="BodyText"/>
        <w:spacing w:before="11"/>
        <w:rPr>
          <w:sz w:val="27"/>
        </w:rPr>
      </w:pPr>
    </w:p>
    <w:p>
      <w:pPr>
        <w:spacing w:before="0"/>
        <w:ind w:left="112" w:right="2127" w:firstLine="0"/>
        <w:jc w:val="left"/>
        <w:rPr>
          <w:sz w:val="28"/>
        </w:rPr>
      </w:pPr>
      <w:r>
        <w:rPr>
          <w:sz w:val="28"/>
        </w:rPr>
        <w:t>Viti</w:t>
      </w:r>
      <w:r>
        <w:rPr>
          <w:spacing w:val="-6"/>
          <w:sz w:val="28"/>
        </w:rPr>
        <w:t> </w:t>
      </w:r>
      <w:r>
        <w:rPr>
          <w:sz w:val="28"/>
        </w:rPr>
        <w:t>shkollor</w:t>
      </w:r>
      <w:r>
        <w:rPr>
          <w:spacing w:val="-3"/>
          <w:sz w:val="28"/>
        </w:rPr>
        <w:t> </w:t>
      </w:r>
      <w:r>
        <w:rPr>
          <w:sz w:val="28"/>
        </w:rPr>
        <w:t>2023/24ka</w:t>
      </w:r>
      <w:r>
        <w:rPr>
          <w:spacing w:val="-3"/>
          <w:sz w:val="28"/>
        </w:rPr>
        <w:t> </w:t>
      </w:r>
      <w:r>
        <w:rPr>
          <w:sz w:val="28"/>
        </w:rPr>
        <w:t>filluar</w:t>
      </w:r>
      <w:r>
        <w:rPr>
          <w:spacing w:val="-3"/>
          <w:sz w:val="28"/>
        </w:rPr>
        <w:t> </w:t>
      </w:r>
      <w:r>
        <w:rPr>
          <w:sz w:val="28"/>
        </w:rPr>
        <w:t>me</w:t>
      </w:r>
      <w:r>
        <w:rPr>
          <w:spacing w:val="-3"/>
          <w:sz w:val="28"/>
        </w:rPr>
        <w:t> </w:t>
      </w:r>
      <w:r>
        <w:rPr>
          <w:sz w:val="28"/>
        </w:rPr>
        <w:t>kohë</w:t>
      </w:r>
      <w:r>
        <w:rPr>
          <w:spacing w:val="-3"/>
          <w:sz w:val="28"/>
        </w:rPr>
        <w:t> </w:t>
      </w:r>
      <w:r>
        <w:rPr>
          <w:sz w:val="28"/>
        </w:rPr>
        <w:t>siq</w:t>
      </w:r>
      <w:r>
        <w:rPr>
          <w:spacing w:val="-4"/>
          <w:sz w:val="28"/>
        </w:rPr>
        <w:t> </w:t>
      </w:r>
      <w:r>
        <w:rPr>
          <w:sz w:val="28"/>
        </w:rPr>
        <w:t>ishte</w:t>
      </w:r>
      <w:r>
        <w:rPr>
          <w:spacing w:val="-6"/>
          <w:sz w:val="28"/>
        </w:rPr>
        <w:t> </w:t>
      </w:r>
      <w:r>
        <w:rPr>
          <w:sz w:val="28"/>
        </w:rPr>
        <w:t>planifikuar</w:t>
      </w:r>
      <w:r>
        <w:rPr>
          <w:spacing w:val="-6"/>
          <w:sz w:val="28"/>
        </w:rPr>
        <w:t> </w:t>
      </w:r>
      <w:r>
        <w:rPr>
          <w:sz w:val="28"/>
        </w:rPr>
        <w:t>nga</w:t>
      </w:r>
      <w:r>
        <w:rPr>
          <w:spacing w:val="-6"/>
          <w:sz w:val="28"/>
        </w:rPr>
        <w:t> </w:t>
      </w:r>
      <w:r>
        <w:rPr>
          <w:sz w:val="28"/>
        </w:rPr>
        <w:t>MASHT-i</w:t>
      </w:r>
      <w:r>
        <w:rPr>
          <w:spacing w:val="-1"/>
          <w:sz w:val="28"/>
        </w:rPr>
        <w:t> </w:t>
      </w:r>
      <w:r>
        <w:rPr>
          <w:sz w:val="28"/>
        </w:rPr>
        <w:t>më </w:t>
      </w:r>
      <w:r>
        <w:rPr>
          <w:spacing w:val="-2"/>
          <w:sz w:val="28"/>
        </w:rPr>
        <w:t>01.09.2023</w:t>
      </w:r>
    </w:p>
    <w:p>
      <w:pPr>
        <w:spacing w:line="321" w:lineRule="exact" w:before="0"/>
        <w:ind w:left="112" w:right="0" w:firstLine="0"/>
        <w:jc w:val="left"/>
        <w:rPr>
          <w:sz w:val="28"/>
        </w:rPr>
      </w:pPr>
      <w:r>
        <w:rPr>
          <w:sz w:val="28"/>
        </w:rPr>
        <w:t>Janë</w:t>
      </w:r>
      <w:r>
        <w:rPr>
          <w:spacing w:val="-6"/>
          <w:sz w:val="28"/>
        </w:rPr>
        <w:t> </w:t>
      </w:r>
      <w:r>
        <w:rPr>
          <w:sz w:val="28"/>
        </w:rPr>
        <w:t>bëre</w:t>
      </w:r>
      <w:r>
        <w:rPr>
          <w:spacing w:val="-4"/>
          <w:sz w:val="28"/>
        </w:rPr>
        <w:t> </w:t>
      </w:r>
      <w:r>
        <w:rPr>
          <w:sz w:val="28"/>
        </w:rPr>
        <w:t>të</w:t>
      </w:r>
      <w:r>
        <w:rPr>
          <w:spacing w:val="-6"/>
          <w:sz w:val="28"/>
        </w:rPr>
        <w:t> </w:t>
      </w:r>
      <w:r>
        <w:rPr>
          <w:sz w:val="28"/>
        </w:rPr>
        <w:t>gjitha</w:t>
      </w:r>
      <w:r>
        <w:rPr>
          <w:spacing w:val="-6"/>
          <w:sz w:val="28"/>
        </w:rPr>
        <w:t> </w:t>
      </w:r>
      <w:r>
        <w:rPr>
          <w:sz w:val="28"/>
        </w:rPr>
        <w:t>pregatitjet</w:t>
      </w:r>
      <w:r>
        <w:rPr>
          <w:spacing w:val="-7"/>
          <w:sz w:val="28"/>
        </w:rPr>
        <w:t> </w:t>
      </w:r>
      <w:r>
        <w:rPr>
          <w:sz w:val="28"/>
        </w:rPr>
        <w:t>per</w:t>
      </w:r>
      <w:r>
        <w:rPr>
          <w:spacing w:val="-3"/>
          <w:sz w:val="28"/>
        </w:rPr>
        <w:t> </w:t>
      </w:r>
      <w:r>
        <w:rPr>
          <w:sz w:val="28"/>
        </w:rPr>
        <w:t>fillimin</w:t>
      </w:r>
      <w:r>
        <w:rPr>
          <w:spacing w:val="-3"/>
          <w:sz w:val="28"/>
        </w:rPr>
        <w:t> </w:t>
      </w:r>
      <w:r>
        <w:rPr>
          <w:sz w:val="28"/>
        </w:rPr>
        <w:t>e</w:t>
      </w:r>
      <w:r>
        <w:rPr>
          <w:spacing w:val="-7"/>
          <w:sz w:val="28"/>
        </w:rPr>
        <w:t> </w:t>
      </w:r>
      <w:r>
        <w:rPr>
          <w:sz w:val="28"/>
        </w:rPr>
        <w:t>vitit</w:t>
      </w:r>
      <w:r>
        <w:rPr>
          <w:spacing w:val="-3"/>
          <w:sz w:val="28"/>
        </w:rPr>
        <w:t> </w:t>
      </w:r>
      <w:r>
        <w:rPr>
          <w:sz w:val="28"/>
        </w:rPr>
        <w:t>shkollor</w:t>
      </w:r>
      <w:r>
        <w:rPr>
          <w:spacing w:val="-6"/>
          <w:sz w:val="28"/>
        </w:rPr>
        <w:t> </w:t>
      </w:r>
      <w:r>
        <w:rPr>
          <w:spacing w:val="-2"/>
          <w:sz w:val="28"/>
        </w:rPr>
        <w:t>2023/24.</w:t>
      </w:r>
    </w:p>
    <w:p>
      <w:pPr>
        <w:spacing w:before="0"/>
        <w:ind w:left="112" w:right="0" w:firstLine="0"/>
        <w:jc w:val="left"/>
        <w:rPr>
          <w:sz w:val="28"/>
        </w:rPr>
      </w:pPr>
      <w:r>
        <w:rPr>
          <w:sz w:val="28"/>
        </w:rPr>
        <w:t>Është</w:t>
      </w:r>
      <w:r>
        <w:rPr>
          <w:spacing w:val="-6"/>
          <w:sz w:val="28"/>
        </w:rPr>
        <w:t> </w:t>
      </w:r>
      <w:r>
        <w:rPr>
          <w:sz w:val="28"/>
        </w:rPr>
        <w:t>bërë</w:t>
      </w:r>
      <w:r>
        <w:rPr>
          <w:spacing w:val="62"/>
          <w:sz w:val="28"/>
        </w:rPr>
        <w:t> </w:t>
      </w:r>
      <w:r>
        <w:rPr>
          <w:sz w:val="28"/>
        </w:rPr>
        <w:t>dizenfektimi</w:t>
      </w:r>
      <w:r>
        <w:rPr>
          <w:spacing w:val="-3"/>
          <w:sz w:val="28"/>
        </w:rPr>
        <w:t> </w:t>
      </w:r>
      <w:r>
        <w:rPr>
          <w:sz w:val="28"/>
        </w:rPr>
        <w:t>dhe</w:t>
      </w:r>
      <w:r>
        <w:rPr>
          <w:spacing w:val="-3"/>
          <w:sz w:val="28"/>
        </w:rPr>
        <w:t> </w:t>
      </w:r>
      <w:r>
        <w:rPr>
          <w:sz w:val="28"/>
        </w:rPr>
        <w:t>pastrimi</w:t>
      </w:r>
      <w:r>
        <w:rPr>
          <w:spacing w:val="62"/>
          <w:sz w:val="28"/>
        </w:rPr>
        <w:t> </w:t>
      </w:r>
      <w:r>
        <w:rPr>
          <w:sz w:val="28"/>
        </w:rPr>
        <w:t>gjeneral</w:t>
      </w:r>
      <w:r>
        <w:rPr>
          <w:spacing w:val="-5"/>
          <w:sz w:val="28"/>
        </w:rPr>
        <w:t> </w:t>
      </w:r>
      <w:r>
        <w:rPr>
          <w:sz w:val="28"/>
        </w:rPr>
        <w:t>i</w:t>
      </w:r>
      <w:r>
        <w:rPr>
          <w:spacing w:val="-3"/>
          <w:sz w:val="28"/>
        </w:rPr>
        <w:t> </w:t>
      </w:r>
      <w:r>
        <w:rPr>
          <w:sz w:val="28"/>
        </w:rPr>
        <w:t>tërë</w:t>
      </w:r>
      <w:r>
        <w:rPr>
          <w:spacing w:val="-3"/>
          <w:sz w:val="28"/>
        </w:rPr>
        <w:t> </w:t>
      </w:r>
      <w:r>
        <w:rPr>
          <w:sz w:val="28"/>
        </w:rPr>
        <w:t>objektit</w:t>
      </w:r>
      <w:r>
        <w:rPr>
          <w:spacing w:val="63"/>
          <w:sz w:val="28"/>
        </w:rPr>
        <w:t> </w:t>
      </w:r>
      <w:r>
        <w:rPr>
          <w:spacing w:val="-2"/>
          <w:sz w:val="28"/>
        </w:rPr>
        <w:t>shkollorë.</w:t>
      </w:r>
    </w:p>
    <w:p>
      <w:pPr>
        <w:spacing w:before="2"/>
        <w:ind w:left="112" w:right="2127" w:firstLine="0"/>
        <w:jc w:val="left"/>
        <w:rPr>
          <w:sz w:val="28"/>
        </w:rPr>
      </w:pPr>
      <w:r>
        <w:rPr>
          <w:sz w:val="28"/>
        </w:rPr>
        <w:t>Është</w:t>
      </w:r>
      <w:r>
        <w:rPr>
          <w:spacing w:val="40"/>
          <w:sz w:val="28"/>
        </w:rPr>
        <w:t> </w:t>
      </w:r>
      <w:r>
        <w:rPr>
          <w:sz w:val="28"/>
        </w:rPr>
        <w:t>mbajtur</w:t>
      </w:r>
      <w:r>
        <w:rPr>
          <w:spacing w:val="-3"/>
          <w:sz w:val="28"/>
        </w:rPr>
        <w:t> </w:t>
      </w:r>
      <w:r>
        <w:rPr>
          <w:sz w:val="28"/>
        </w:rPr>
        <w:t>mbledhja</w:t>
      </w:r>
      <w:r>
        <w:rPr>
          <w:spacing w:val="-3"/>
          <w:sz w:val="28"/>
        </w:rPr>
        <w:t> </w:t>
      </w:r>
      <w:r>
        <w:rPr>
          <w:sz w:val="28"/>
        </w:rPr>
        <w:t>me</w:t>
      </w:r>
      <w:r>
        <w:rPr>
          <w:spacing w:val="-2"/>
          <w:sz w:val="28"/>
        </w:rPr>
        <w:t> </w:t>
      </w:r>
      <w:r>
        <w:rPr>
          <w:sz w:val="28"/>
        </w:rPr>
        <w:t>Këshillin</w:t>
      </w:r>
      <w:r>
        <w:rPr>
          <w:spacing w:val="-2"/>
          <w:sz w:val="28"/>
        </w:rPr>
        <w:t> </w:t>
      </w:r>
      <w:r>
        <w:rPr>
          <w:sz w:val="28"/>
        </w:rPr>
        <w:t>e</w:t>
      </w:r>
      <w:r>
        <w:rPr>
          <w:spacing w:val="-4"/>
          <w:sz w:val="28"/>
        </w:rPr>
        <w:t> </w:t>
      </w:r>
      <w:r>
        <w:rPr>
          <w:sz w:val="28"/>
        </w:rPr>
        <w:t>arsimtarëve</w:t>
      </w:r>
      <w:r>
        <w:rPr>
          <w:spacing w:val="40"/>
          <w:sz w:val="28"/>
        </w:rPr>
        <w:t> </w:t>
      </w:r>
      <w:r>
        <w:rPr>
          <w:sz w:val="28"/>
        </w:rPr>
        <w:t>ku</w:t>
      </w:r>
      <w:r>
        <w:rPr>
          <w:spacing w:val="-2"/>
          <w:sz w:val="28"/>
        </w:rPr>
        <w:t> </w:t>
      </w:r>
      <w:r>
        <w:rPr>
          <w:sz w:val="28"/>
        </w:rPr>
        <w:t>është</w:t>
      </w:r>
      <w:r>
        <w:rPr>
          <w:spacing w:val="-3"/>
          <w:sz w:val="28"/>
        </w:rPr>
        <w:t> </w:t>
      </w:r>
      <w:r>
        <w:rPr>
          <w:sz w:val="28"/>
        </w:rPr>
        <w:t>bërë</w:t>
      </w:r>
      <w:r>
        <w:rPr>
          <w:spacing w:val="40"/>
          <w:sz w:val="28"/>
        </w:rPr>
        <w:t> </w:t>
      </w:r>
      <w:r>
        <w:rPr>
          <w:sz w:val="28"/>
        </w:rPr>
        <w:t>ndarja</w:t>
      </w:r>
      <w:r>
        <w:rPr>
          <w:spacing w:val="-3"/>
          <w:sz w:val="28"/>
        </w:rPr>
        <w:t> </w:t>
      </w:r>
      <w:r>
        <w:rPr>
          <w:sz w:val="28"/>
        </w:rPr>
        <w:t>e</w:t>
      </w:r>
      <w:r>
        <w:rPr>
          <w:spacing w:val="-4"/>
          <w:sz w:val="28"/>
        </w:rPr>
        <w:t> </w:t>
      </w:r>
      <w:r>
        <w:rPr>
          <w:sz w:val="28"/>
        </w:rPr>
        <w:t>orëve, caktimi i</w:t>
      </w:r>
      <w:r>
        <w:rPr>
          <w:spacing w:val="40"/>
          <w:sz w:val="28"/>
        </w:rPr>
        <w:t> </w:t>
      </w:r>
      <w:r>
        <w:rPr>
          <w:sz w:val="28"/>
        </w:rPr>
        <w:t>kujdestarëve të klasës dhe kujdestarëve të ditës.</w:t>
      </w:r>
    </w:p>
    <w:p>
      <w:pPr>
        <w:spacing w:before="0"/>
        <w:ind w:left="112" w:right="1226" w:firstLine="0"/>
        <w:jc w:val="left"/>
        <w:rPr>
          <w:sz w:val="28"/>
        </w:rPr>
      </w:pPr>
      <w:r>
        <w:rPr>
          <w:sz w:val="28"/>
        </w:rPr>
        <w:t>Është</w:t>
      </w:r>
      <w:r>
        <w:rPr>
          <w:spacing w:val="-4"/>
          <w:sz w:val="28"/>
        </w:rPr>
        <w:t> </w:t>
      </w:r>
      <w:r>
        <w:rPr>
          <w:sz w:val="28"/>
        </w:rPr>
        <w:t>mbajtur</w:t>
      </w:r>
      <w:r>
        <w:rPr>
          <w:spacing w:val="-4"/>
          <w:sz w:val="28"/>
        </w:rPr>
        <w:t> </w:t>
      </w:r>
      <w:r>
        <w:rPr>
          <w:sz w:val="28"/>
        </w:rPr>
        <w:t>mbledhja</w:t>
      </w:r>
      <w:r>
        <w:rPr>
          <w:spacing w:val="-4"/>
          <w:sz w:val="28"/>
        </w:rPr>
        <w:t> </w:t>
      </w:r>
      <w:r>
        <w:rPr>
          <w:sz w:val="28"/>
        </w:rPr>
        <w:t>e</w:t>
      </w:r>
      <w:r>
        <w:rPr>
          <w:spacing w:val="-5"/>
          <w:sz w:val="28"/>
        </w:rPr>
        <w:t> </w:t>
      </w:r>
      <w:r>
        <w:rPr>
          <w:sz w:val="28"/>
        </w:rPr>
        <w:t>aktiveve</w:t>
      </w:r>
      <w:r>
        <w:rPr>
          <w:spacing w:val="-7"/>
          <w:sz w:val="28"/>
        </w:rPr>
        <w:t> </w:t>
      </w:r>
      <w:r>
        <w:rPr>
          <w:sz w:val="28"/>
        </w:rPr>
        <w:t>profesionale,</w:t>
      </w:r>
      <w:r>
        <w:rPr>
          <w:spacing w:val="-8"/>
          <w:sz w:val="28"/>
        </w:rPr>
        <w:t> </w:t>
      </w:r>
      <w:r>
        <w:rPr>
          <w:sz w:val="28"/>
        </w:rPr>
        <w:t>ku</w:t>
      </w:r>
      <w:r>
        <w:rPr>
          <w:spacing w:val="-3"/>
          <w:sz w:val="28"/>
        </w:rPr>
        <w:t> </w:t>
      </w:r>
      <w:r>
        <w:rPr>
          <w:sz w:val="28"/>
        </w:rPr>
        <w:t>janë</w:t>
      </w:r>
      <w:r>
        <w:rPr>
          <w:spacing w:val="-4"/>
          <w:sz w:val="28"/>
        </w:rPr>
        <w:t> </w:t>
      </w:r>
      <w:r>
        <w:rPr>
          <w:sz w:val="28"/>
        </w:rPr>
        <w:t>zgjedhur</w:t>
      </w:r>
      <w:r>
        <w:rPr>
          <w:spacing w:val="-4"/>
          <w:sz w:val="28"/>
        </w:rPr>
        <w:t> </w:t>
      </w:r>
      <w:r>
        <w:rPr>
          <w:sz w:val="28"/>
        </w:rPr>
        <w:t>kryetarët</w:t>
      </w:r>
      <w:r>
        <w:rPr>
          <w:spacing w:val="-3"/>
          <w:sz w:val="28"/>
        </w:rPr>
        <w:t> </w:t>
      </w:r>
      <w:r>
        <w:rPr>
          <w:sz w:val="28"/>
        </w:rPr>
        <w:t>e</w:t>
      </w:r>
      <w:r>
        <w:rPr>
          <w:spacing w:val="-5"/>
          <w:sz w:val="28"/>
        </w:rPr>
        <w:t> </w:t>
      </w:r>
      <w:r>
        <w:rPr>
          <w:sz w:val="28"/>
        </w:rPr>
        <w:t>aktiveve profesionale sipas fushave të Kurikulës arsimore.</w:t>
      </w:r>
    </w:p>
    <w:p>
      <w:pPr>
        <w:spacing w:before="0"/>
        <w:ind w:left="112" w:right="1272" w:firstLine="0"/>
        <w:jc w:val="both"/>
        <w:rPr>
          <w:sz w:val="28"/>
        </w:rPr>
      </w:pPr>
      <w:r>
        <w:rPr>
          <w:sz w:val="28"/>
        </w:rPr>
        <w:t>Është bërë hartimi i planeve vjetore dhe planeve dy mujore për v.sh 2023-24Është hartuar orari</w:t>
      </w:r>
      <w:r>
        <w:rPr>
          <w:spacing w:val="-1"/>
          <w:sz w:val="28"/>
        </w:rPr>
        <w:t> </w:t>
      </w:r>
      <w:r>
        <w:rPr>
          <w:sz w:val="28"/>
        </w:rPr>
        <w:t>mësimorë</w:t>
      </w:r>
      <w:r>
        <w:rPr>
          <w:spacing w:val="-2"/>
          <w:sz w:val="28"/>
        </w:rPr>
        <w:t> </w:t>
      </w:r>
      <w:r>
        <w:rPr>
          <w:sz w:val="28"/>
        </w:rPr>
        <w:t>dhe</w:t>
      </w:r>
      <w:r>
        <w:rPr>
          <w:spacing w:val="-2"/>
          <w:sz w:val="28"/>
        </w:rPr>
        <w:t> </w:t>
      </w:r>
      <w:r>
        <w:rPr>
          <w:sz w:val="28"/>
        </w:rPr>
        <w:t>ai</w:t>
      </w:r>
      <w:r>
        <w:rPr>
          <w:spacing w:val="-4"/>
          <w:sz w:val="28"/>
        </w:rPr>
        <w:t> </w:t>
      </w:r>
      <w:r>
        <w:rPr>
          <w:sz w:val="28"/>
        </w:rPr>
        <w:t>i</w:t>
      </w:r>
      <w:r>
        <w:rPr>
          <w:spacing w:val="-2"/>
          <w:sz w:val="28"/>
        </w:rPr>
        <w:t> </w:t>
      </w:r>
      <w:r>
        <w:rPr>
          <w:sz w:val="28"/>
        </w:rPr>
        <w:t>ziles.Tekstet</w:t>
      </w:r>
      <w:r>
        <w:rPr>
          <w:spacing w:val="-1"/>
          <w:sz w:val="28"/>
        </w:rPr>
        <w:t> </w:t>
      </w:r>
      <w:r>
        <w:rPr>
          <w:sz w:val="28"/>
        </w:rPr>
        <w:t>për</w:t>
      </w:r>
      <w:r>
        <w:rPr>
          <w:spacing w:val="-2"/>
          <w:sz w:val="28"/>
        </w:rPr>
        <w:t> </w:t>
      </w:r>
      <w:r>
        <w:rPr>
          <w:sz w:val="28"/>
        </w:rPr>
        <w:t>klasët</w:t>
      </w:r>
      <w:r>
        <w:rPr>
          <w:spacing w:val="-1"/>
          <w:sz w:val="28"/>
        </w:rPr>
        <w:t> </w:t>
      </w:r>
      <w:r>
        <w:rPr>
          <w:sz w:val="28"/>
        </w:rPr>
        <w:t>1-5</w:t>
      </w:r>
      <w:r>
        <w:rPr>
          <w:spacing w:val="-1"/>
          <w:sz w:val="28"/>
        </w:rPr>
        <w:t> </w:t>
      </w:r>
      <w:r>
        <w:rPr>
          <w:sz w:val="28"/>
        </w:rPr>
        <w:t>janë</w:t>
      </w:r>
      <w:r>
        <w:rPr>
          <w:spacing w:val="-5"/>
          <w:sz w:val="28"/>
        </w:rPr>
        <w:t> </w:t>
      </w:r>
      <w:r>
        <w:rPr>
          <w:sz w:val="28"/>
        </w:rPr>
        <w:t>duke</w:t>
      </w:r>
      <w:r>
        <w:rPr>
          <w:spacing w:val="-5"/>
          <w:sz w:val="28"/>
        </w:rPr>
        <w:t> </w:t>
      </w:r>
      <w:r>
        <w:rPr>
          <w:sz w:val="28"/>
        </w:rPr>
        <w:t>i</w:t>
      </w:r>
      <w:r>
        <w:rPr>
          <w:spacing w:val="-1"/>
          <w:sz w:val="28"/>
        </w:rPr>
        <w:t> </w:t>
      </w:r>
      <w:r>
        <w:rPr>
          <w:sz w:val="28"/>
        </w:rPr>
        <w:t>blerë,</w:t>
      </w:r>
      <w:r>
        <w:rPr>
          <w:spacing w:val="-3"/>
          <w:sz w:val="28"/>
        </w:rPr>
        <w:t> </w:t>
      </w:r>
      <w:r>
        <w:rPr>
          <w:sz w:val="28"/>
        </w:rPr>
        <w:t>ende</w:t>
      </w:r>
      <w:r>
        <w:rPr>
          <w:spacing w:val="-2"/>
          <w:sz w:val="28"/>
        </w:rPr>
        <w:t> </w:t>
      </w:r>
      <w:r>
        <w:rPr>
          <w:sz w:val="28"/>
        </w:rPr>
        <w:t>nuk</w:t>
      </w:r>
      <w:r>
        <w:rPr>
          <w:spacing w:val="-5"/>
          <w:sz w:val="28"/>
        </w:rPr>
        <w:t> </w:t>
      </w:r>
      <w:r>
        <w:rPr>
          <w:sz w:val="28"/>
        </w:rPr>
        <w:t>i</w:t>
      </w:r>
      <w:r>
        <w:rPr>
          <w:spacing w:val="-1"/>
          <w:sz w:val="28"/>
        </w:rPr>
        <w:t> </w:t>
      </w:r>
      <w:r>
        <w:rPr>
          <w:sz w:val="28"/>
        </w:rPr>
        <w:t>kanë</w:t>
      </w:r>
      <w:r>
        <w:rPr>
          <w:spacing w:val="-5"/>
          <w:sz w:val="28"/>
        </w:rPr>
        <w:t> </w:t>
      </w:r>
      <w:r>
        <w:rPr>
          <w:sz w:val="28"/>
        </w:rPr>
        <w:t>blerë të gjithë nxënësit.</w:t>
      </w:r>
    </w:p>
    <w:p>
      <w:pPr>
        <w:spacing w:before="0"/>
        <w:ind w:left="112" w:right="1663" w:firstLine="0"/>
        <w:jc w:val="both"/>
        <w:rPr>
          <w:sz w:val="28"/>
        </w:rPr>
      </w:pPr>
      <w:r>
        <w:rPr>
          <w:sz w:val="28"/>
        </w:rPr>
        <w:t>Është</w:t>
      </w:r>
      <w:r>
        <w:rPr>
          <w:spacing w:val="-2"/>
          <w:sz w:val="28"/>
        </w:rPr>
        <w:t> </w:t>
      </w:r>
      <w:r>
        <w:rPr>
          <w:sz w:val="28"/>
        </w:rPr>
        <w:t>bërë</w:t>
      </w:r>
      <w:r>
        <w:rPr>
          <w:spacing w:val="-2"/>
          <w:sz w:val="28"/>
        </w:rPr>
        <w:t> </w:t>
      </w:r>
      <w:r>
        <w:rPr>
          <w:sz w:val="28"/>
        </w:rPr>
        <w:t>ndarja</w:t>
      </w:r>
      <w:r>
        <w:rPr>
          <w:spacing w:val="-2"/>
          <w:sz w:val="28"/>
        </w:rPr>
        <w:t> </w:t>
      </w:r>
      <w:r>
        <w:rPr>
          <w:sz w:val="28"/>
        </w:rPr>
        <w:t>eteksteve</w:t>
      </w:r>
      <w:r>
        <w:rPr>
          <w:spacing w:val="80"/>
          <w:sz w:val="28"/>
        </w:rPr>
        <w:t> </w:t>
      </w:r>
      <w:r>
        <w:rPr>
          <w:sz w:val="28"/>
        </w:rPr>
        <w:t>mësimore</w:t>
      </w:r>
      <w:r>
        <w:rPr>
          <w:spacing w:val="-2"/>
          <w:sz w:val="28"/>
        </w:rPr>
        <w:t> </w:t>
      </w:r>
      <w:r>
        <w:rPr>
          <w:sz w:val="28"/>
        </w:rPr>
        <w:t>për</w:t>
      </w:r>
      <w:r>
        <w:rPr>
          <w:spacing w:val="-2"/>
          <w:sz w:val="28"/>
        </w:rPr>
        <w:t> </w:t>
      </w:r>
      <w:r>
        <w:rPr>
          <w:sz w:val="28"/>
        </w:rPr>
        <w:t>klasët</w:t>
      </w:r>
      <w:r>
        <w:rPr>
          <w:spacing w:val="40"/>
          <w:sz w:val="28"/>
        </w:rPr>
        <w:t> </w:t>
      </w:r>
      <w:r>
        <w:rPr>
          <w:sz w:val="28"/>
        </w:rPr>
        <w:t>6,7,8</w:t>
      </w:r>
      <w:r>
        <w:rPr>
          <w:spacing w:val="-5"/>
          <w:sz w:val="28"/>
        </w:rPr>
        <w:t> </w:t>
      </w:r>
      <w:r>
        <w:rPr>
          <w:sz w:val="28"/>
        </w:rPr>
        <w:t>dhe</w:t>
      </w:r>
      <w:r>
        <w:rPr>
          <w:spacing w:val="-2"/>
          <w:sz w:val="28"/>
        </w:rPr>
        <w:t> </w:t>
      </w:r>
      <w:r>
        <w:rPr>
          <w:sz w:val="28"/>
        </w:rPr>
        <w:t>9,</w:t>
      </w:r>
      <w:r>
        <w:rPr>
          <w:spacing w:val="-2"/>
          <w:sz w:val="28"/>
        </w:rPr>
        <w:t> </w:t>
      </w:r>
      <w:r>
        <w:rPr>
          <w:sz w:val="28"/>
        </w:rPr>
        <w:t>tekstet</w:t>
      </w:r>
      <w:r>
        <w:rPr>
          <w:spacing w:val="-1"/>
          <w:sz w:val="28"/>
        </w:rPr>
        <w:t> </w:t>
      </w:r>
      <w:r>
        <w:rPr>
          <w:sz w:val="28"/>
        </w:rPr>
        <w:t>e</w:t>
      </w:r>
      <w:r>
        <w:rPr>
          <w:spacing w:val="-3"/>
          <w:sz w:val="28"/>
        </w:rPr>
        <w:t> </w:t>
      </w:r>
      <w:r>
        <w:rPr>
          <w:sz w:val="28"/>
        </w:rPr>
        <w:t>vjetra</w:t>
      </w:r>
      <w:r>
        <w:rPr>
          <w:spacing w:val="-5"/>
          <w:sz w:val="28"/>
        </w:rPr>
        <w:t> </w:t>
      </w:r>
      <w:r>
        <w:rPr>
          <w:sz w:val="28"/>
        </w:rPr>
        <w:t>të</w:t>
      </w:r>
      <w:r>
        <w:rPr>
          <w:spacing w:val="-2"/>
          <w:sz w:val="28"/>
        </w:rPr>
        <w:t> </w:t>
      </w:r>
      <w:r>
        <w:rPr>
          <w:sz w:val="28"/>
        </w:rPr>
        <w:t>vitit</w:t>
      </w:r>
      <w:r>
        <w:rPr>
          <w:spacing w:val="-1"/>
          <w:sz w:val="28"/>
        </w:rPr>
        <w:t> </w:t>
      </w:r>
      <w:r>
        <w:rPr>
          <w:sz w:val="28"/>
        </w:rPr>
        <w:t>të </w:t>
      </w:r>
      <w:r>
        <w:rPr>
          <w:spacing w:val="-2"/>
          <w:sz w:val="28"/>
        </w:rPr>
        <w:t>kaluar.</w:t>
      </w:r>
    </w:p>
    <w:p>
      <w:pPr>
        <w:spacing w:line="321" w:lineRule="exact" w:before="0"/>
        <w:ind w:left="112" w:right="0" w:firstLine="0"/>
        <w:jc w:val="both"/>
        <w:rPr>
          <w:sz w:val="28"/>
        </w:rPr>
      </w:pPr>
      <w:r>
        <w:rPr>
          <w:sz w:val="28"/>
        </w:rPr>
        <w:t>Janë</w:t>
      </w:r>
      <w:r>
        <w:rPr>
          <w:spacing w:val="-6"/>
          <w:sz w:val="28"/>
        </w:rPr>
        <w:t> </w:t>
      </w:r>
      <w:r>
        <w:rPr>
          <w:sz w:val="28"/>
        </w:rPr>
        <w:t>bërë</w:t>
      </w:r>
      <w:r>
        <w:rPr>
          <w:spacing w:val="-4"/>
          <w:sz w:val="28"/>
        </w:rPr>
        <w:t> </w:t>
      </w:r>
      <w:r>
        <w:rPr>
          <w:sz w:val="28"/>
        </w:rPr>
        <w:t>të</w:t>
      </w:r>
      <w:r>
        <w:rPr>
          <w:spacing w:val="-6"/>
          <w:sz w:val="28"/>
        </w:rPr>
        <w:t> </w:t>
      </w:r>
      <w:r>
        <w:rPr>
          <w:sz w:val="28"/>
        </w:rPr>
        <w:t>gjitha</w:t>
      </w:r>
      <w:r>
        <w:rPr>
          <w:spacing w:val="-6"/>
          <w:sz w:val="28"/>
        </w:rPr>
        <w:t> </w:t>
      </w:r>
      <w:r>
        <w:rPr>
          <w:sz w:val="28"/>
        </w:rPr>
        <w:t>përgatitjet</w:t>
      </w:r>
      <w:r>
        <w:rPr>
          <w:spacing w:val="-7"/>
          <w:sz w:val="28"/>
        </w:rPr>
        <w:t> </w:t>
      </w:r>
      <w:r>
        <w:rPr>
          <w:sz w:val="28"/>
        </w:rPr>
        <w:t>për</w:t>
      </w:r>
      <w:r>
        <w:rPr>
          <w:spacing w:val="-3"/>
          <w:sz w:val="28"/>
        </w:rPr>
        <w:t> </w:t>
      </w:r>
      <w:r>
        <w:rPr>
          <w:sz w:val="28"/>
        </w:rPr>
        <w:t>fillimin</w:t>
      </w:r>
      <w:r>
        <w:rPr>
          <w:spacing w:val="-3"/>
          <w:sz w:val="28"/>
        </w:rPr>
        <w:t> </w:t>
      </w:r>
      <w:r>
        <w:rPr>
          <w:sz w:val="28"/>
        </w:rPr>
        <w:t>e</w:t>
      </w:r>
      <w:r>
        <w:rPr>
          <w:spacing w:val="-7"/>
          <w:sz w:val="28"/>
        </w:rPr>
        <w:t> </w:t>
      </w:r>
      <w:r>
        <w:rPr>
          <w:sz w:val="28"/>
        </w:rPr>
        <w:t>vitit</w:t>
      </w:r>
      <w:r>
        <w:rPr>
          <w:spacing w:val="-3"/>
          <w:sz w:val="28"/>
        </w:rPr>
        <w:t> </w:t>
      </w:r>
      <w:r>
        <w:rPr>
          <w:sz w:val="28"/>
        </w:rPr>
        <w:t>shkollor</w:t>
      </w:r>
      <w:r>
        <w:rPr>
          <w:spacing w:val="-6"/>
          <w:sz w:val="28"/>
        </w:rPr>
        <w:t> </w:t>
      </w:r>
      <w:r>
        <w:rPr>
          <w:spacing w:val="-2"/>
          <w:sz w:val="28"/>
        </w:rPr>
        <w:t>2023/24</w:t>
      </w:r>
    </w:p>
    <w:p>
      <w:pPr>
        <w:pStyle w:val="BodyText"/>
        <w:spacing w:before="11"/>
        <w:rPr>
          <w:sz w:val="27"/>
        </w:rPr>
      </w:pPr>
    </w:p>
    <w:p>
      <w:pPr>
        <w:tabs>
          <w:tab w:pos="4088" w:val="left" w:leader="none"/>
        </w:tabs>
        <w:spacing w:before="0"/>
        <w:ind w:left="112" w:right="4049" w:firstLine="0"/>
        <w:jc w:val="left"/>
        <w:rPr>
          <w:sz w:val="28"/>
        </w:rPr>
      </w:pPr>
      <w:r>
        <w:rPr>
          <w:sz w:val="28"/>
        </w:rPr>
        <w:t>Numri i nxënësve Parafillor është 21nxënës 11 M dhe 10 F. Numri i nxënësve nga klasa e I-V</w:t>
        <w:tab/>
        <w:t>janë</w:t>
      </w:r>
      <w:r>
        <w:rPr>
          <w:spacing w:val="-8"/>
          <w:sz w:val="28"/>
        </w:rPr>
        <w:t> </w:t>
      </w:r>
      <w:r>
        <w:rPr>
          <w:sz w:val="28"/>
        </w:rPr>
        <w:t>91nxënës</w:t>
      </w:r>
      <w:r>
        <w:rPr>
          <w:spacing w:val="-8"/>
          <w:sz w:val="28"/>
        </w:rPr>
        <w:t> </w:t>
      </w:r>
      <w:r>
        <w:rPr>
          <w:sz w:val="28"/>
        </w:rPr>
        <w:t>44</w:t>
      </w:r>
      <w:r>
        <w:rPr>
          <w:spacing w:val="-5"/>
          <w:sz w:val="28"/>
        </w:rPr>
        <w:t> </w:t>
      </w:r>
      <w:r>
        <w:rPr>
          <w:sz w:val="28"/>
        </w:rPr>
        <w:t>M</w:t>
      </w:r>
      <w:r>
        <w:rPr>
          <w:spacing w:val="-8"/>
          <w:sz w:val="28"/>
        </w:rPr>
        <w:t> </w:t>
      </w:r>
      <w:r>
        <w:rPr>
          <w:sz w:val="28"/>
        </w:rPr>
        <w:t>dhe</w:t>
      </w:r>
      <w:r>
        <w:rPr>
          <w:spacing w:val="-5"/>
          <w:sz w:val="28"/>
        </w:rPr>
        <w:t> </w:t>
      </w:r>
      <w:r>
        <w:rPr>
          <w:sz w:val="28"/>
        </w:rPr>
        <w:t>47</w:t>
      </w:r>
      <w:r>
        <w:rPr>
          <w:spacing w:val="-8"/>
          <w:sz w:val="28"/>
        </w:rPr>
        <w:t> </w:t>
      </w:r>
      <w:r>
        <w:rPr>
          <w:sz w:val="28"/>
        </w:rPr>
        <w:t>F.</w:t>
      </w:r>
    </w:p>
    <w:p>
      <w:pPr>
        <w:tabs>
          <w:tab w:pos="6049" w:val="left" w:leader="none"/>
        </w:tabs>
        <w:spacing w:before="1"/>
        <w:ind w:left="112" w:right="3888" w:firstLine="0"/>
        <w:jc w:val="left"/>
        <w:rPr>
          <w:sz w:val="28"/>
        </w:rPr>
      </w:pPr>
      <w:r>
        <w:rPr>
          <w:sz w:val="28"/>
        </w:rPr>
        <w:t>Numri i nxënësve nga klasa e VI-IX janë 68nxënës</w:t>
        <w:tab/>
        <w:t>37M</w:t>
      </w:r>
      <w:r>
        <w:rPr>
          <w:spacing w:val="-18"/>
          <w:sz w:val="28"/>
        </w:rPr>
        <w:t> </w:t>
      </w:r>
      <w:r>
        <w:rPr>
          <w:sz w:val="28"/>
        </w:rPr>
        <w:t>dhe</w:t>
      </w:r>
      <w:r>
        <w:rPr>
          <w:spacing w:val="-17"/>
          <w:sz w:val="28"/>
        </w:rPr>
        <w:t> </w:t>
      </w:r>
      <w:r>
        <w:rPr>
          <w:sz w:val="28"/>
        </w:rPr>
        <w:t>31F. Numri</w:t>
      </w:r>
      <w:r>
        <w:rPr>
          <w:spacing w:val="-1"/>
          <w:sz w:val="28"/>
        </w:rPr>
        <w:t> </w:t>
      </w:r>
      <w:r>
        <w:rPr>
          <w:sz w:val="28"/>
        </w:rPr>
        <w:t>i</w:t>
      </w:r>
      <w:r>
        <w:rPr>
          <w:spacing w:val="-2"/>
          <w:sz w:val="28"/>
        </w:rPr>
        <w:t> </w:t>
      </w:r>
      <w:r>
        <w:rPr>
          <w:sz w:val="28"/>
        </w:rPr>
        <w:t>nxënësve nga</w:t>
      </w:r>
      <w:r>
        <w:rPr>
          <w:spacing w:val="-2"/>
          <w:sz w:val="28"/>
        </w:rPr>
        <w:t> </w:t>
      </w:r>
      <w:r>
        <w:rPr>
          <w:sz w:val="28"/>
        </w:rPr>
        <w:t>klasa</w:t>
      </w:r>
      <w:r>
        <w:rPr>
          <w:spacing w:val="67"/>
          <w:sz w:val="28"/>
        </w:rPr>
        <w:t> </w:t>
      </w:r>
      <w:r>
        <w:rPr>
          <w:sz w:val="28"/>
        </w:rPr>
        <w:t>I</w:t>
      </w:r>
      <w:r>
        <w:rPr>
          <w:spacing w:val="-5"/>
          <w:sz w:val="28"/>
        </w:rPr>
        <w:t> </w:t>
      </w:r>
      <w:r>
        <w:rPr>
          <w:sz w:val="28"/>
        </w:rPr>
        <w:t>–</w:t>
      </w:r>
      <w:r>
        <w:rPr>
          <w:spacing w:val="-1"/>
          <w:sz w:val="28"/>
        </w:rPr>
        <w:t> </w:t>
      </w:r>
      <w:r>
        <w:rPr>
          <w:sz w:val="28"/>
        </w:rPr>
        <w:t>IX</w:t>
      </w:r>
      <w:r>
        <w:rPr>
          <w:spacing w:val="-3"/>
          <w:sz w:val="28"/>
        </w:rPr>
        <w:t> </w:t>
      </w:r>
      <w:r>
        <w:rPr>
          <w:sz w:val="28"/>
        </w:rPr>
        <w:t>janë</w:t>
      </w:r>
      <w:r>
        <w:rPr>
          <w:spacing w:val="-1"/>
          <w:sz w:val="28"/>
        </w:rPr>
        <w:t> </w:t>
      </w:r>
      <w:r>
        <w:rPr>
          <w:sz w:val="28"/>
        </w:rPr>
        <w:t>159</w:t>
      </w:r>
      <w:r>
        <w:rPr>
          <w:spacing w:val="-4"/>
          <w:sz w:val="28"/>
        </w:rPr>
        <w:t> </w:t>
      </w:r>
      <w:r>
        <w:rPr>
          <w:sz w:val="28"/>
        </w:rPr>
        <w:t>nxënës</w:t>
      </w:r>
      <w:r>
        <w:rPr>
          <w:spacing w:val="-2"/>
          <w:sz w:val="28"/>
        </w:rPr>
        <w:t> </w:t>
      </w:r>
      <w:r>
        <w:rPr>
          <w:sz w:val="28"/>
        </w:rPr>
        <w:t>81</w:t>
      </w:r>
      <w:r>
        <w:rPr>
          <w:spacing w:val="-2"/>
          <w:sz w:val="28"/>
        </w:rPr>
        <w:t> </w:t>
      </w:r>
      <w:r>
        <w:rPr>
          <w:sz w:val="28"/>
        </w:rPr>
        <w:t>M</w:t>
      </w:r>
      <w:r>
        <w:rPr>
          <w:spacing w:val="-4"/>
          <w:sz w:val="28"/>
        </w:rPr>
        <w:t> </w:t>
      </w:r>
      <w:r>
        <w:rPr>
          <w:sz w:val="28"/>
        </w:rPr>
        <w:t>dhe</w:t>
      </w:r>
      <w:r>
        <w:rPr>
          <w:spacing w:val="-5"/>
          <w:sz w:val="28"/>
        </w:rPr>
        <w:t> </w:t>
      </w:r>
      <w:r>
        <w:rPr>
          <w:sz w:val="28"/>
        </w:rPr>
        <w:t>78</w:t>
      </w:r>
      <w:r>
        <w:rPr>
          <w:spacing w:val="-1"/>
          <w:sz w:val="28"/>
        </w:rPr>
        <w:t> </w:t>
      </w:r>
      <w:r>
        <w:rPr>
          <w:spacing w:val="-10"/>
          <w:sz w:val="28"/>
        </w:rPr>
        <w:t>F</w:t>
      </w:r>
    </w:p>
    <w:p>
      <w:pPr>
        <w:spacing w:before="0"/>
        <w:ind w:left="112" w:right="1371" w:firstLine="0"/>
        <w:jc w:val="left"/>
        <w:rPr>
          <w:rFonts w:ascii="Calibri" w:hAnsi="Calibri"/>
          <w:b/>
          <w:sz w:val="28"/>
        </w:rPr>
      </w:pPr>
      <w:r>
        <w:rPr>
          <w:rFonts w:ascii="Calibri" w:hAnsi="Calibri"/>
          <w:b/>
          <w:sz w:val="28"/>
        </w:rPr>
        <w:t>Numri</w:t>
      </w:r>
      <w:r>
        <w:rPr>
          <w:rFonts w:ascii="Calibri" w:hAnsi="Calibri"/>
          <w:b/>
          <w:spacing w:val="-3"/>
          <w:sz w:val="28"/>
        </w:rPr>
        <w:t> </w:t>
      </w:r>
      <w:r>
        <w:rPr>
          <w:rFonts w:ascii="Calibri" w:hAnsi="Calibri"/>
          <w:b/>
          <w:sz w:val="28"/>
        </w:rPr>
        <w:t>i</w:t>
      </w:r>
      <w:r>
        <w:rPr>
          <w:rFonts w:ascii="Calibri" w:hAnsi="Calibri"/>
          <w:b/>
          <w:spacing w:val="-3"/>
          <w:sz w:val="28"/>
        </w:rPr>
        <w:t> </w:t>
      </w:r>
      <w:r>
        <w:rPr>
          <w:rFonts w:ascii="Calibri" w:hAnsi="Calibri"/>
          <w:b/>
          <w:sz w:val="28"/>
        </w:rPr>
        <w:t>nxënësve</w:t>
      </w:r>
      <w:r>
        <w:rPr>
          <w:rFonts w:ascii="Calibri" w:hAnsi="Calibri"/>
          <w:b/>
          <w:spacing w:val="-4"/>
          <w:sz w:val="28"/>
        </w:rPr>
        <w:t> </w:t>
      </w:r>
      <w:r>
        <w:rPr>
          <w:rFonts w:ascii="Calibri" w:hAnsi="Calibri"/>
          <w:b/>
          <w:sz w:val="28"/>
        </w:rPr>
        <w:t>nga</w:t>
      </w:r>
      <w:r>
        <w:rPr>
          <w:rFonts w:ascii="Calibri" w:hAnsi="Calibri"/>
          <w:b/>
          <w:spacing w:val="-3"/>
          <w:sz w:val="28"/>
        </w:rPr>
        <w:t> </w:t>
      </w:r>
      <w:r>
        <w:rPr>
          <w:rFonts w:ascii="Calibri" w:hAnsi="Calibri"/>
          <w:b/>
          <w:sz w:val="28"/>
        </w:rPr>
        <w:t>Parafillorë(0)deri</w:t>
      </w:r>
      <w:r>
        <w:rPr>
          <w:rFonts w:ascii="Calibri" w:hAnsi="Calibri"/>
          <w:b/>
          <w:spacing w:val="-3"/>
          <w:sz w:val="28"/>
        </w:rPr>
        <w:t> </w:t>
      </w:r>
      <w:r>
        <w:rPr>
          <w:rFonts w:ascii="Calibri" w:hAnsi="Calibri"/>
          <w:b/>
          <w:sz w:val="28"/>
        </w:rPr>
        <w:t>në</w:t>
      </w:r>
      <w:r>
        <w:rPr>
          <w:rFonts w:ascii="Calibri" w:hAnsi="Calibri"/>
          <w:b/>
          <w:spacing w:val="-3"/>
          <w:sz w:val="28"/>
        </w:rPr>
        <w:t> </w:t>
      </w:r>
      <w:r>
        <w:rPr>
          <w:rFonts w:ascii="Calibri" w:hAnsi="Calibri"/>
          <w:b/>
          <w:sz w:val="28"/>
        </w:rPr>
        <w:t>klasën</w:t>
      </w:r>
      <w:r>
        <w:rPr>
          <w:rFonts w:ascii="Calibri" w:hAnsi="Calibri"/>
          <w:b/>
          <w:spacing w:val="-2"/>
          <w:sz w:val="28"/>
        </w:rPr>
        <w:t> </w:t>
      </w:r>
      <w:r>
        <w:rPr>
          <w:rFonts w:ascii="Calibri" w:hAnsi="Calibri"/>
          <w:b/>
          <w:sz w:val="28"/>
        </w:rPr>
        <w:t>e</w:t>
      </w:r>
      <w:r>
        <w:rPr>
          <w:rFonts w:ascii="Calibri" w:hAnsi="Calibri"/>
          <w:b/>
          <w:spacing w:val="-3"/>
          <w:sz w:val="28"/>
        </w:rPr>
        <w:t> </w:t>
      </w:r>
      <w:r>
        <w:rPr>
          <w:rFonts w:ascii="Calibri" w:hAnsi="Calibri"/>
          <w:b/>
          <w:sz w:val="28"/>
        </w:rPr>
        <w:t>nentë(9)</w:t>
      </w:r>
      <w:r>
        <w:rPr>
          <w:rFonts w:ascii="Calibri" w:hAnsi="Calibri"/>
          <w:b/>
          <w:spacing w:val="-5"/>
          <w:sz w:val="28"/>
        </w:rPr>
        <w:t> </w:t>
      </w:r>
      <w:r>
        <w:rPr>
          <w:rFonts w:ascii="Calibri" w:hAnsi="Calibri"/>
          <w:b/>
          <w:sz w:val="28"/>
        </w:rPr>
        <w:t>është</w:t>
      </w:r>
      <w:r>
        <w:rPr>
          <w:rFonts w:ascii="Calibri" w:hAnsi="Calibri"/>
          <w:b/>
          <w:spacing w:val="-3"/>
          <w:sz w:val="28"/>
        </w:rPr>
        <w:t> </w:t>
      </w:r>
      <w:r>
        <w:rPr>
          <w:rFonts w:ascii="Calibri" w:hAnsi="Calibri"/>
          <w:b/>
          <w:sz w:val="28"/>
        </w:rPr>
        <w:t>180nxënës</w:t>
      </w:r>
      <w:r>
        <w:rPr>
          <w:rFonts w:ascii="Calibri" w:hAnsi="Calibri"/>
          <w:b/>
          <w:spacing w:val="-3"/>
          <w:sz w:val="28"/>
        </w:rPr>
        <w:t> </w:t>
      </w:r>
      <w:r>
        <w:rPr>
          <w:rFonts w:ascii="Calibri" w:hAnsi="Calibri"/>
          <w:b/>
          <w:sz w:val="28"/>
        </w:rPr>
        <w:t>92</w:t>
      </w:r>
      <w:r>
        <w:rPr>
          <w:rFonts w:ascii="Calibri" w:hAnsi="Calibri"/>
          <w:b/>
          <w:spacing w:val="-4"/>
          <w:sz w:val="28"/>
        </w:rPr>
        <w:t> </w:t>
      </w:r>
      <w:r>
        <w:rPr>
          <w:rFonts w:ascii="Calibri" w:hAnsi="Calibri"/>
          <w:b/>
          <w:sz w:val="28"/>
        </w:rPr>
        <w:t>M dhe 88 F</w:t>
      </w:r>
    </w:p>
    <w:p>
      <w:pPr>
        <w:spacing w:before="0"/>
        <w:ind w:left="112" w:right="2407" w:firstLine="0"/>
        <w:jc w:val="left"/>
        <w:rPr>
          <w:rFonts w:ascii="Calibri" w:hAnsi="Calibri"/>
          <w:b/>
          <w:sz w:val="28"/>
        </w:rPr>
      </w:pPr>
      <w:r>
        <w:rPr>
          <w:rFonts w:ascii="Calibri" w:hAnsi="Calibri"/>
          <w:b/>
          <w:sz w:val="28"/>
        </w:rPr>
        <w:t>Krahasimi</w:t>
      </w:r>
      <w:r>
        <w:rPr>
          <w:rFonts w:ascii="Calibri" w:hAnsi="Calibri"/>
          <w:b/>
          <w:spacing w:val="-2"/>
          <w:sz w:val="28"/>
        </w:rPr>
        <w:t> </w:t>
      </w:r>
      <w:r>
        <w:rPr>
          <w:rFonts w:ascii="Calibri" w:hAnsi="Calibri"/>
          <w:b/>
          <w:sz w:val="28"/>
        </w:rPr>
        <w:t>me</w:t>
      </w:r>
      <w:r>
        <w:rPr>
          <w:rFonts w:ascii="Calibri" w:hAnsi="Calibri"/>
          <w:b/>
          <w:spacing w:val="-4"/>
          <w:sz w:val="28"/>
        </w:rPr>
        <w:t> </w:t>
      </w:r>
      <w:r>
        <w:rPr>
          <w:rFonts w:ascii="Calibri" w:hAnsi="Calibri"/>
          <w:b/>
          <w:sz w:val="28"/>
        </w:rPr>
        <w:t>vitinshkollor</w:t>
      </w:r>
      <w:r>
        <w:rPr>
          <w:rFonts w:ascii="Calibri" w:hAnsi="Calibri"/>
          <w:b/>
          <w:spacing w:val="-1"/>
          <w:sz w:val="28"/>
        </w:rPr>
        <w:t> </w:t>
      </w:r>
      <w:r>
        <w:rPr>
          <w:rFonts w:ascii="Calibri" w:hAnsi="Calibri"/>
          <w:b/>
          <w:sz w:val="28"/>
        </w:rPr>
        <w:t>2022-2023</w:t>
      </w:r>
      <w:r>
        <w:rPr>
          <w:rFonts w:ascii="Calibri" w:hAnsi="Calibri"/>
          <w:b/>
          <w:spacing w:val="-4"/>
          <w:sz w:val="28"/>
        </w:rPr>
        <w:t> </w:t>
      </w:r>
      <w:r>
        <w:rPr>
          <w:rFonts w:ascii="Calibri" w:hAnsi="Calibri"/>
          <w:b/>
          <w:sz w:val="28"/>
        </w:rPr>
        <w:t>kemi</w:t>
      </w:r>
      <w:r>
        <w:rPr>
          <w:rFonts w:ascii="Calibri" w:hAnsi="Calibri"/>
          <w:b/>
          <w:spacing w:val="-3"/>
          <w:sz w:val="28"/>
        </w:rPr>
        <w:t> </w:t>
      </w:r>
      <w:r>
        <w:rPr>
          <w:rFonts w:ascii="Calibri" w:hAnsi="Calibri"/>
          <w:b/>
          <w:sz w:val="28"/>
        </w:rPr>
        <w:t>4</w:t>
      </w:r>
      <w:r>
        <w:rPr>
          <w:rFonts w:ascii="Calibri" w:hAnsi="Calibri"/>
          <w:b/>
          <w:spacing w:val="-4"/>
          <w:sz w:val="28"/>
        </w:rPr>
        <w:t> </w:t>
      </w:r>
      <w:r>
        <w:rPr>
          <w:rFonts w:ascii="Calibri" w:hAnsi="Calibri"/>
          <w:b/>
          <w:sz w:val="28"/>
        </w:rPr>
        <w:t>nxënës</w:t>
      </w:r>
      <w:r>
        <w:rPr>
          <w:rFonts w:ascii="Calibri" w:hAnsi="Calibri"/>
          <w:b/>
          <w:spacing w:val="-2"/>
          <w:sz w:val="28"/>
        </w:rPr>
        <w:t> </w:t>
      </w:r>
      <w:r>
        <w:rPr>
          <w:rFonts w:ascii="Calibri" w:hAnsi="Calibri"/>
          <w:b/>
          <w:sz w:val="28"/>
        </w:rPr>
        <w:t>më</w:t>
      </w:r>
      <w:r>
        <w:rPr>
          <w:rFonts w:ascii="Calibri" w:hAnsi="Calibri"/>
          <w:b/>
          <w:spacing w:val="-3"/>
          <w:sz w:val="28"/>
        </w:rPr>
        <w:t> </w:t>
      </w:r>
      <w:r>
        <w:rPr>
          <w:rFonts w:ascii="Calibri" w:hAnsi="Calibri"/>
          <w:b/>
          <w:sz w:val="28"/>
        </w:rPr>
        <w:t>pakë</w:t>
      </w:r>
      <w:r>
        <w:rPr>
          <w:rFonts w:ascii="Calibri" w:hAnsi="Calibri"/>
          <w:b/>
          <w:spacing w:val="-5"/>
          <w:sz w:val="28"/>
        </w:rPr>
        <w:t> </w:t>
      </w:r>
      <w:r>
        <w:rPr>
          <w:rFonts w:ascii="Calibri" w:hAnsi="Calibri"/>
          <w:b/>
          <w:sz w:val="28"/>
        </w:rPr>
        <w:t>3</w:t>
      </w:r>
      <w:r>
        <w:rPr>
          <w:rFonts w:ascii="Calibri" w:hAnsi="Calibri"/>
          <w:b/>
          <w:spacing w:val="-4"/>
          <w:sz w:val="28"/>
        </w:rPr>
        <w:t> </w:t>
      </w:r>
      <w:r>
        <w:rPr>
          <w:rFonts w:ascii="Calibri" w:hAnsi="Calibri"/>
          <w:b/>
          <w:sz w:val="28"/>
        </w:rPr>
        <w:t>M</w:t>
      </w:r>
      <w:r>
        <w:rPr>
          <w:rFonts w:ascii="Calibri" w:hAnsi="Calibri"/>
          <w:b/>
          <w:spacing w:val="-4"/>
          <w:sz w:val="28"/>
        </w:rPr>
        <w:t> </w:t>
      </w:r>
      <w:r>
        <w:rPr>
          <w:rFonts w:ascii="Calibri" w:hAnsi="Calibri"/>
          <w:b/>
          <w:sz w:val="28"/>
        </w:rPr>
        <w:t>dhe</w:t>
      </w:r>
      <w:r>
        <w:rPr>
          <w:rFonts w:ascii="Calibri" w:hAnsi="Calibri"/>
          <w:b/>
          <w:spacing w:val="-3"/>
          <w:sz w:val="28"/>
        </w:rPr>
        <w:t> </w:t>
      </w:r>
      <w:r>
        <w:rPr>
          <w:rFonts w:ascii="Calibri" w:hAnsi="Calibri"/>
          <w:b/>
          <w:sz w:val="28"/>
        </w:rPr>
        <w:t>1</w:t>
      </w:r>
      <w:r>
        <w:rPr>
          <w:rFonts w:ascii="Calibri" w:hAnsi="Calibri"/>
          <w:b/>
          <w:spacing w:val="-4"/>
          <w:sz w:val="28"/>
        </w:rPr>
        <w:t> </w:t>
      </w:r>
      <w:r>
        <w:rPr>
          <w:rFonts w:ascii="Calibri" w:hAnsi="Calibri"/>
          <w:b/>
          <w:sz w:val="28"/>
        </w:rPr>
        <w:t>F. Viti shkollor 2022-2023,</w:t>
      </w:r>
      <w:r>
        <w:rPr>
          <w:rFonts w:ascii="Calibri" w:hAnsi="Calibri"/>
          <w:b/>
          <w:spacing w:val="80"/>
          <w:sz w:val="28"/>
        </w:rPr>
        <w:t> </w:t>
      </w:r>
      <w:r>
        <w:rPr>
          <w:rFonts w:ascii="Calibri" w:hAnsi="Calibri"/>
          <w:b/>
          <w:sz w:val="28"/>
        </w:rPr>
        <w:t>184 nxënës 95 M dhe 89 F</w:t>
      </w:r>
    </w:p>
    <w:p>
      <w:pPr>
        <w:spacing w:before="1"/>
        <w:ind w:left="112" w:right="0" w:firstLine="0"/>
        <w:jc w:val="left"/>
        <w:rPr>
          <w:rFonts w:ascii="Calibri" w:hAnsi="Calibri"/>
          <w:b/>
          <w:sz w:val="28"/>
        </w:rPr>
      </w:pPr>
      <w:r>
        <w:rPr>
          <w:rFonts w:ascii="Calibri" w:hAnsi="Calibri"/>
          <w:b/>
          <w:sz w:val="28"/>
        </w:rPr>
        <w:t>Viti</w:t>
      </w:r>
      <w:r>
        <w:rPr>
          <w:rFonts w:ascii="Calibri" w:hAnsi="Calibri"/>
          <w:b/>
          <w:spacing w:val="-3"/>
          <w:sz w:val="28"/>
        </w:rPr>
        <w:t> </w:t>
      </w:r>
      <w:r>
        <w:rPr>
          <w:rFonts w:ascii="Calibri" w:hAnsi="Calibri"/>
          <w:b/>
          <w:sz w:val="28"/>
        </w:rPr>
        <w:t>shkollor</w:t>
      </w:r>
      <w:r>
        <w:rPr>
          <w:rFonts w:ascii="Calibri" w:hAnsi="Calibri"/>
          <w:b/>
          <w:spacing w:val="-2"/>
          <w:sz w:val="28"/>
        </w:rPr>
        <w:t> </w:t>
      </w:r>
      <w:r>
        <w:rPr>
          <w:rFonts w:ascii="Calibri" w:hAnsi="Calibri"/>
          <w:b/>
          <w:sz w:val="28"/>
        </w:rPr>
        <w:t>2023-2024,</w:t>
      </w:r>
      <w:r>
        <w:rPr>
          <w:rFonts w:ascii="Calibri" w:hAnsi="Calibri"/>
          <w:b/>
          <w:spacing w:val="28"/>
          <w:sz w:val="28"/>
        </w:rPr>
        <w:t>  </w:t>
      </w:r>
      <w:r>
        <w:rPr>
          <w:rFonts w:ascii="Calibri" w:hAnsi="Calibri"/>
          <w:b/>
          <w:sz w:val="28"/>
        </w:rPr>
        <w:t>180</w:t>
      </w:r>
      <w:r>
        <w:rPr>
          <w:rFonts w:ascii="Calibri" w:hAnsi="Calibri"/>
          <w:b/>
          <w:spacing w:val="-4"/>
          <w:sz w:val="28"/>
        </w:rPr>
        <w:t> </w:t>
      </w:r>
      <w:r>
        <w:rPr>
          <w:rFonts w:ascii="Calibri" w:hAnsi="Calibri"/>
          <w:b/>
          <w:sz w:val="28"/>
        </w:rPr>
        <w:t>nxënës</w:t>
      </w:r>
      <w:r>
        <w:rPr>
          <w:rFonts w:ascii="Calibri" w:hAnsi="Calibri"/>
          <w:b/>
          <w:spacing w:val="-2"/>
          <w:sz w:val="28"/>
        </w:rPr>
        <w:t> </w:t>
      </w:r>
      <w:r>
        <w:rPr>
          <w:rFonts w:ascii="Calibri" w:hAnsi="Calibri"/>
          <w:b/>
          <w:sz w:val="28"/>
        </w:rPr>
        <w:t>92</w:t>
      </w:r>
      <w:r>
        <w:rPr>
          <w:rFonts w:ascii="Calibri" w:hAnsi="Calibri"/>
          <w:b/>
          <w:spacing w:val="-4"/>
          <w:sz w:val="28"/>
        </w:rPr>
        <w:t> </w:t>
      </w:r>
      <w:r>
        <w:rPr>
          <w:rFonts w:ascii="Calibri" w:hAnsi="Calibri"/>
          <w:b/>
          <w:sz w:val="28"/>
        </w:rPr>
        <w:t>M</w:t>
      </w:r>
      <w:r>
        <w:rPr>
          <w:rFonts w:ascii="Calibri" w:hAnsi="Calibri"/>
          <w:b/>
          <w:spacing w:val="-4"/>
          <w:sz w:val="28"/>
        </w:rPr>
        <w:t> </w:t>
      </w:r>
      <w:r>
        <w:rPr>
          <w:rFonts w:ascii="Calibri" w:hAnsi="Calibri"/>
          <w:b/>
          <w:sz w:val="28"/>
        </w:rPr>
        <w:t>dhe</w:t>
      </w:r>
      <w:r>
        <w:rPr>
          <w:rFonts w:ascii="Calibri" w:hAnsi="Calibri"/>
          <w:b/>
          <w:spacing w:val="-2"/>
          <w:sz w:val="28"/>
        </w:rPr>
        <w:t> </w:t>
      </w:r>
      <w:r>
        <w:rPr>
          <w:rFonts w:ascii="Calibri" w:hAnsi="Calibri"/>
          <w:b/>
          <w:spacing w:val="-5"/>
          <w:sz w:val="28"/>
        </w:rPr>
        <w:t>88F</w:t>
      </w:r>
    </w:p>
    <w:p>
      <w:pPr>
        <w:pStyle w:val="BodyText"/>
        <w:rPr>
          <w:rFonts w:ascii="Calibri"/>
          <w:b/>
          <w:sz w:val="28"/>
        </w:rPr>
      </w:pPr>
    </w:p>
    <w:p>
      <w:pPr>
        <w:pStyle w:val="BodyText"/>
        <w:spacing w:before="11"/>
        <w:rPr>
          <w:rFonts w:ascii="Calibri"/>
          <w:b/>
          <w:sz w:val="27"/>
        </w:rPr>
      </w:pPr>
    </w:p>
    <w:p>
      <w:pPr>
        <w:spacing w:before="0"/>
        <w:ind w:left="1980" w:right="0" w:firstLine="0"/>
        <w:jc w:val="left"/>
        <w:rPr>
          <w:rFonts w:ascii="Calibri"/>
          <w:sz w:val="28"/>
        </w:rPr>
      </w:pPr>
      <w:r>
        <w:rPr>
          <w:rFonts w:ascii="Calibri"/>
          <w:w w:val="100"/>
          <w:sz w:val="28"/>
        </w:rPr>
        <w:t>.</w:t>
      </w:r>
    </w:p>
    <w:p>
      <w:pPr>
        <w:pStyle w:val="ListParagraph"/>
        <w:numPr>
          <w:ilvl w:val="1"/>
          <w:numId w:val="2"/>
        </w:numPr>
        <w:tabs>
          <w:tab w:pos="1981" w:val="left" w:leader="none"/>
          <w:tab w:pos="10290" w:val="left" w:leader="none"/>
        </w:tabs>
        <w:spacing w:line="240" w:lineRule="auto" w:before="1" w:after="0"/>
        <w:ind w:left="1980" w:right="0" w:hanging="181"/>
        <w:jc w:val="left"/>
        <w:rPr>
          <w:rFonts w:ascii="Symbol" w:hAnsi="Symbol"/>
          <w:sz w:val="28"/>
        </w:rPr>
      </w:pPr>
      <w:r>
        <w:rPr>
          <w:color w:val="000000"/>
          <w:sz w:val="28"/>
          <w:shd w:fill="FCE9D9" w:color="auto" w:val="clear"/>
        </w:rPr>
        <w:t>Sh.F.M.U.</w:t>
      </w:r>
      <w:r>
        <w:rPr>
          <w:color w:val="000000"/>
          <w:spacing w:val="-6"/>
          <w:sz w:val="28"/>
          <w:shd w:fill="FCE9D9" w:color="auto" w:val="clear"/>
        </w:rPr>
        <w:t> </w:t>
      </w:r>
      <w:r>
        <w:rPr>
          <w:color w:val="000000"/>
          <w:sz w:val="28"/>
          <w:shd w:fill="FCE9D9" w:color="auto" w:val="clear"/>
        </w:rPr>
        <w:t>“Veli</w:t>
      </w:r>
      <w:r>
        <w:rPr>
          <w:color w:val="000000"/>
          <w:spacing w:val="-6"/>
          <w:sz w:val="28"/>
          <w:shd w:fill="FCE9D9" w:color="auto" w:val="clear"/>
        </w:rPr>
        <w:t> </w:t>
      </w:r>
      <w:r>
        <w:rPr>
          <w:color w:val="000000"/>
          <w:sz w:val="28"/>
          <w:shd w:fill="FCE9D9" w:color="auto" w:val="clear"/>
        </w:rPr>
        <w:t>Ballazhi”-</w:t>
      </w:r>
      <w:r>
        <w:rPr>
          <w:color w:val="000000"/>
          <w:spacing w:val="-2"/>
          <w:sz w:val="28"/>
          <w:shd w:fill="FCE9D9" w:color="auto" w:val="clear"/>
        </w:rPr>
        <w:t>Gorancë.</w:t>
      </w:r>
      <w:r>
        <w:rPr>
          <w:color w:val="000000"/>
          <w:sz w:val="28"/>
          <w:shd w:fill="FCE9D9" w:color="auto" w:val="clear"/>
        </w:rPr>
        <w:tab/>
      </w:r>
    </w:p>
    <w:p>
      <w:pPr>
        <w:pStyle w:val="BodyText"/>
        <w:spacing w:before="9"/>
        <w:rPr>
          <w:sz w:val="27"/>
        </w:rPr>
      </w:pPr>
    </w:p>
    <w:p>
      <w:pPr>
        <w:pStyle w:val="ListParagraph"/>
        <w:numPr>
          <w:ilvl w:val="1"/>
          <w:numId w:val="2"/>
        </w:numPr>
        <w:tabs>
          <w:tab w:pos="1981" w:val="left" w:leader="none"/>
          <w:tab w:pos="5309" w:val="left" w:leader="none"/>
        </w:tabs>
        <w:spacing w:line="240" w:lineRule="auto" w:before="1" w:after="0"/>
        <w:ind w:left="1980" w:right="0" w:hanging="181"/>
        <w:jc w:val="left"/>
        <w:rPr>
          <w:rFonts w:ascii="Symbol" w:hAnsi="Symbol"/>
          <w:sz w:val="28"/>
        </w:rPr>
      </w:pPr>
      <w:r>
        <w:rPr>
          <w:sz w:val="28"/>
        </w:rPr>
        <w:t>Numri</w:t>
      </w:r>
      <w:r>
        <w:rPr>
          <w:spacing w:val="-4"/>
          <w:sz w:val="28"/>
        </w:rPr>
        <w:t> </w:t>
      </w:r>
      <w:r>
        <w:rPr>
          <w:sz w:val="28"/>
        </w:rPr>
        <w:t>i</w:t>
      </w:r>
      <w:r>
        <w:rPr>
          <w:spacing w:val="-4"/>
          <w:sz w:val="28"/>
        </w:rPr>
        <w:t> </w:t>
      </w:r>
      <w:r>
        <w:rPr>
          <w:sz w:val="28"/>
        </w:rPr>
        <w:t>nxënësve</w:t>
      </w:r>
      <w:r>
        <w:rPr>
          <w:spacing w:val="-3"/>
          <w:sz w:val="28"/>
        </w:rPr>
        <w:t> </w:t>
      </w:r>
      <w:r>
        <w:rPr>
          <w:spacing w:val="-2"/>
          <w:sz w:val="28"/>
        </w:rPr>
        <w:t>Parafillor</w:t>
      </w:r>
      <w:r>
        <w:rPr>
          <w:sz w:val="28"/>
        </w:rPr>
        <w:tab/>
        <w:t>janë</w:t>
      </w:r>
      <w:r>
        <w:rPr>
          <w:spacing w:val="65"/>
          <w:sz w:val="28"/>
        </w:rPr>
        <w:t> </w:t>
      </w:r>
      <w:r>
        <w:rPr>
          <w:sz w:val="28"/>
        </w:rPr>
        <w:t>10</w:t>
      </w:r>
      <w:r>
        <w:rPr>
          <w:spacing w:val="-1"/>
          <w:sz w:val="28"/>
        </w:rPr>
        <w:t> </w:t>
      </w:r>
      <w:r>
        <w:rPr>
          <w:sz w:val="28"/>
        </w:rPr>
        <w:t>nxënës</w:t>
      </w:r>
      <w:r>
        <w:rPr>
          <w:spacing w:val="67"/>
          <w:sz w:val="28"/>
        </w:rPr>
        <w:t> </w:t>
      </w:r>
      <w:r>
        <w:rPr>
          <w:spacing w:val="-2"/>
          <w:sz w:val="28"/>
        </w:rPr>
        <w:t>parafillor.</w:t>
      </w:r>
    </w:p>
    <w:p>
      <w:pPr>
        <w:pStyle w:val="ListParagraph"/>
        <w:numPr>
          <w:ilvl w:val="1"/>
          <w:numId w:val="2"/>
        </w:numPr>
        <w:tabs>
          <w:tab w:pos="1981" w:val="left" w:leader="none"/>
        </w:tabs>
        <w:spacing w:line="342" w:lineRule="exact" w:before="0" w:after="0"/>
        <w:ind w:left="1980" w:right="0" w:hanging="181"/>
        <w:jc w:val="left"/>
        <w:rPr>
          <w:rFonts w:ascii="Symbol" w:hAnsi="Symbol"/>
          <w:sz w:val="28"/>
        </w:rPr>
      </w:pPr>
      <w:r>
        <w:rPr>
          <w:sz w:val="28"/>
        </w:rPr>
        <w:t>Numri</w:t>
      </w:r>
      <w:r>
        <w:rPr>
          <w:spacing w:val="-2"/>
          <w:sz w:val="28"/>
        </w:rPr>
        <w:t> </w:t>
      </w:r>
      <w:r>
        <w:rPr>
          <w:sz w:val="28"/>
        </w:rPr>
        <w:t>i</w:t>
      </w:r>
      <w:r>
        <w:rPr>
          <w:spacing w:val="-3"/>
          <w:sz w:val="28"/>
        </w:rPr>
        <w:t> </w:t>
      </w:r>
      <w:r>
        <w:rPr>
          <w:sz w:val="28"/>
        </w:rPr>
        <w:t>nxënësve</w:t>
      </w:r>
      <w:r>
        <w:rPr>
          <w:spacing w:val="-2"/>
          <w:sz w:val="28"/>
        </w:rPr>
        <w:t> </w:t>
      </w:r>
      <w:r>
        <w:rPr>
          <w:sz w:val="28"/>
        </w:rPr>
        <w:t>nga</w:t>
      </w:r>
      <w:r>
        <w:rPr>
          <w:spacing w:val="-2"/>
          <w:sz w:val="28"/>
        </w:rPr>
        <w:t> </w:t>
      </w:r>
      <w:r>
        <w:rPr>
          <w:sz w:val="28"/>
        </w:rPr>
        <w:t>klasa</w:t>
      </w:r>
      <w:r>
        <w:rPr>
          <w:spacing w:val="-2"/>
          <w:sz w:val="28"/>
        </w:rPr>
        <w:t> </w:t>
      </w:r>
      <w:r>
        <w:rPr>
          <w:sz w:val="28"/>
        </w:rPr>
        <w:t>e</w:t>
      </w:r>
      <w:r>
        <w:rPr>
          <w:spacing w:val="-4"/>
          <w:sz w:val="28"/>
        </w:rPr>
        <w:t> </w:t>
      </w:r>
      <w:r>
        <w:rPr>
          <w:sz w:val="28"/>
        </w:rPr>
        <w:t>I-V</w:t>
      </w:r>
      <w:r>
        <w:rPr>
          <w:spacing w:val="63"/>
          <w:sz w:val="28"/>
        </w:rPr>
        <w:t> </w:t>
      </w:r>
      <w:r>
        <w:rPr>
          <w:sz w:val="28"/>
        </w:rPr>
        <w:t>janë</w:t>
      </w:r>
      <w:r>
        <w:rPr>
          <w:spacing w:val="-2"/>
          <w:sz w:val="28"/>
        </w:rPr>
        <w:t> </w:t>
      </w:r>
      <w:r>
        <w:rPr>
          <w:sz w:val="28"/>
        </w:rPr>
        <w:t>78</w:t>
      </w:r>
      <w:r>
        <w:rPr>
          <w:spacing w:val="-4"/>
          <w:sz w:val="28"/>
        </w:rPr>
        <w:t> </w:t>
      </w:r>
      <w:r>
        <w:rPr>
          <w:sz w:val="28"/>
        </w:rPr>
        <w:t>nxënës</w:t>
      </w:r>
      <w:r>
        <w:rPr>
          <w:spacing w:val="65"/>
          <w:sz w:val="28"/>
        </w:rPr>
        <w:t> </w:t>
      </w:r>
      <w:r>
        <w:rPr>
          <w:spacing w:val="-10"/>
          <w:sz w:val="28"/>
        </w:rPr>
        <w:t>.</w:t>
      </w:r>
    </w:p>
    <w:p>
      <w:pPr>
        <w:pStyle w:val="ListParagraph"/>
        <w:numPr>
          <w:ilvl w:val="1"/>
          <w:numId w:val="2"/>
        </w:numPr>
        <w:tabs>
          <w:tab w:pos="1981" w:val="left" w:leader="none"/>
          <w:tab w:pos="6251" w:val="left" w:leader="none"/>
        </w:tabs>
        <w:spacing w:line="342" w:lineRule="exact" w:before="0" w:after="0"/>
        <w:ind w:left="1980" w:right="0" w:hanging="181"/>
        <w:jc w:val="left"/>
        <w:rPr>
          <w:rFonts w:ascii="Symbol" w:hAnsi="Symbol"/>
          <w:sz w:val="28"/>
        </w:rPr>
      </w:pPr>
      <w:r>
        <w:rPr>
          <w:sz w:val="28"/>
        </w:rPr>
        <w:t>Numri</w:t>
      </w:r>
      <w:r>
        <w:rPr>
          <w:spacing w:val="-3"/>
          <w:sz w:val="28"/>
        </w:rPr>
        <w:t> </w:t>
      </w:r>
      <w:r>
        <w:rPr>
          <w:sz w:val="28"/>
        </w:rPr>
        <w:t>i</w:t>
      </w:r>
      <w:r>
        <w:rPr>
          <w:spacing w:val="-3"/>
          <w:sz w:val="28"/>
        </w:rPr>
        <w:t> </w:t>
      </w:r>
      <w:r>
        <w:rPr>
          <w:sz w:val="28"/>
        </w:rPr>
        <w:t>nxënësve</w:t>
      </w:r>
      <w:r>
        <w:rPr>
          <w:spacing w:val="-3"/>
          <w:sz w:val="28"/>
        </w:rPr>
        <w:t> </w:t>
      </w:r>
      <w:r>
        <w:rPr>
          <w:sz w:val="28"/>
        </w:rPr>
        <w:t>nga</w:t>
      </w:r>
      <w:r>
        <w:rPr>
          <w:spacing w:val="-3"/>
          <w:sz w:val="28"/>
        </w:rPr>
        <w:t> </w:t>
      </w:r>
      <w:r>
        <w:rPr>
          <w:sz w:val="28"/>
        </w:rPr>
        <w:t>klasa</w:t>
      </w:r>
      <w:r>
        <w:rPr>
          <w:spacing w:val="-3"/>
          <w:sz w:val="28"/>
        </w:rPr>
        <w:t> </w:t>
      </w:r>
      <w:r>
        <w:rPr>
          <w:sz w:val="28"/>
        </w:rPr>
        <w:t>e</w:t>
      </w:r>
      <w:r>
        <w:rPr>
          <w:spacing w:val="-3"/>
          <w:sz w:val="28"/>
        </w:rPr>
        <w:t> </w:t>
      </w:r>
      <w:r>
        <w:rPr>
          <w:sz w:val="28"/>
        </w:rPr>
        <w:t>VI-</w:t>
      </w:r>
      <w:r>
        <w:rPr>
          <w:spacing w:val="-5"/>
          <w:sz w:val="28"/>
        </w:rPr>
        <w:t>IX</w:t>
      </w:r>
      <w:r>
        <w:rPr>
          <w:sz w:val="28"/>
        </w:rPr>
        <w:tab/>
        <w:t>janë</w:t>
      </w:r>
      <w:r>
        <w:rPr>
          <w:spacing w:val="-5"/>
          <w:sz w:val="28"/>
        </w:rPr>
        <w:t> </w:t>
      </w:r>
      <w:r>
        <w:rPr>
          <w:sz w:val="28"/>
        </w:rPr>
        <w:t>50</w:t>
      </w:r>
      <w:r>
        <w:rPr>
          <w:spacing w:val="-3"/>
          <w:sz w:val="28"/>
        </w:rPr>
        <w:t> </w:t>
      </w:r>
      <w:r>
        <w:rPr>
          <w:sz w:val="28"/>
        </w:rPr>
        <w:t>nxënës </w:t>
      </w:r>
      <w:r>
        <w:rPr>
          <w:spacing w:val="-10"/>
          <w:sz w:val="28"/>
        </w:rPr>
        <w:t>.</w:t>
      </w:r>
    </w:p>
    <w:p>
      <w:pPr>
        <w:pStyle w:val="BodyText"/>
        <w:rPr>
          <w:sz w:val="34"/>
        </w:rPr>
      </w:pPr>
    </w:p>
    <w:p>
      <w:pPr>
        <w:spacing w:before="253"/>
        <w:ind w:left="1939" w:right="0" w:firstLine="0"/>
        <w:jc w:val="left"/>
        <w:rPr>
          <w:sz w:val="28"/>
        </w:rPr>
      </w:pPr>
      <w:r>
        <w:rPr>
          <w:sz w:val="28"/>
        </w:rPr>
        <w:t>Numri</w:t>
      </w:r>
      <w:r>
        <w:rPr>
          <w:spacing w:val="-4"/>
          <w:sz w:val="28"/>
        </w:rPr>
        <w:t> </w:t>
      </w:r>
      <w:r>
        <w:rPr>
          <w:sz w:val="28"/>
        </w:rPr>
        <w:t>i</w:t>
      </w:r>
      <w:r>
        <w:rPr>
          <w:spacing w:val="-3"/>
          <w:sz w:val="28"/>
        </w:rPr>
        <w:t> </w:t>
      </w:r>
      <w:r>
        <w:rPr>
          <w:sz w:val="28"/>
        </w:rPr>
        <w:t>nxënësve</w:t>
      </w:r>
      <w:r>
        <w:rPr>
          <w:spacing w:val="-2"/>
          <w:sz w:val="28"/>
        </w:rPr>
        <w:t> </w:t>
      </w:r>
      <w:r>
        <w:rPr>
          <w:sz w:val="28"/>
        </w:rPr>
        <w:t>nga</w:t>
      </w:r>
      <w:r>
        <w:rPr>
          <w:spacing w:val="-3"/>
          <w:sz w:val="28"/>
        </w:rPr>
        <w:t> </w:t>
      </w:r>
      <w:r>
        <w:rPr>
          <w:sz w:val="28"/>
        </w:rPr>
        <w:t>Parafillorë</w:t>
      </w:r>
      <w:r>
        <w:rPr>
          <w:spacing w:val="-5"/>
          <w:sz w:val="28"/>
        </w:rPr>
        <w:t> </w:t>
      </w:r>
      <w:r>
        <w:rPr>
          <w:sz w:val="28"/>
        </w:rPr>
        <w:t>deri</w:t>
      </w:r>
      <w:r>
        <w:rPr>
          <w:spacing w:val="-5"/>
          <w:sz w:val="28"/>
        </w:rPr>
        <w:t> </w:t>
      </w:r>
      <w:r>
        <w:rPr>
          <w:sz w:val="28"/>
        </w:rPr>
        <w:t>në</w:t>
      </w:r>
      <w:r>
        <w:rPr>
          <w:spacing w:val="-5"/>
          <w:sz w:val="28"/>
        </w:rPr>
        <w:t> </w:t>
      </w:r>
      <w:r>
        <w:rPr>
          <w:sz w:val="28"/>
        </w:rPr>
        <w:t>klasëne</w:t>
      </w:r>
      <w:r>
        <w:rPr>
          <w:spacing w:val="-5"/>
          <w:sz w:val="28"/>
        </w:rPr>
        <w:t> </w:t>
      </w:r>
      <w:r>
        <w:rPr>
          <w:sz w:val="28"/>
        </w:rPr>
        <w:t>nentë</w:t>
      </w:r>
      <w:r>
        <w:rPr>
          <w:spacing w:val="-5"/>
          <w:sz w:val="28"/>
        </w:rPr>
        <w:t> </w:t>
      </w:r>
      <w:r>
        <w:rPr>
          <w:sz w:val="28"/>
        </w:rPr>
        <w:t>është</w:t>
      </w:r>
      <w:r>
        <w:rPr>
          <w:spacing w:val="-2"/>
          <w:sz w:val="28"/>
        </w:rPr>
        <w:t> </w:t>
      </w:r>
      <w:r>
        <w:rPr>
          <w:sz w:val="28"/>
        </w:rPr>
        <w:t>138</w:t>
      </w:r>
      <w:r>
        <w:rPr>
          <w:spacing w:val="63"/>
          <w:sz w:val="28"/>
        </w:rPr>
        <w:t> </w:t>
      </w:r>
      <w:r>
        <w:rPr>
          <w:spacing w:val="-5"/>
          <w:sz w:val="28"/>
        </w:rPr>
        <w:t>nx.</w:t>
      </w:r>
    </w:p>
    <w:p>
      <w:pPr>
        <w:pStyle w:val="BodyText"/>
        <w:rPr>
          <w:sz w:val="20"/>
        </w:rPr>
      </w:pPr>
    </w:p>
    <w:p>
      <w:pPr>
        <w:pStyle w:val="BodyText"/>
        <w:spacing w:before="2"/>
        <w:rPr>
          <w:sz w:val="28"/>
        </w:rPr>
      </w:pPr>
    </w:p>
    <w:p>
      <w:pPr>
        <w:tabs>
          <w:tab w:pos="10290" w:val="left" w:leader="none"/>
        </w:tabs>
        <w:spacing w:before="89"/>
        <w:ind w:left="540" w:right="0" w:firstLine="0"/>
        <w:jc w:val="left"/>
        <w:rPr>
          <w:sz w:val="28"/>
        </w:rPr>
      </w:pPr>
      <w:r>
        <w:rPr>
          <w:color w:val="000000"/>
          <w:sz w:val="28"/>
          <w:shd w:fill="DDD9C3" w:color="auto" w:val="clear"/>
        </w:rPr>
        <w:t>SH.M.L.”Dardania’’-Hani</w:t>
      </w:r>
      <w:r>
        <w:rPr>
          <w:color w:val="000000"/>
          <w:spacing w:val="-10"/>
          <w:sz w:val="28"/>
          <w:shd w:fill="DDD9C3" w:color="auto" w:val="clear"/>
        </w:rPr>
        <w:t> </w:t>
      </w:r>
      <w:r>
        <w:rPr>
          <w:color w:val="000000"/>
          <w:sz w:val="28"/>
          <w:shd w:fill="DDD9C3" w:color="auto" w:val="clear"/>
        </w:rPr>
        <w:t>i</w:t>
      </w:r>
      <w:r>
        <w:rPr>
          <w:color w:val="000000"/>
          <w:spacing w:val="-5"/>
          <w:sz w:val="28"/>
          <w:shd w:fill="DDD9C3" w:color="auto" w:val="clear"/>
        </w:rPr>
        <w:t> </w:t>
      </w:r>
      <w:r>
        <w:rPr>
          <w:color w:val="000000"/>
          <w:spacing w:val="-2"/>
          <w:sz w:val="28"/>
          <w:shd w:fill="DDD9C3" w:color="auto" w:val="clear"/>
        </w:rPr>
        <w:t>Elezit.</w:t>
      </w:r>
      <w:r>
        <w:rPr>
          <w:color w:val="000000"/>
          <w:sz w:val="28"/>
          <w:shd w:fill="DDD9C3" w:color="auto" w:val="clear"/>
        </w:rPr>
        <w:tab/>
      </w:r>
    </w:p>
    <w:p>
      <w:pPr>
        <w:spacing w:after="0"/>
        <w:jc w:val="left"/>
        <w:rPr>
          <w:sz w:val="28"/>
        </w:rPr>
        <w:sectPr>
          <w:pgSz w:w="12240" w:h="15840"/>
          <w:pgMar w:top="1760" w:bottom="280" w:left="720" w:right="0"/>
        </w:sectPr>
      </w:pPr>
    </w:p>
    <w:p>
      <w:pPr>
        <w:spacing w:before="60"/>
        <w:ind w:left="540" w:right="1226" w:firstLine="69"/>
        <w:jc w:val="left"/>
        <w:rPr>
          <w:sz w:val="28"/>
        </w:rPr>
      </w:pPr>
      <w:r>
        <w:rPr>
          <w:sz w:val="28"/>
        </w:rPr>
        <w:t>Janë bërë përgatitjet teknike si dhe pastrimi higjienik dhe dezenfiktimi i tërë shkollës Numri i nxënësve mund të ndryshojë sepse janë pranuar nxënësit që kanë perseritur</w:t>
      </w:r>
      <w:r>
        <w:rPr>
          <w:spacing w:val="40"/>
          <w:sz w:val="28"/>
        </w:rPr>
        <w:t> </w:t>
      </w:r>
      <w:r>
        <w:rPr>
          <w:sz w:val="28"/>
        </w:rPr>
        <w:t>vitin</w:t>
      </w:r>
      <w:r>
        <w:rPr>
          <w:spacing w:val="40"/>
          <w:sz w:val="28"/>
        </w:rPr>
        <w:t> </w:t>
      </w:r>
      <w:r>
        <w:rPr>
          <w:sz w:val="28"/>
        </w:rPr>
        <w:t>dhe</w:t>
      </w:r>
      <w:r>
        <w:rPr>
          <w:spacing w:val="40"/>
          <w:sz w:val="28"/>
        </w:rPr>
        <w:t> </w:t>
      </w:r>
      <w:r>
        <w:rPr>
          <w:sz w:val="28"/>
        </w:rPr>
        <w:t>te</w:t>
      </w:r>
      <w:r>
        <w:rPr>
          <w:spacing w:val="40"/>
          <w:sz w:val="28"/>
        </w:rPr>
        <w:t> </w:t>
      </w:r>
      <w:r>
        <w:rPr>
          <w:sz w:val="28"/>
        </w:rPr>
        <w:t>cilit</w:t>
      </w:r>
      <w:r>
        <w:rPr>
          <w:spacing w:val="40"/>
          <w:sz w:val="28"/>
        </w:rPr>
        <w:t> </w:t>
      </w:r>
      <w:r>
        <w:rPr>
          <w:sz w:val="28"/>
        </w:rPr>
        <w:t>nuk</w:t>
      </w:r>
      <w:r>
        <w:rPr>
          <w:spacing w:val="40"/>
          <w:sz w:val="28"/>
        </w:rPr>
        <w:t> </w:t>
      </w:r>
      <w:r>
        <w:rPr>
          <w:sz w:val="28"/>
        </w:rPr>
        <w:t>kanë</w:t>
      </w:r>
      <w:r>
        <w:rPr>
          <w:spacing w:val="40"/>
          <w:sz w:val="28"/>
        </w:rPr>
        <w:t> </w:t>
      </w:r>
      <w:r>
        <w:rPr>
          <w:sz w:val="28"/>
        </w:rPr>
        <w:t>aplikuar</w:t>
      </w:r>
      <w:r>
        <w:rPr>
          <w:spacing w:val="40"/>
          <w:sz w:val="28"/>
        </w:rPr>
        <w:t> </w:t>
      </w:r>
      <w:r>
        <w:rPr>
          <w:sz w:val="28"/>
        </w:rPr>
        <w:t>sipas</w:t>
      </w:r>
      <w:r>
        <w:rPr>
          <w:spacing w:val="40"/>
          <w:sz w:val="28"/>
        </w:rPr>
        <w:t> </w:t>
      </w:r>
      <w:r>
        <w:rPr>
          <w:sz w:val="28"/>
        </w:rPr>
        <w:t>afateve</w:t>
      </w:r>
      <w:r>
        <w:rPr>
          <w:spacing w:val="40"/>
          <w:sz w:val="28"/>
        </w:rPr>
        <w:t> </w:t>
      </w:r>
      <w:r>
        <w:rPr>
          <w:sz w:val="28"/>
        </w:rPr>
        <w:t>per</w:t>
      </w:r>
      <w:r>
        <w:rPr>
          <w:spacing w:val="40"/>
          <w:sz w:val="28"/>
        </w:rPr>
        <w:t> </w:t>
      </w:r>
      <w:r>
        <w:rPr>
          <w:sz w:val="28"/>
        </w:rPr>
        <w:t>regjitrim</w:t>
      </w:r>
      <w:r>
        <w:rPr>
          <w:spacing w:val="40"/>
          <w:sz w:val="28"/>
        </w:rPr>
        <w:t> </w:t>
      </w:r>
      <w:r>
        <w:rPr>
          <w:sz w:val="28"/>
        </w:rPr>
        <w:t>ne</w:t>
      </w:r>
      <w:r>
        <w:rPr>
          <w:spacing w:val="40"/>
          <w:sz w:val="28"/>
        </w:rPr>
        <w:t> </w:t>
      </w:r>
      <w:r>
        <w:rPr>
          <w:sz w:val="28"/>
        </w:rPr>
        <w:t>afatin</w:t>
      </w:r>
      <w:r>
        <w:rPr>
          <w:spacing w:val="40"/>
          <w:sz w:val="28"/>
        </w:rPr>
        <w:t> </w:t>
      </w:r>
      <w:r>
        <w:rPr>
          <w:sz w:val="28"/>
        </w:rPr>
        <w:t>e</w:t>
      </w:r>
      <w:r>
        <w:rPr>
          <w:spacing w:val="40"/>
          <w:sz w:val="28"/>
        </w:rPr>
        <w:t> </w:t>
      </w:r>
      <w:r>
        <w:rPr>
          <w:sz w:val="28"/>
        </w:rPr>
        <w:t>muajit: qershor dhe gusht.</w:t>
      </w:r>
    </w:p>
    <w:p>
      <w:pPr>
        <w:pStyle w:val="BodyText"/>
        <w:rPr>
          <w:sz w:val="30"/>
        </w:rPr>
      </w:pPr>
    </w:p>
    <w:p>
      <w:pPr>
        <w:pStyle w:val="BodyText"/>
        <w:rPr>
          <w:sz w:val="26"/>
        </w:rPr>
      </w:pPr>
    </w:p>
    <w:p>
      <w:pPr>
        <w:tabs>
          <w:tab w:pos="4779" w:val="left" w:leader="none"/>
          <w:tab w:pos="5609" w:val="left" w:leader="none"/>
          <w:tab w:pos="5655" w:val="left" w:leader="none"/>
        </w:tabs>
        <w:spacing w:before="0"/>
        <w:ind w:left="1099" w:right="4193" w:firstLine="0"/>
        <w:jc w:val="left"/>
        <w:rPr>
          <w:sz w:val="28"/>
        </w:rPr>
      </w:pPr>
      <w:r>
        <w:rPr>
          <w:sz w:val="28"/>
        </w:rPr>
        <w:t>Numri i nxënësve ne kl-e X-ta</w:t>
        <w:tab/>
      </w:r>
      <w:r>
        <w:rPr>
          <w:spacing w:val="-2"/>
          <w:sz w:val="28"/>
        </w:rPr>
        <w:t>është</w:t>
      </w:r>
      <w:r>
        <w:rPr>
          <w:sz w:val="28"/>
        </w:rPr>
        <w:tab/>
      </w:r>
      <w:r>
        <w:rPr>
          <w:spacing w:val="-47"/>
          <w:sz w:val="28"/>
        </w:rPr>
        <w:t> </w:t>
      </w:r>
      <w:r>
        <w:rPr>
          <w:sz w:val="28"/>
        </w:rPr>
        <w:t>nx.</w:t>
      </w:r>
      <w:r>
        <w:rPr>
          <w:spacing w:val="-17"/>
          <w:sz w:val="28"/>
        </w:rPr>
        <w:t> </w:t>
      </w:r>
      <w:r>
        <w:rPr>
          <w:sz w:val="28"/>
        </w:rPr>
        <w:t>119</w:t>
      </w:r>
      <w:r>
        <w:rPr>
          <w:spacing w:val="-16"/>
          <w:sz w:val="28"/>
        </w:rPr>
        <w:t> </w:t>
      </w:r>
      <w:r>
        <w:rPr>
          <w:sz w:val="28"/>
        </w:rPr>
        <w:t>nxënës Numri i nxënësve ne kl- e XI-ta</w:t>
      </w:r>
      <w:r>
        <w:rPr>
          <w:spacing w:val="40"/>
          <w:sz w:val="28"/>
        </w:rPr>
        <w:t> </w:t>
      </w:r>
      <w:r>
        <w:rPr>
          <w:sz w:val="28"/>
        </w:rPr>
        <w:t>është</w:t>
        <w:tab/>
        <w:tab/>
        <w:t>nx. 86 nxënës Numri i nxënësve ne kl- e XII-ta është</w:t>
        <w:tab/>
        <w:t>nx. 53 nxënës</w:t>
      </w:r>
    </w:p>
    <w:p>
      <w:pPr>
        <w:spacing w:line="242" w:lineRule="auto" w:before="0"/>
        <w:ind w:left="540" w:right="1226" w:firstLine="559"/>
        <w:jc w:val="left"/>
        <w:rPr>
          <w:sz w:val="28"/>
        </w:rPr>
      </w:pPr>
      <w:r>
        <w:rPr>
          <w:sz w:val="28"/>
        </w:rPr>
        <w:t>Gjithsej</w:t>
      </w:r>
      <w:r>
        <w:rPr>
          <w:spacing w:val="-4"/>
          <w:sz w:val="28"/>
        </w:rPr>
        <w:t> </w:t>
      </w:r>
      <w:r>
        <w:rPr>
          <w:sz w:val="28"/>
        </w:rPr>
        <w:t>nxënës</w:t>
      </w:r>
      <w:r>
        <w:rPr>
          <w:spacing w:val="-2"/>
          <w:sz w:val="28"/>
        </w:rPr>
        <w:t> </w:t>
      </w:r>
      <w:r>
        <w:rPr>
          <w:sz w:val="28"/>
        </w:rPr>
        <w:t>të</w:t>
      </w:r>
      <w:r>
        <w:rPr>
          <w:spacing w:val="-3"/>
          <w:sz w:val="28"/>
        </w:rPr>
        <w:t> </w:t>
      </w:r>
      <w:r>
        <w:rPr>
          <w:sz w:val="28"/>
        </w:rPr>
        <w:t>regjistruar</w:t>
      </w:r>
      <w:r>
        <w:rPr>
          <w:spacing w:val="-3"/>
          <w:sz w:val="28"/>
        </w:rPr>
        <w:t> </w:t>
      </w:r>
      <w:r>
        <w:rPr>
          <w:sz w:val="28"/>
        </w:rPr>
        <w:t>ne</w:t>
      </w:r>
      <w:r>
        <w:rPr>
          <w:spacing w:val="-3"/>
          <w:sz w:val="28"/>
        </w:rPr>
        <w:t> </w:t>
      </w:r>
      <w:r>
        <w:rPr>
          <w:sz w:val="28"/>
        </w:rPr>
        <w:t>fillim</w:t>
      </w:r>
      <w:r>
        <w:rPr>
          <w:spacing w:val="-7"/>
          <w:sz w:val="28"/>
        </w:rPr>
        <w:t> </w:t>
      </w:r>
      <w:r>
        <w:rPr>
          <w:sz w:val="28"/>
        </w:rPr>
        <w:t>te</w:t>
      </w:r>
      <w:r>
        <w:rPr>
          <w:spacing w:val="-3"/>
          <w:sz w:val="28"/>
        </w:rPr>
        <w:t> </w:t>
      </w:r>
      <w:r>
        <w:rPr>
          <w:sz w:val="28"/>
        </w:rPr>
        <w:t>vitit</w:t>
      </w:r>
      <w:r>
        <w:rPr>
          <w:spacing w:val="-2"/>
          <w:sz w:val="28"/>
        </w:rPr>
        <w:t> </w:t>
      </w:r>
      <w:r>
        <w:rPr>
          <w:sz w:val="28"/>
        </w:rPr>
        <w:t>shkollor</w:t>
      </w:r>
      <w:r>
        <w:rPr>
          <w:spacing w:val="-1"/>
          <w:sz w:val="28"/>
        </w:rPr>
        <w:t> </w:t>
      </w:r>
      <w:r>
        <w:rPr>
          <w:sz w:val="28"/>
        </w:rPr>
        <w:t>në</w:t>
      </w:r>
      <w:r>
        <w:rPr>
          <w:spacing w:val="-4"/>
          <w:sz w:val="28"/>
        </w:rPr>
        <w:t> </w:t>
      </w:r>
      <w:r>
        <w:rPr>
          <w:sz w:val="28"/>
        </w:rPr>
        <w:t>klasë</w:t>
      </w:r>
      <w:r>
        <w:rPr>
          <w:spacing w:val="-3"/>
          <w:sz w:val="28"/>
        </w:rPr>
        <w:t> </w:t>
      </w:r>
      <w:r>
        <w:rPr>
          <w:sz w:val="28"/>
        </w:rPr>
        <w:t>të</w:t>
      </w:r>
      <w:r>
        <w:rPr>
          <w:spacing w:val="-3"/>
          <w:sz w:val="28"/>
        </w:rPr>
        <w:t> </w:t>
      </w:r>
      <w:r>
        <w:rPr>
          <w:sz w:val="28"/>
        </w:rPr>
        <w:t>dhjeta</w:t>
      </w:r>
      <w:r>
        <w:rPr>
          <w:spacing w:val="-2"/>
          <w:sz w:val="28"/>
        </w:rPr>
        <w:t> </w:t>
      </w:r>
      <w:r>
        <w:rPr>
          <w:sz w:val="28"/>
        </w:rPr>
        <w:t>janë </w:t>
      </w:r>
      <w:r>
        <w:rPr>
          <w:spacing w:val="-2"/>
          <w:sz w:val="28"/>
        </w:rPr>
        <w:t>258nx</w:t>
      </w:r>
    </w:p>
    <w:p>
      <w:pPr>
        <w:pStyle w:val="BodyText"/>
        <w:rPr>
          <w:sz w:val="20"/>
        </w:rPr>
      </w:pPr>
    </w:p>
    <w:p>
      <w:pPr>
        <w:pStyle w:val="BodyText"/>
        <w:rPr>
          <w:sz w:val="20"/>
        </w:rPr>
      </w:pPr>
    </w:p>
    <w:p>
      <w:pPr>
        <w:pStyle w:val="BodyText"/>
        <w:spacing w:before="5"/>
        <w:rPr>
          <w:sz w:val="15"/>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69"/>
        <w:gridCol w:w="625"/>
        <w:gridCol w:w="631"/>
        <w:gridCol w:w="720"/>
        <w:gridCol w:w="599"/>
        <w:gridCol w:w="455"/>
        <w:gridCol w:w="575"/>
        <w:gridCol w:w="455"/>
        <w:gridCol w:w="455"/>
        <w:gridCol w:w="575"/>
        <w:gridCol w:w="659"/>
        <w:gridCol w:w="633"/>
        <w:gridCol w:w="838"/>
        <w:gridCol w:w="689"/>
        <w:gridCol w:w="720"/>
        <w:gridCol w:w="987"/>
      </w:tblGrid>
      <w:tr>
        <w:trPr>
          <w:trHeight w:val="376" w:hRule="atLeast"/>
        </w:trPr>
        <w:tc>
          <w:tcPr>
            <w:tcW w:w="10985" w:type="dxa"/>
            <w:gridSpan w:val="16"/>
            <w:tcBorders>
              <w:bottom w:val="single" w:sz="4" w:space="0" w:color="000000"/>
              <w:right w:val="nil"/>
            </w:tcBorders>
          </w:tcPr>
          <w:p>
            <w:pPr>
              <w:pStyle w:val="TableParagraph"/>
              <w:spacing w:line="304" w:lineRule="exact" w:before="52"/>
              <w:ind w:left="1514" w:right="983"/>
              <w:jc w:val="center"/>
              <w:rPr>
                <w:b/>
                <w:sz w:val="28"/>
              </w:rPr>
            </w:pPr>
            <w:r>
              <w:rPr>
                <w:b/>
                <w:sz w:val="28"/>
              </w:rPr>
              <w:t>NUMRI</w:t>
            </w:r>
            <w:r>
              <w:rPr>
                <w:b/>
                <w:spacing w:val="-6"/>
                <w:sz w:val="28"/>
              </w:rPr>
              <w:t> </w:t>
            </w:r>
            <w:r>
              <w:rPr>
                <w:b/>
                <w:sz w:val="28"/>
              </w:rPr>
              <w:t>I</w:t>
            </w:r>
            <w:r>
              <w:rPr>
                <w:b/>
                <w:spacing w:val="-4"/>
                <w:sz w:val="28"/>
              </w:rPr>
              <w:t> </w:t>
            </w:r>
            <w:r>
              <w:rPr>
                <w:b/>
                <w:sz w:val="28"/>
              </w:rPr>
              <w:t>NXËNËSVE</w:t>
            </w:r>
            <w:r>
              <w:rPr>
                <w:b/>
                <w:spacing w:val="-4"/>
                <w:sz w:val="28"/>
              </w:rPr>
              <w:t> </w:t>
            </w:r>
            <w:r>
              <w:rPr>
                <w:b/>
                <w:sz w:val="28"/>
              </w:rPr>
              <w:t>NË</w:t>
            </w:r>
            <w:r>
              <w:rPr>
                <w:b/>
                <w:spacing w:val="-4"/>
                <w:sz w:val="28"/>
              </w:rPr>
              <w:t> </w:t>
            </w:r>
            <w:r>
              <w:rPr>
                <w:b/>
                <w:sz w:val="28"/>
              </w:rPr>
              <w:t>FILLIM</w:t>
            </w:r>
            <w:r>
              <w:rPr>
                <w:b/>
                <w:spacing w:val="-5"/>
                <w:sz w:val="28"/>
              </w:rPr>
              <w:t> </w:t>
            </w:r>
            <w:r>
              <w:rPr>
                <w:b/>
                <w:sz w:val="28"/>
              </w:rPr>
              <w:t>Të</w:t>
            </w:r>
            <w:r>
              <w:rPr>
                <w:b/>
                <w:spacing w:val="-7"/>
                <w:sz w:val="28"/>
              </w:rPr>
              <w:t> </w:t>
            </w:r>
            <w:r>
              <w:rPr>
                <w:b/>
                <w:sz w:val="28"/>
              </w:rPr>
              <w:t>VITIT</w:t>
            </w:r>
            <w:r>
              <w:rPr>
                <w:b/>
                <w:spacing w:val="-5"/>
                <w:sz w:val="28"/>
              </w:rPr>
              <w:t> </w:t>
            </w:r>
            <w:r>
              <w:rPr>
                <w:b/>
                <w:sz w:val="28"/>
              </w:rPr>
              <w:t>SHKOLLOR</w:t>
            </w:r>
            <w:r>
              <w:rPr>
                <w:b/>
                <w:spacing w:val="-4"/>
                <w:sz w:val="28"/>
              </w:rPr>
              <w:t> </w:t>
            </w:r>
            <w:r>
              <w:rPr>
                <w:b/>
                <w:spacing w:val="-2"/>
                <w:sz w:val="28"/>
              </w:rPr>
              <w:t>2023/2024</w:t>
            </w:r>
          </w:p>
        </w:tc>
      </w:tr>
      <w:tr>
        <w:trPr>
          <w:trHeight w:val="400" w:hRule="atLeast"/>
        </w:trPr>
        <w:tc>
          <w:tcPr>
            <w:tcW w:w="1369" w:type="dxa"/>
            <w:vMerge w:val="restart"/>
            <w:tcBorders>
              <w:top w:val="single" w:sz="4" w:space="0" w:color="000000"/>
              <w:left w:val="nil"/>
              <w:right w:val="single" w:sz="4" w:space="0" w:color="000000"/>
            </w:tcBorders>
          </w:tcPr>
          <w:p>
            <w:pPr>
              <w:pStyle w:val="TableParagraph"/>
              <w:rPr>
                <w:sz w:val="26"/>
              </w:rPr>
            </w:pPr>
          </w:p>
          <w:p>
            <w:pPr>
              <w:pStyle w:val="TableParagraph"/>
              <w:spacing w:before="158"/>
              <w:ind w:left="233" w:right="219" w:firstLine="1"/>
              <w:jc w:val="center"/>
              <w:rPr>
                <w:sz w:val="24"/>
              </w:rPr>
            </w:pPr>
            <w:r>
              <w:rPr>
                <w:spacing w:val="-2"/>
                <w:sz w:val="24"/>
              </w:rPr>
              <w:t>Niveli Parafillor </w:t>
            </w:r>
            <w:r>
              <w:rPr>
                <w:spacing w:val="-4"/>
                <w:sz w:val="24"/>
              </w:rPr>
              <w:t>1-5</w:t>
            </w:r>
          </w:p>
          <w:p>
            <w:pPr>
              <w:pStyle w:val="TableParagraph"/>
              <w:ind w:left="400" w:right="384"/>
              <w:jc w:val="center"/>
              <w:rPr>
                <w:sz w:val="24"/>
              </w:rPr>
            </w:pPr>
            <w:r>
              <w:rPr>
                <w:spacing w:val="-2"/>
                <w:sz w:val="24"/>
              </w:rPr>
              <w:t>6-</w:t>
            </w:r>
            <w:r>
              <w:rPr>
                <w:spacing w:val="-10"/>
                <w:sz w:val="24"/>
              </w:rPr>
              <w:t>9</w:t>
            </w:r>
          </w:p>
          <w:p>
            <w:pPr>
              <w:pStyle w:val="TableParagraph"/>
              <w:spacing w:line="256" w:lineRule="exact"/>
              <w:ind w:left="400" w:right="384"/>
              <w:jc w:val="center"/>
              <w:rPr>
                <w:sz w:val="24"/>
              </w:rPr>
            </w:pPr>
            <w:r>
              <w:rPr>
                <w:spacing w:val="-2"/>
                <w:sz w:val="24"/>
              </w:rPr>
              <w:t>10-</w:t>
            </w:r>
            <w:r>
              <w:rPr>
                <w:spacing w:val="-7"/>
                <w:sz w:val="24"/>
              </w:rPr>
              <w:t>12</w:t>
            </w:r>
          </w:p>
        </w:tc>
        <w:tc>
          <w:tcPr>
            <w:tcW w:w="9616" w:type="dxa"/>
            <w:gridSpan w:val="15"/>
            <w:tcBorders>
              <w:top w:val="single" w:sz="4" w:space="0" w:color="000000"/>
              <w:left w:val="single" w:sz="4" w:space="0" w:color="000000"/>
              <w:bottom w:val="single" w:sz="4" w:space="0" w:color="000000"/>
              <w:right w:val="nil"/>
            </w:tcBorders>
          </w:tcPr>
          <w:p>
            <w:pPr>
              <w:pStyle w:val="TableParagraph"/>
              <w:spacing w:line="252" w:lineRule="exact" w:before="128"/>
              <w:ind w:left="4422" w:right="3898"/>
              <w:jc w:val="center"/>
              <w:rPr>
                <w:sz w:val="24"/>
              </w:rPr>
            </w:pPr>
            <w:r>
              <w:rPr>
                <w:spacing w:val="-2"/>
                <w:sz w:val="24"/>
              </w:rPr>
              <w:t>SHKOLLAT</w:t>
            </w:r>
          </w:p>
        </w:tc>
      </w:tr>
      <w:tr>
        <w:trPr>
          <w:trHeight w:val="1004" w:hRule="atLeast"/>
        </w:trPr>
        <w:tc>
          <w:tcPr>
            <w:tcW w:w="1369" w:type="dxa"/>
            <w:vMerge/>
            <w:tcBorders>
              <w:top w:val="nil"/>
              <w:left w:val="nil"/>
              <w:right w:val="single" w:sz="4" w:space="0" w:color="000000"/>
            </w:tcBorders>
          </w:tcPr>
          <w:p>
            <w:pPr>
              <w:rPr>
                <w:sz w:val="2"/>
                <w:szCs w:val="2"/>
              </w:rPr>
            </w:pPr>
          </w:p>
        </w:tc>
        <w:tc>
          <w:tcPr>
            <w:tcW w:w="1976" w:type="dxa"/>
            <w:gridSpan w:val="3"/>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45"/>
              <w:ind w:left="428" w:right="419"/>
              <w:jc w:val="center"/>
              <w:rPr>
                <w:rFonts w:ascii="Calibri"/>
                <w:sz w:val="24"/>
              </w:rPr>
            </w:pPr>
            <w:r>
              <w:rPr>
                <w:rFonts w:ascii="Calibri"/>
                <w:spacing w:val="-2"/>
                <w:sz w:val="24"/>
              </w:rPr>
              <w:t>SHFMU</w:t>
            </w:r>
          </w:p>
          <w:p>
            <w:pPr>
              <w:pStyle w:val="TableParagraph"/>
              <w:spacing w:line="268" w:lineRule="exact" w:before="2"/>
              <w:ind w:left="431" w:right="419"/>
              <w:jc w:val="center"/>
              <w:rPr>
                <w:rFonts w:ascii="Calibri" w:hAnsi="Calibri"/>
                <w:sz w:val="24"/>
              </w:rPr>
            </w:pPr>
            <w:r>
              <w:rPr>
                <w:rFonts w:ascii="Calibri" w:hAnsi="Calibri"/>
                <w:sz w:val="24"/>
              </w:rPr>
              <w:t>"Ilaz</w:t>
            </w:r>
            <w:r>
              <w:rPr>
                <w:rFonts w:ascii="Calibri" w:hAnsi="Calibri"/>
                <w:spacing w:val="1"/>
                <w:sz w:val="24"/>
              </w:rPr>
              <w:t> </w:t>
            </w:r>
            <w:r>
              <w:rPr>
                <w:rFonts w:ascii="Calibri" w:hAnsi="Calibri"/>
                <w:spacing w:val="-2"/>
                <w:sz w:val="24"/>
              </w:rPr>
              <w:t>Thaçi"</w:t>
            </w:r>
          </w:p>
        </w:tc>
        <w:tc>
          <w:tcPr>
            <w:tcW w:w="1629" w:type="dxa"/>
            <w:gridSpan w:val="3"/>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45"/>
              <w:ind w:left="125" w:right="105"/>
              <w:jc w:val="center"/>
              <w:rPr>
                <w:rFonts w:ascii="Calibri"/>
                <w:sz w:val="24"/>
              </w:rPr>
            </w:pPr>
            <w:r>
              <w:rPr>
                <w:rFonts w:ascii="Calibri"/>
                <w:spacing w:val="-2"/>
                <w:sz w:val="24"/>
              </w:rPr>
              <w:t>SHFMU</w:t>
            </w:r>
          </w:p>
          <w:p>
            <w:pPr>
              <w:pStyle w:val="TableParagraph"/>
              <w:spacing w:line="268" w:lineRule="exact" w:before="2"/>
              <w:ind w:left="125" w:right="106"/>
              <w:jc w:val="center"/>
              <w:rPr>
                <w:rFonts w:ascii="Calibri" w:hAnsi="Calibri"/>
                <w:sz w:val="24"/>
              </w:rPr>
            </w:pPr>
            <w:r>
              <w:rPr>
                <w:rFonts w:ascii="Calibri" w:hAnsi="Calibri"/>
                <w:sz w:val="24"/>
              </w:rPr>
              <w:t>"K.</w:t>
            </w:r>
            <w:r>
              <w:rPr>
                <w:rFonts w:ascii="Calibri" w:hAnsi="Calibri"/>
                <w:spacing w:val="-2"/>
                <w:sz w:val="24"/>
              </w:rPr>
              <w:t> </w:t>
            </w:r>
            <w:r>
              <w:rPr>
                <w:rFonts w:ascii="Calibri" w:hAnsi="Calibri"/>
                <w:sz w:val="24"/>
              </w:rPr>
              <w:t>e</w:t>
            </w:r>
            <w:r>
              <w:rPr>
                <w:rFonts w:ascii="Calibri" w:hAnsi="Calibri"/>
                <w:spacing w:val="1"/>
                <w:sz w:val="24"/>
              </w:rPr>
              <w:t> </w:t>
            </w:r>
            <w:r>
              <w:rPr>
                <w:rFonts w:ascii="Calibri" w:hAnsi="Calibri"/>
                <w:spacing w:val="-2"/>
                <w:sz w:val="24"/>
              </w:rPr>
              <w:t>Diturisë"</w:t>
            </w:r>
          </w:p>
        </w:tc>
        <w:tc>
          <w:tcPr>
            <w:tcW w:w="1485" w:type="dxa"/>
            <w:gridSpan w:val="3"/>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45"/>
              <w:ind w:left="109" w:right="77"/>
              <w:jc w:val="center"/>
              <w:rPr>
                <w:rFonts w:ascii="Calibri"/>
                <w:sz w:val="24"/>
              </w:rPr>
            </w:pPr>
            <w:r>
              <w:rPr>
                <w:rFonts w:ascii="Calibri"/>
                <w:spacing w:val="-2"/>
                <w:sz w:val="24"/>
              </w:rPr>
              <w:t>SHFMU</w:t>
            </w:r>
          </w:p>
          <w:p>
            <w:pPr>
              <w:pStyle w:val="TableParagraph"/>
              <w:spacing w:line="268" w:lineRule="exact" w:before="2"/>
              <w:ind w:left="111" w:right="77"/>
              <w:jc w:val="center"/>
              <w:rPr>
                <w:rFonts w:ascii="Calibri"/>
                <w:sz w:val="24"/>
              </w:rPr>
            </w:pPr>
            <w:r>
              <w:rPr>
                <w:rFonts w:ascii="Calibri"/>
                <w:sz w:val="24"/>
              </w:rPr>
              <w:t>"Veli </w:t>
            </w:r>
            <w:r>
              <w:rPr>
                <w:rFonts w:ascii="Calibri"/>
                <w:spacing w:val="-2"/>
                <w:sz w:val="24"/>
              </w:rPr>
              <w:t>Ballazhi</w:t>
            </w:r>
          </w:p>
        </w:tc>
        <w:tc>
          <w:tcPr>
            <w:tcW w:w="1292" w:type="dxa"/>
            <w:gridSpan w:val="2"/>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45"/>
              <w:ind w:left="109" w:right="75"/>
              <w:jc w:val="center"/>
              <w:rPr>
                <w:rFonts w:ascii="Calibri"/>
                <w:sz w:val="24"/>
              </w:rPr>
            </w:pPr>
            <w:r>
              <w:rPr>
                <w:rFonts w:ascii="Calibri"/>
                <w:spacing w:val="-4"/>
                <w:sz w:val="24"/>
              </w:rPr>
              <w:t>SHML</w:t>
            </w:r>
          </w:p>
          <w:p>
            <w:pPr>
              <w:pStyle w:val="TableParagraph"/>
              <w:spacing w:line="268" w:lineRule="exact" w:before="2"/>
              <w:ind w:left="111" w:right="75"/>
              <w:jc w:val="center"/>
              <w:rPr>
                <w:rFonts w:ascii="Calibri"/>
                <w:sz w:val="24"/>
              </w:rPr>
            </w:pPr>
            <w:r>
              <w:rPr>
                <w:rFonts w:ascii="Calibri"/>
                <w:spacing w:val="-2"/>
                <w:sz w:val="24"/>
              </w:rPr>
              <w:t>"Dardania"</w:t>
            </w:r>
          </w:p>
        </w:tc>
        <w:tc>
          <w:tcPr>
            <w:tcW w:w="3234" w:type="dxa"/>
            <w:gridSpan w:val="4"/>
            <w:tcBorders>
              <w:top w:val="single" w:sz="4" w:space="0" w:color="000000"/>
              <w:left w:val="single" w:sz="4" w:space="0" w:color="000000"/>
              <w:bottom w:val="single" w:sz="4" w:space="0" w:color="000000"/>
              <w:right w:val="nil"/>
            </w:tcBorders>
          </w:tcPr>
          <w:p>
            <w:pPr>
              <w:pStyle w:val="TableParagraph"/>
              <w:rPr>
                <w:sz w:val="24"/>
              </w:rPr>
            </w:pPr>
          </w:p>
          <w:p>
            <w:pPr>
              <w:pStyle w:val="TableParagraph"/>
              <w:rPr>
                <w:sz w:val="24"/>
              </w:rPr>
            </w:pPr>
          </w:p>
          <w:p>
            <w:pPr>
              <w:pStyle w:val="TableParagraph"/>
              <w:spacing w:line="268" w:lineRule="exact" w:before="164"/>
              <w:ind w:left="1473"/>
              <w:rPr>
                <w:rFonts w:ascii="Calibri"/>
                <w:sz w:val="24"/>
              </w:rPr>
            </w:pPr>
            <w:r>
              <w:rPr>
                <w:rFonts w:ascii="Calibri"/>
                <w:spacing w:val="-2"/>
                <w:sz w:val="24"/>
              </w:rPr>
              <w:t>Gjithsejt</w:t>
            </w:r>
          </w:p>
        </w:tc>
      </w:tr>
      <w:tr>
        <w:trPr>
          <w:trHeight w:val="392" w:hRule="atLeast"/>
        </w:trPr>
        <w:tc>
          <w:tcPr>
            <w:tcW w:w="1369" w:type="dxa"/>
            <w:vMerge/>
            <w:tcBorders>
              <w:top w:val="nil"/>
              <w:left w:val="nil"/>
              <w:right w:val="single" w:sz="4" w:space="0" w:color="000000"/>
            </w:tcBorders>
          </w:tcPr>
          <w:p>
            <w:pPr>
              <w:rPr>
                <w:sz w:val="2"/>
                <w:szCs w:val="2"/>
              </w:rPr>
            </w:pPr>
          </w:p>
        </w:tc>
        <w:tc>
          <w:tcPr>
            <w:tcW w:w="625" w:type="dxa"/>
            <w:tcBorders>
              <w:top w:val="single" w:sz="4" w:space="0" w:color="000000"/>
              <w:left w:val="single" w:sz="4" w:space="0" w:color="000000"/>
              <w:right w:val="single" w:sz="4" w:space="0" w:color="000000"/>
            </w:tcBorders>
          </w:tcPr>
          <w:p>
            <w:pPr>
              <w:pStyle w:val="TableParagraph"/>
              <w:spacing w:line="273" w:lineRule="exact" w:before="100"/>
              <w:ind w:left="107"/>
              <w:rPr>
                <w:rFonts w:ascii="Calibri"/>
                <w:sz w:val="24"/>
              </w:rPr>
            </w:pPr>
            <w:r>
              <w:rPr>
                <w:rFonts w:ascii="Calibri"/>
                <w:sz w:val="24"/>
              </w:rPr>
              <w:t>M</w:t>
            </w:r>
          </w:p>
        </w:tc>
        <w:tc>
          <w:tcPr>
            <w:tcW w:w="631" w:type="dxa"/>
            <w:tcBorders>
              <w:top w:val="single" w:sz="4" w:space="0" w:color="000000"/>
              <w:left w:val="single" w:sz="4" w:space="0" w:color="000000"/>
              <w:right w:val="single" w:sz="4" w:space="0" w:color="000000"/>
            </w:tcBorders>
          </w:tcPr>
          <w:p>
            <w:pPr>
              <w:pStyle w:val="TableParagraph"/>
              <w:spacing w:line="273" w:lineRule="exact" w:before="100"/>
              <w:ind w:left="113"/>
              <w:rPr>
                <w:rFonts w:ascii="Calibri"/>
                <w:sz w:val="24"/>
              </w:rPr>
            </w:pPr>
            <w:r>
              <w:rPr>
                <w:rFonts w:ascii="Calibri"/>
                <w:sz w:val="24"/>
              </w:rPr>
              <w:t>F</w:t>
            </w:r>
          </w:p>
        </w:tc>
        <w:tc>
          <w:tcPr>
            <w:tcW w:w="720" w:type="dxa"/>
            <w:tcBorders>
              <w:top w:val="single" w:sz="4" w:space="0" w:color="000000"/>
              <w:left w:val="single" w:sz="4" w:space="0" w:color="000000"/>
              <w:right w:val="single" w:sz="4" w:space="0" w:color="000000"/>
            </w:tcBorders>
          </w:tcPr>
          <w:p>
            <w:pPr>
              <w:pStyle w:val="TableParagraph"/>
              <w:spacing w:line="273" w:lineRule="exact" w:before="100"/>
              <w:ind w:left="111"/>
              <w:rPr>
                <w:rFonts w:ascii="Calibri"/>
                <w:sz w:val="24"/>
              </w:rPr>
            </w:pPr>
            <w:r>
              <w:rPr>
                <w:rFonts w:ascii="Calibri"/>
                <w:spacing w:val="-5"/>
                <w:sz w:val="24"/>
              </w:rPr>
              <w:t>GJ</w:t>
            </w:r>
          </w:p>
        </w:tc>
        <w:tc>
          <w:tcPr>
            <w:tcW w:w="599" w:type="dxa"/>
            <w:tcBorders>
              <w:top w:val="single" w:sz="4" w:space="0" w:color="000000"/>
              <w:left w:val="single" w:sz="4" w:space="0" w:color="000000"/>
              <w:right w:val="single" w:sz="4" w:space="0" w:color="000000"/>
            </w:tcBorders>
          </w:tcPr>
          <w:p>
            <w:pPr>
              <w:pStyle w:val="TableParagraph"/>
              <w:spacing w:line="273" w:lineRule="exact" w:before="100"/>
              <w:ind w:left="111"/>
              <w:rPr>
                <w:rFonts w:ascii="Calibri"/>
                <w:sz w:val="24"/>
              </w:rPr>
            </w:pPr>
            <w:r>
              <w:rPr>
                <w:rFonts w:ascii="Calibri"/>
                <w:sz w:val="24"/>
              </w:rPr>
              <w:t>M</w:t>
            </w:r>
          </w:p>
        </w:tc>
        <w:tc>
          <w:tcPr>
            <w:tcW w:w="455" w:type="dxa"/>
            <w:tcBorders>
              <w:top w:val="single" w:sz="4" w:space="0" w:color="000000"/>
              <w:left w:val="single" w:sz="4" w:space="0" w:color="000000"/>
              <w:right w:val="single" w:sz="4" w:space="0" w:color="000000"/>
            </w:tcBorders>
          </w:tcPr>
          <w:p>
            <w:pPr>
              <w:pStyle w:val="TableParagraph"/>
              <w:spacing w:line="273" w:lineRule="exact" w:before="100"/>
              <w:ind w:left="112"/>
              <w:rPr>
                <w:rFonts w:ascii="Calibri"/>
                <w:sz w:val="24"/>
              </w:rPr>
            </w:pPr>
            <w:r>
              <w:rPr>
                <w:rFonts w:ascii="Calibri"/>
                <w:sz w:val="24"/>
              </w:rPr>
              <w:t>F</w:t>
            </w:r>
          </w:p>
        </w:tc>
        <w:tc>
          <w:tcPr>
            <w:tcW w:w="575" w:type="dxa"/>
            <w:tcBorders>
              <w:top w:val="single" w:sz="4" w:space="0" w:color="000000"/>
              <w:left w:val="single" w:sz="4" w:space="0" w:color="000000"/>
              <w:right w:val="single" w:sz="4" w:space="0" w:color="000000"/>
            </w:tcBorders>
          </w:tcPr>
          <w:p>
            <w:pPr>
              <w:pStyle w:val="TableParagraph"/>
              <w:spacing w:line="273" w:lineRule="exact" w:before="100"/>
              <w:ind w:left="113"/>
              <w:rPr>
                <w:rFonts w:ascii="Calibri"/>
                <w:sz w:val="24"/>
              </w:rPr>
            </w:pPr>
            <w:r>
              <w:rPr>
                <w:rFonts w:ascii="Calibri"/>
                <w:spacing w:val="-5"/>
                <w:sz w:val="24"/>
              </w:rPr>
              <w:t>GJ</w:t>
            </w:r>
          </w:p>
        </w:tc>
        <w:tc>
          <w:tcPr>
            <w:tcW w:w="455" w:type="dxa"/>
            <w:tcBorders>
              <w:top w:val="single" w:sz="4" w:space="0" w:color="000000"/>
              <w:left w:val="single" w:sz="4" w:space="0" w:color="000000"/>
              <w:right w:val="single" w:sz="4" w:space="0" w:color="000000"/>
            </w:tcBorders>
          </w:tcPr>
          <w:p>
            <w:pPr>
              <w:pStyle w:val="TableParagraph"/>
              <w:spacing w:line="273" w:lineRule="exact" w:before="100"/>
              <w:ind w:right="120"/>
              <w:jc w:val="right"/>
              <w:rPr>
                <w:rFonts w:ascii="Calibri"/>
                <w:sz w:val="24"/>
              </w:rPr>
            </w:pPr>
            <w:r>
              <w:rPr>
                <w:rFonts w:ascii="Calibri"/>
                <w:sz w:val="24"/>
              </w:rPr>
              <w:t>M</w:t>
            </w:r>
          </w:p>
        </w:tc>
        <w:tc>
          <w:tcPr>
            <w:tcW w:w="455" w:type="dxa"/>
            <w:tcBorders>
              <w:top w:val="single" w:sz="4" w:space="0" w:color="000000"/>
              <w:left w:val="single" w:sz="4" w:space="0" w:color="000000"/>
              <w:right w:val="single" w:sz="4" w:space="0" w:color="000000"/>
            </w:tcBorders>
          </w:tcPr>
          <w:p>
            <w:pPr>
              <w:pStyle w:val="TableParagraph"/>
              <w:spacing w:line="273" w:lineRule="exact" w:before="100"/>
              <w:ind w:left="118"/>
              <w:rPr>
                <w:rFonts w:ascii="Calibri"/>
                <w:sz w:val="24"/>
              </w:rPr>
            </w:pPr>
            <w:r>
              <w:rPr>
                <w:rFonts w:ascii="Calibri"/>
                <w:sz w:val="24"/>
              </w:rPr>
              <w:t>F</w:t>
            </w:r>
          </w:p>
        </w:tc>
        <w:tc>
          <w:tcPr>
            <w:tcW w:w="575" w:type="dxa"/>
            <w:tcBorders>
              <w:top w:val="single" w:sz="4" w:space="0" w:color="000000"/>
              <w:left w:val="single" w:sz="4" w:space="0" w:color="000000"/>
              <w:right w:val="single" w:sz="4" w:space="0" w:color="000000"/>
            </w:tcBorders>
          </w:tcPr>
          <w:p>
            <w:pPr>
              <w:pStyle w:val="TableParagraph"/>
              <w:spacing w:line="273" w:lineRule="exact" w:before="100"/>
              <w:ind w:left="119"/>
              <w:rPr>
                <w:rFonts w:ascii="Calibri"/>
                <w:sz w:val="24"/>
              </w:rPr>
            </w:pPr>
            <w:r>
              <w:rPr>
                <w:rFonts w:ascii="Calibri"/>
                <w:spacing w:val="-5"/>
                <w:sz w:val="24"/>
              </w:rPr>
              <w:t>GJ</w:t>
            </w:r>
          </w:p>
        </w:tc>
        <w:tc>
          <w:tcPr>
            <w:tcW w:w="659" w:type="dxa"/>
            <w:tcBorders>
              <w:top w:val="single" w:sz="4" w:space="0" w:color="000000"/>
              <w:left w:val="single" w:sz="4" w:space="0" w:color="000000"/>
              <w:right w:val="single" w:sz="4" w:space="0" w:color="000000"/>
            </w:tcBorders>
          </w:tcPr>
          <w:p>
            <w:pPr>
              <w:pStyle w:val="TableParagraph"/>
              <w:spacing w:line="273" w:lineRule="exact" w:before="100"/>
              <w:ind w:left="120"/>
              <w:rPr>
                <w:rFonts w:ascii="Calibri"/>
                <w:sz w:val="24"/>
              </w:rPr>
            </w:pPr>
            <w:r>
              <w:rPr>
                <w:rFonts w:ascii="Calibri"/>
                <w:sz w:val="24"/>
              </w:rPr>
              <w:t>M</w:t>
            </w:r>
          </w:p>
        </w:tc>
        <w:tc>
          <w:tcPr>
            <w:tcW w:w="633" w:type="dxa"/>
            <w:tcBorders>
              <w:top w:val="single" w:sz="4" w:space="0" w:color="000000"/>
              <w:left w:val="single" w:sz="4" w:space="0" w:color="000000"/>
              <w:right w:val="single" w:sz="4" w:space="0" w:color="000000"/>
            </w:tcBorders>
          </w:tcPr>
          <w:p>
            <w:pPr>
              <w:pStyle w:val="TableParagraph"/>
              <w:spacing w:line="273" w:lineRule="exact" w:before="100"/>
              <w:ind w:left="119"/>
              <w:rPr>
                <w:rFonts w:ascii="Calibri"/>
                <w:sz w:val="24"/>
              </w:rPr>
            </w:pPr>
            <w:r>
              <w:rPr>
                <w:rFonts w:ascii="Calibri"/>
                <w:sz w:val="24"/>
              </w:rPr>
              <w:t>F</w:t>
            </w:r>
          </w:p>
        </w:tc>
        <w:tc>
          <w:tcPr>
            <w:tcW w:w="838" w:type="dxa"/>
            <w:tcBorders>
              <w:top w:val="single" w:sz="4" w:space="0" w:color="000000"/>
              <w:left w:val="single" w:sz="4" w:space="0" w:color="000000"/>
              <w:right w:val="single" w:sz="4" w:space="0" w:color="000000"/>
            </w:tcBorders>
          </w:tcPr>
          <w:p>
            <w:pPr>
              <w:pStyle w:val="TableParagraph"/>
              <w:spacing w:line="273" w:lineRule="exact" w:before="100"/>
              <w:ind w:left="122"/>
              <w:rPr>
                <w:rFonts w:ascii="Calibri"/>
                <w:sz w:val="24"/>
              </w:rPr>
            </w:pPr>
            <w:r>
              <w:rPr>
                <w:rFonts w:ascii="Calibri"/>
                <w:spacing w:val="-5"/>
                <w:sz w:val="24"/>
              </w:rPr>
              <w:t>GJ</w:t>
            </w:r>
          </w:p>
        </w:tc>
        <w:tc>
          <w:tcPr>
            <w:tcW w:w="689" w:type="dxa"/>
            <w:tcBorders>
              <w:top w:val="single" w:sz="4" w:space="0" w:color="000000"/>
              <w:left w:val="single" w:sz="4" w:space="0" w:color="000000"/>
              <w:right w:val="single" w:sz="4" w:space="0" w:color="000000"/>
            </w:tcBorders>
          </w:tcPr>
          <w:p>
            <w:pPr>
              <w:pStyle w:val="TableParagraph"/>
              <w:spacing w:line="273" w:lineRule="exact" w:before="100"/>
              <w:ind w:left="122"/>
              <w:rPr>
                <w:rFonts w:ascii="Calibri"/>
                <w:sz w:val="24"/>
              </w:rPr>
            </w:pPr>
            <w:r>
              <w:rPr>
                <w:rFonts w:ascii="Calibri"/>
                <w:sz w:val="24"/>
              </w:rPr>
              <w:t>M</w:t>
            </w:r>
          </w:p>
        </w:tc>
        <w:tc>
          <w:tcPr>
            <w:tcW w:w="720" w:type="dxa"/>
            <w:tcBorders>
              <w:top w:val="single" w:sz="4" w:space="0" w:color="000000"/>
              <w:left w:val="single" w:sz="4" w:space="0" w:color="000000"/>
              <w:right w:val="single" w:sz="4" w:space="0" w:color="000000"/>
            </w:tcBorders>
          </w:tcPr>
          <w:p>
            <w:pPr>
              <w:pStyle w:val="TableParagraph"/>
              <w:spacing w:line="273" w:lineRule="exact" w:before="100"/>
              <w:ind w:left="119"/>
              <w:rPr>
                <w:rFonts w:ascii="Calibri"/>
                <w:sz w:val="24"/>
              </w:rPr>
            </w:pPr>
            <w:r>
              <w:rPr>
                <w:rFonts w:ascii="Calibri"/>
                <w:sz w:val="24"/>
              </w:rPr>
              <w:t>F</w:t>
            </w:r>
          </w:p>
        </w:tc>
        <w:tc>
          <w:tcPr>
            <w:tcW w:w="987" w:type="dxa"/>
            <w:tcBorders>
              <w:top w:val="single" w:sz="4" w:space="0" w:color="000000"/>
              <w:left w:val="single" w:sz="4" w:space="0" w:color="000000"/>
              <w:right w:val="nil"/>
            </w:tcBorders>
          </w:tcPr>
          <w:p>
            <w:pPr>
              <w:pStyle w:val="TableParagraph"/>
              <w:spacing w:line="273" w:lineRule="exact" w:before="100"/>
              <w:ind w:left="119"/>
              <w:rPr>
                <w:rFonts w:ascii="Calibri"/>
                <w:sz w:val="24"/>
              </w:rPr>
            </w:pPr>
            <w:r>
              <w:rPr>
                <w:rFonts w:ascii="Calibri"/>
                <w:spacing w:val="-5"/>
                <w:sz w:val="24"/>
              </w:rPr>
              <w:t>GJ</w:t>
            </w:r>
          </w:p>
        </w:tc>
      </w:tr>
      <w:tr>
        <w:trPr>
          <w:trHeight w:val="330" w:hRule="atLeast"/>
        </w:trPr>
        <w:tc>
          <w:tcPr>
            <w:tcW w:w="1369" w:type="dxa"/>
            <w:shd w:val="clear" w:color="auto" w:fill="D9D9D9"/>
          </w:tcPr>
          <w:p>
            <w:pPr>
              <w:pStyle w:val="TableParagraph"/>
              <w:spacing w:line="256" w:lineRule="exact" w:before="54"/>
              <w:ind w:left="108"/>
              <w:rPr>
                <w:sz w:val="24"/>
              </w:rPr>
            </w:pPr>
            <w:r>
              <w:rPr>
                <w:spacing w:val="-2"/>
                <w:sz w:val="24"/>
              </w:rPr>
              <w:t>Parafillor</w:t>
            </w:r>
          </w:p>
        </w:tc>
        <w:tc>
          <w:tcPr>
            <w:tcW w:w="625" w:type="dxa"/>
            <w:shd w:val="clear" w:color="auto" w:fill="C5D9F0"/>
          </w:tcPr>
          <w:p>
            <w:pPr>
              <w:pStyle w:val="TableParagraph"/>
              <w:spacing w:line="256" w:lineRule="exact" w:before="54"/>
              <w:ind w:right="89"/>
              <w:jc w:val="right"/>
              <w:rPr>
                <w:sz w:val="24"/>
              </w:rPr>
            </w:pPr>
            <w:r>
              <w:rPr>
                <w:spacing w:val="-5"/>
                <w:sz w:val="24"/>
              </w:rPr>
              <w:t>48</w:t>
            </w:r>
          </w:p>
        </w:tc>
        <w:tc>
          <w:tcPr>
            <w:tcW w:w="631" w:type="dxa"/>
            <w:shd w:val="clear" w:color="auto" w:fill="C5D9F0"/>
          </w:tcPr>
          <w:p>
            <w:pPr>
              <w:pStyle w:val="TableParagraph"/>
              <w:spacing w:line="256" w:lineRule="exact" w:before="54"/>
              <w:ind w:right="87"/>
              <w:jc w:val="right"/>
              <w:rPr>
                <w:sz w:val="24"/>
              </w:rPr>
            </w:pPr>
            <w:r>
              <w:rPr>
                <w:spacing w:val="-5"/>
                <w:sz w:val="24"/>
              </w:rPr>
              <w:t>35</w:t>
            </w:r>
          </w:p>
        </w:tc>
        <w:tc>
          <w:tcPr>
            <w:tcW w:w="720" w:type="dxa"/>
            <w:shd w:val="clear" w:color="auto" w:fill="C5D9F0"/>
          </w:tcPr>
          <w:p>
            <w:pPr>
              <w:pStyle w:val="TableParagraph"/>
              <w:spacing w:line="256" w:lineRule="exact" w:before="54"/>
              <w:ind w:right="87"/>
              <w:jc w:val="right"/>
              <w:rPr>
                <w:sz w:val="24"/>
              </w:rPr>
            </w:pPr>
            <w:r>
              <w:rPr>
                <w:spacing w:val="-5"/>
                <w:sz w:val="24"/>
              </w:rPr>
              <w:t>83</w:t>
            </w:r>
          </w:p>
        </w:tc>
        <w:tc>
          <w:tcPr>
            <w:tcW w:w="599" w:type="dxa"/>
            <w:shd w:val="clear" w:color="auto" w:fill="F1DBDB"/>
          </w:tcPr>
          <w:p>
            <w:pPr>
              <w:pStyle w:val="TableParagraph"/>
              <w:spacing w:line="256" w:lineRule="exact" w:before="54"/>
              <w:ind w:right="86"/>
              <w:jc w:val="right"/>
              <w:rPr>
                <w:sz w:val="24"/>
              </w:rPr>
            </w:pPr>
            <w:r>
              <w:rPr>
                <w:spacing w:val="-5"/>
                <w:sz w:val="24"/>
              </w:rPr>
              <w:t>11</w:t>
            </w:r>
          </w:p>
        </w:tc>
        <w:tc>
          <w:tcPr>
            <w:tcW w:w="455" w:type="dxa"/>
            <w:shd w:val="clear" w:color="auto" w:fill="F1DBDB"/>
          </w:tcPr>
          <w:p>
            <w:pPr>
              <w:pStyle w:val="TableParagraph"/>
              <w:spacing w:line="256" w:lineRule="exact" w:before="54"/>
              <w:ind w:left="107"/>
              <w:rPr>
                <w:sz w:val="24"/>
              </w:rPr>
            </w:pPr>
            <w:r>
              <w:rPr>
                <w:spacing w:val="-5"/>
                <w:sz w:val="24"/>
              </w:rPr>
              <w:t>10</w:t>
            </w:r>
          </w:p>
        </w:tc>
        <w:tc>
          <w:tcPr>
            <w:tcW w:w="575" w:type="dxa"/>
            <w:shd w:val="clear" w:color="auto" w:fill="F1DBDB"/>
          </w:tcPr>
          <w:p>
            <w:pPr>
              <w:pStyle w:val="TableParagraph"/>
              <w:spacing w:line="256" w:lineRule="exact" w:before="54"/>
              <w:ind w:right="84"/>
              <w:jc w:val="right"/>
              <w:rPr>
                <w:sz w:val="24"/>
              </w:rPr>
            </w:pPr>
            <w:r>
              <w:rPr>
                <w:spacing w:val="-5"/>
                <w:sz w:val="24"/>
              </w:rPr>
              <w:t>21</w:t>
            </w:r>
          </w:p>
        </w:tc>
        <w:tc>
          <w:tcPr>
            <w:tcW w:w="455" w:type="dxa"/>
            <w:shd w:val="clear" w:color="auto" w:fill="D5E2BB"/>
          </w:tcPr>
          <w:p>
            <w:pPr>
              <w:pStyle w:val="TableParagraph"/>
              <w:spacing w:before="1"/>
              <w:ind w:right="80"/>
              <w:jc w:val="right"/>
              <w:rPr>
                <w:sz w:val="24"/>
              </w:rPr>
            </w:pPr>
            <w:r>
              <w:rPr>
                <w:sz w:val="24"/>
              </w:rPr>
              <w:t>7</w:t>
            </w:r>
          </w:p>
        </w:tc>
        <w:tc>
          <w:tcPr>
            <w:tcW w:w="455" w:type="dxa"/>
            <w:shd w:val="clear" w:color="auto" w:fill="D5E2BB"/>
          </w:tcPr>
          <w:p>
            <w:pPr>
              <w:pStyle w:val="TableParagraph"/>
              <w:spacing w:before="1"/>
              <w:ind w:right="79"/>
              <w:jc w:val="right"/>
              <w:rPr>
                <w:sz w:val="24"/>
              </w:rPr>
            </w:pPr>
            <w:r>
              <w:rPr>
                <w:sz w:val="24"/>
              </w:rPr>
              <w:t>3</w:t>
            </w:r>
          </w:p>
        </w:tc>
        <w:tc>
          <w:tcPr>
            <w:tcW w:w="575" w:type="dxa"/>
            <w:shd w:val="clear" w:color="auto" w:fill="D5E2BB"/>
          </w:tcPr>
          <w:p>
            <w:pPr>
              <w:pStyle w:val="TableParagraph"/>
              <w:spacing w:before="1"/>
              <w:ind w:right="78"/>
              <w:jc w:val="right"/>
              <w:rPr>
                <w:sz w:val="24"/>
              </w:rPr>
            </w:pPr>
            <w:r>
              <w:rPr>
                <w:spacing w:val="-5"/>
                <w:sz w:val="24"/>
              </w:rPr>
              <w:t>10</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66</w:t>
            </w:r>
          </w:p>
        </w:tc>
        <w:tc>
          <w:tcPr>
            <w:tcW w:w="720" w:type="dxa"/>
          </w:tcPr>
          <w:p>
            <w:pPr>
              <w:pStyle w:val="TableParagraph"/>
              <w:spacing w:line="273" w:lineRule="exact" w:before="37"/>
              <w:ind w:right="76"/>
              <w:jc w:val="right"/>
              <w:rPr>
                <w:rFonts w:ascii="Calibri"/>
                <w:sz w:val="24"/>
              </w:rPr>
            </w:pPr>
            <w:r>
              <w:rPr>
                <w:rFonts w:ascii="Calibri"/>
                <w:spacing w:val="-5"/>
                <w:sz w:val="24"/>
              </w:rPr>
              <w:t>48</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114</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1</w:t>
            </w:r>
          </w:p>
        </w:tc>
        <w:tc>
          <w:tcPr>
            <w:tcW w:w="625" w:type="dxa"/>
            <w:shd w:val="clear" w:color="auto" w:fill="C5D9F0"/>
          </w:tcPr>
          <w:p>
            <w:pPr>
              <w:pStyle w:val="TableParagraph"/>
              <w:spacing w:line="256" w:lineRule="exact" w:before="54"/>
              <w:ind w:right="89"/>
              <w:jc w:val="right"/>
              <w:rPr>
                <w:sz w:val="24"/>
              </w:rPr>
            </w:pPr>
            <w:r>
              <w:rPr>
                <w:spacing w:val="-5"/>
                <w:sz w:val="24"/>
              </w:rPr>
              <w:t>47</w:t>
            </w:r>
          </w:p>
        </w:tc>
        <w:tc>
          <w:tcPr>
            <w:tcW w:w="631" w:type="dxa"/>
            <w:shd w:val="clear" w:color="auto" w:fill="C5D9F0"/>
          </w:tcPr>
          <w:p>
            <w:pPr>
              <w:pStyle w:val="TableParagraph"/>
              <w:spacing w:line="256" w:lineRule="exact" w:before="54"/>
              <w:ind w:right="87"/>
              <w:jc w:val="right"/>
              <w:rPr>
                <w:sz w:val="24"/>
              </w:rPr>
            </w:pPr>
            <w:r>
              <w:rPr>
                <w:spacing w:val="-5"/>
                <w:sz w:val="24"/>
              </w:rPr>
              <w:t>40</w:t>
            </w:r>
          </w:p>
        </w:tc>
        <w:tc>
          <w:tcPr>
            <w:tcW w:w="720" w:type="dxa"/>
            <w:shd w:val="clear" w:color="auto" w:fill="C5D9F0"/>
          </w:tcPr>
          <w:p>
            <w:pPr>
              <w:pStyle w:val="TableParagraph"/>
              <w:spacing w:line="256" w:lineRule="exact" w:before="54"/>
              <w:ind w:right="87"/>
              <w:jc w:val="right"/>
              <w:rPr>
                <w:sz w:val="24"/>
              </w:rPr>
            </w:pPr>
            <w:r>
              <w:rPr>
                <w:spacing w:val="-5"/>
                <w:sz w:val="24"/>
              </w:rPr>
              <w:t>87</w:t>
            </w:r>
          </w:p>
        </w:tc>
        <w:tc>
          <w:tcPr>
            <w:tcW w:w="599" w:type="dxa"/>
            <w:shd w:val="clear" w:color="auto" w:fill="F1DBDB"/>
          </w:tcPr>
          <w:p>
            <w:pPr>
              <w:pStyle w:val="TableParagraph"/>
              <w:spacing w:line="256" w:lineRule="exact" w:before="54"/>
              <w:ind w:right="86"/>
              <w:jc w:val="right"/>
              <w:rPr>
                <w:sz w:val="24"/>
              </w:rPr>
            </w:pPr>
            <w:r>
              <w:rPr>
                <w:sz w:val="24"/>
              </w:rPr>
              <w:t>9</w:t>
            </w:r>
          </w:p>
        </w:tc>
        <w:tc>
          <w:tcPr>
            <w:tcW w:w="455" w:type="dxa"/>
            <w:shd w:val="clear" w:color="auto" w:fill="F1DBDB"/>
          </w:tcPr>
          <w:p>
            <w:pPr>
              <w:pStyle w:val="TableParagraph"/>
              <w:spacing w:line="256" w:lineRule="exact" w:before="54"/>
              <w:ind w:left="107"/>
              <w:rPr>
                <w:sz w:val="24"/>
              </w:rPr>
            </w:pPr>
            <w:r>
              <w:rPr>
                <w:spacing w:val="-5"/>
                <w:sz w:val="24"/>
              </w:rPr>
              <w:t>10</w:t>
            </w:r>
          </w:p>
        </w:tc>
        <w:tc>
          <w:tcPr>
            <w:tcW w:w="575" w:type="dxa"/>
            <w:shd w:val="clear" w:color="auto" w:fill="F1DBDB"/>
          </w:tcPr>
          <w:p>
            <w:pPr>
              <w:pStyle w:val="TableParagraph"/>
              <w:spacing w:line="256" w:lineRule="exact" w:before="54"/>
              <w:ind w:right="84"/>
              <w:jc w:val="right"/>
              <w:rPr>
                <w:sz w:val="24"/>
              </w:rPr>
            </w:pPr>
            <w:r>
              <w:rPr>
                <w:spacing w:val="-5"/>
                <w:sz w:val="24"/>
              </w:rPr>
              <w:t>19</w:t>
            </w:r>
          </w:p>
        </w:tc>
        <w:tc>
          <w:tcPr>
            <w:tcW w:w="455" w:type="dxa"/>
            <w:shd w:val="clear" w:color="auto" w:fill="D5E2BB"/>
          </w:tcPr>
          <w:p>
            <w:pPr>
              <w:pStyle w:val="TableParagraph"/>
              <w:spacing w:before="1"/>
              <w:ind w:right="80"/>
              <w:jc w:val="right"/>
              <w:rPr>
                <w:sz w:val="24"/>
              </w:rPr>
            </w:pPr>
            <w:r>
              <w:rPr>
                <w:sz w:val="24"/>
              </w:rPr>
              <w:t>7</w:t>
            </w:r>
          </w:p>
        </w:tc>
        <w:tc>
          <w:tcPr>
            <w:tcW w:w="455" w:type="dxa"/>
            <w:shd w:val="clear" w:color="auto" w:fill="D5E2BB"/>
          </w:tcPr>
          <w:p>
            <w:pPr>
              <w:pStyle w:val="TableParagraph"/>
              <w:spacing w:before="1"/>
              <w:ind w:right="79"/>
              <w:jc w:val="right"/>
              <w:rPr>
                <w:sz w:val="24"/>
              </w:rPr>
            </w:pPr>
            <w:r>
              <w:rPr>
                <w:sz w:val="24"/>
              </w:rPr>
              <w:t>6</w:t>
            </w:r>
          </w:p>
        </w:tc>
        <w:tc>
          <w:tcPr>
            <w:tcW w:w="575" w:type="dxa"/>
            <w:shd w:val="clear" w:color="auto" w:fill="D5E2BB"/>
          </w:tcPr>
          <w:p>
            <w:pPr>
              <w:pStyle w:val="TableParagraph"/>
              <w:spacing w:before="1"/>
              <w:ind w:right="78"/>
              <w:jc w:val="right"/>
              <w:rPr>
                <w:sz w:val="24"/>
              </w:rPr>
            </w:pPr>
            <w:r>
              <w:rPr>
                <w:spacing w:val="-5"/>
                <w:sz w:val="24"/>
              </w:rPr>
              <w:t>13</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63</w:t>
            </w:r>
          </w:p>
        </w:tc>
        <w:tc>
          <w:tcPr>
            <w:tcW w:w="720" w:type="dxa"/>
          </w:tcPr>
          <w:p>
            <w:pPr>
              <w:pStyle w:val="TableParagraph"/>
              <w:spacing w:line="273" w:lineRule="exact" w:before="37"/>
              <w:ind w:right="76"/>
              <w:jc w:val="right"/>
              <w:rPr>
                <w:rFonts w:ascii="Calibri"/>
                <w:sz w:val="24"/>
              </w:rPr>
            </w:pPr>
            <w:r>
              <w:rPr>
                <w:rFonts w:ascii="Calibri"/>
                <w:spacing w:val="-5"/>
                <w:sz w:val="24"/>
              </w:rPr>
              <w:t>56</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119</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2</w:t>
            </w:r>
          </w:p>
        </w:tc>
        <w:tc>
          <w:tcPr>
            <w:tcW w:w="625" w:type="dxa"/>
            <w:shd w:val="clear" w:color="auto" w:fill="C5D9F0"/>
          </w:tcPr>
          <w:p>
            <w:pPr>
              <w:pStyle w:val="TableParagraph"/>
              <w:spacing w:line="256" w:lineRule="exact" w:before="54"/>
              <w:ind w:right="89"/>
              <w:jc w:val="right"/>
              <w:rPr>
                <w:sz w:val="24"/>
              </w:rPr>
            </w:pPr>
            <w:r>
              <w:rPr>
                <w:spacing w:val="-5"/>
                <w:sz w:val="24"/>
              </w:rPr>
              <w:t>50</w:t>
            </w:r>
          </w:p>
        </w:tc>
        <w:tc>
          <w:tcPr>
            <w:tcW w:w="631" w:type="dxa"/>
            <w:shd w:val="clear" w:color="auto" w:fill="C5D9F0"/>
          </w:tcPr>
          <w:p>
            <w:pPr>
              <w:pStyle w:val="TableParagraph"/>
              <w:spacing w:line="256" w:lineRule="exact" w:before="54"/>
              <w:ind w:right="87"/>
              <w:jc w:val="right"/>
              <w:rPr>
                <w:sz w:val="24"/>
              </w:rPr>
            </w:pPr>
            <w:r>
              <w:rPr>
                <w:spacing w:val="-5"/>
                <w:sz w:val="24"/>
              </w:rPr>
              <w:t>48</w:t>
            </w:r>
          </w:p>
        </w:tc>
        <w:tc>
          <w:tcPr>
            <w:tcW w:w="720" w:type="dxa"/>
            <w:shd w:val="clear" w:color="auto" w:fill="C5D9F0"/>
          </w:tcPr>
          <w:p>
            <w:pPr>
              <w:pStyle w:val="TableParagraph"/>
              <w:spacing w:line="256" w:lineRule="exact" w:before="54"/>
              <w:ind w:right="87"/>
              <w:jc w:val="right"/>
              <w:rPr>
                <w:sz w:val="24"/>
              </w:rPr>
            </w:pPr>
            <w:r>
              <w:rPr>
                <w:spacing w:val="-5"/>
                <w:sz w:val="24"/>
              </w:rPr>
              <w:t>98</w:t>
            </w:r>
          </w:p>
        </w:tc>
        <w:tc>
          <w:tcPr>
            <w:tcW w:w="599" w:type="dxa"/>
            <w:shd w:val="clear" w:color="auto" w:fill="F1DBDB"/>
          </w:tcPr>
          <w:p>
            <w:pPr>
              <w:pStyle w:val="TableParagraph"/>
              <w:spacing w:line="256" w:lineRule="exact" w:before="54"/>
              <w:ind w:right="86"/>
              <w:jc w:val="right"/>
              <w:rPr>
                <w:sz w:val="24"/>
              </w:rPr>
            </w:pPr>
            <w:r>
              <w:rPr>
                <w:spacing w:val="-5"/>
                <w:sz w:val="24"/>
              </w:rPr>
              <w:t>10</w:t>
            </w:r>
          </w:p>
        </w:tc>
        <w:tc>
          <w:tcPr>
            <w:tcW w:w="455" w:type="dxa"/>
            <w:shd w:val="clear" w:color="auto" w:fill="F1DBDB"/>
          </w:tcPr>
          <w:p>
            <w:pPr>
              <w:pStyle w:val="TableParagraph"/>
              <w:spacing w:line="256" w:lineRule="exact" w:before="54"/>
              <w:ind w:left="107"/>
              <w:rPr>
                <w:sz w:val="24"/>
              </w:rPr>
            </w:pPr>
            <w:r>
              <w:rPr>
                <w:spacing w:val="-5"/>
                <w:sz w:val="24"/>
              </w:rPr>
              <w:t>11</w:t>
            </w:r>
          </w:p>
        </w:tc>
        <w:tc>
          <w:tcPr>
            <w:tcW w:w="575" w:type="dxa"/>
            <w:shd w:val="clear" w:color="auto" w:fill="F1DBDB"/>
          </w:tcPr>
          <w:p>
            <w:pPr>
              <w:pStyle w:val="TableParagraph"/>
              <w:spacing w:line="256" w:lineRule="exact" w:before="54"/>
              <w:ind w:right="84"/>
              <w:jc w:val="right"/>
              <w:rPr>
                <w:sz w:val="24"/>
              </w:rPr>
            </w:pPr>
            <w:r>
              <w:rPr>
                <w:spacing w:val="-5"/>
                <w:sz w:val="24"/>
              </w:rPr>
              <w:t>21</w:t>
            </w:r>
          </w:p>
        </w:tc>
        <w:tc>
          <w:tcPr>
            <w:tcW w:w="455" w:type="dxa"/>
            <w:shd w:val="clear" w:color="auto" w:fill="D5E2BB"/>
          </w:tcPr>
          <w:p>
            <w:pPr>
              <w:pStyle w:val="TableParagraph"/>
              <w:spacing w:line="275" w:lineRule="exact"/>
              <w:ind w:right="80"/>
              <w:jc w:val="right"/>
              <w:rPr>
                <w:sz w:val="24"/>
              </w:rPr>
            </w:pPr>
            <w:r>
              <w:rPr>
                <w:sz w:val="24"/>
              </w:rPr>
              <w:t>9</w:t>
            </w:r>
          </w:p>
        </w:tc>
        <w:tc>
          <w:tcPr>
            <w:tcW w:w="455" w:type="dxa"/>
            <w:shd w:val="clear" w:color="auto" w:fill="D5E2BB"/>
          </w:tcPr>
          <w:p>
            <w:pPr>
              <w:pStyle w:val="TableParagraph"/>
              <w:spacing w:line="275" w:lineRule="exact"/>
              <w:ind w:right="79"/>
              <w:jc w:val="right"/>
              <w:rPr>
                <w:sz w:val="24"/>
              </w:rPr>
            </w:pPr>
            <w:r>
              <w:rPr>
                <w:sz w:val="24"/>
              </w:rPr>
              <w:t>5</w:t>
            </w:r>
          </w:p>
        </w:tc>
        <w:tc>
          <w:tcPr>
            <w:tcW w:w="575" w:type="dxa"/>
            <w:shd w:val="clear" w:color="auto" w:fill="D5E2BB"/>
          </w:tcPr>
          <w:p>
            <w:pPr>
              <w:pStyle w:val="TableParagraph"/>
              <w:spacing w:line="275" w:lineRule="exact"/>
              <w:ind w:right="78"/>
              <w:jc w:val="right"/>
              <w:rPr>
                <w:sz w:val="24"/>
              </w:rPr>
            </w:pPr>
            <w:r>
              <w:rPr>
                <w:spacing w:val="-5"/>
                <w:sz w:val="24"/>
              </w:rPr>
              <w:t>14</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69</w:t>
            </w:r>
          </w:p>
        </w:tc>
        <w:tc>
          <w:tcPr>
            <w:tcW w:w="720" w:type="dxa"/>
          </w:tcPr>
          <w:p>
            <w:pPr>
              <w:pStyle w:val="TableParagraph"/>
              <w:spacing w:line="273" w:lineRule="exact" w:before="37"/>
              <w:ind w:right="76"/>
              <w:jc w:val="right"/>
              <w:rPr>
                <w:rFonts w:ascii="Calibri"/>
                <w:sz w:val="24"/>
              </w:rPr>
            </w:pPr>
            <w:r>
              <w:rPr>
                <w:rFonts w:ascii="Calibri"/>
                <w:spacing w:val="-5"/>
                <w:sz w:val="24"/>
              </w:rPr>
              <w:t>64</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133</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3</w:t>
            </w:r>
          </w:p>
        </w:tc>
        <w:tc>
          <w:tcPr>
            <w:tcW w:w="625" w:type="dxa"/>
            <w:shd w:val="clear" w:color="auto" w:fill="C5D9F0"/>
          </w:tcPr>
          <w:p>
            <w:pPr>
              <w:pStyle w:val="TableParagraph"/>
              <w:spacing w:line="256" w:lineRule="exact" w:before="54"/>
              <w:ind w:right="89"/>
              <w:jc w:val="right"/>
              <w:rPr>
                <w:sz w:val="24"/>
              </w:rPr>
            </w:pPr>
            <w:r>
              <w:rPr>
                <w:spacing w:val="-5"/>
                <w:sz w:val="24"/>
              </w:rPr>
              <w:t>55</w:t>
            </w:r>
          </w:p>
        </w:tc>
        <w:tc>
          <w:tcPr>
            <w:tcW w:w="631" w:type="dxa"/>
            <w:shd w:val="clear" w:color="auto" w:fill="C5D9F0"/>
          </w:tcPr>
          <w:p>
            <w:pPr>
              <w:pStyle w:val="TableParagraph"/>
              <w:spacing w:line="256" w:lineRule="exact" w:before="54"/>
              <w:ind w:right="87"/>
              <w:jc w:val="right"/>
              <w:rPr>
                <w:sz w:val="24"/>
              </w:rPr>
            </w:pPr>
            <w:r>
              <w:rPr>
                <w:spacing w:val="-5"/>
                <w:sz w:val="24"/>
              </w:rPr>
              <w:t>53</w:t>
            </w:r>
          </w:p>
        </w:tc>
        <w:tc>
          <w:tcPr>
            <w:tcW w:w="720" w:type="dxa"/>
            <w:shd w:val="clear" w:color="auto" w:fill="C5D9F0"/>
          </w:tcPr>
          <w:p>
            <w:pPr>
              <w:pStyle w:val="TableParagraph"/>
              <w:spacing w:line="256" w:lineRule="exact" w:before="54"/>
              <w:ind w:right="87"/>
              <w:jc w:val="right"/>
              <w:rPr>
                <w:sz w:val="24"/>
              </w:rPr>
            </w:pPr>
            <w:r>
              <w:rPr>
                <w:spacing w:val="-5"/>
                <w:sz w:val="24"/>
              </w:rPr>
              <w:t>108</w:t>
            </w:r>
          </w:p>
        </w:tc>
        <w:tc>
          <w:tcPr>
            <w:tcW w:w="599" w:type="dxa"/>
            <w:shd w:val="clear" w:color="auto" w:fill="F1DBDB"/>
          </w:tcPr>
          <w:p>
            <w:pPr>
              <w:pStyle w:val="TableParagraph"/>
              <w:spacing w:line="256" w:lineRule="exact" w:before="54"/>
              <w:ind w:right="86"/>
              <w:jc w:val="right"/>
              <w:rPr>
                <w:sz w:val="24"/>
              </w:rPr>
            </w:pPr>
            <w:r>
              <w:rPr>
                <w:sz w:val="24"/>
              </w:rPr>
              <w:t>9</w:t>
            </w:r>
          </w:p>
        </w:tc>
        <w:tc>
          <w:tcPr>
            <w:tcW w:w="455" w:type="dxa"/>
            <w:shd w:val="clear" w:color="auto" w:fill="F1DBDB"/>
          </w:tcPr>
          <w:p>
            <w:pPr>
              <w:pStyle w:val="TableParagraph"/>
              <w:spacing w:line="256" w:lineRule="exact" w:before="54"/>
              <w:ind w:left="107"/>
              <w:rPr>
                <w:sz w:val="24"/>
              </w:rPr>
            </w:pPr>
            <w:r>
              <w:rPr>
                <w:spacing w:val="-5"/>
                <w:sz w:val="24"/>
              </w:rPr>
              <w:t>10</w:t>
            </w:r>
          </w:p>
        </w:tc>
        <w:tc>
          <w:tcPr>
            <w:tcW w:w="575" w:type="dxa"/>
            <w:shd w:val="clear" w:color="auto" w:fill="F1DBDB"/>
          </w:tcPr>
          <w:p>
            <w:pPr>
              <w:pStyle w:val="TableParagraph"/>
              <w:spacing w:line="256" w:lineRule="exact" w:before="54"/>
              <w:ind w:right="84"/>
              <w:jc w:val="right"/>
              <w:rPr>
                <w:sz w:val="24"/>
              </w:rPr>
            </w:pPr>
            <w:r>
              <w:rPr>
                <w:spacing w:val="-5"/>
                <w:sz w:val="24"/>
              </w:rPr>
              <w:t>19</w:t>
            </w:r>
          </w:p>
        </w:tc>
        <w:tc>
          <w:tcPr>
            <w:tcW w:w="455" w:type="dxa"/>
            <w:shd w:val="clear" w:color="auto" w:fill="D5E2BB"/>
          </w:tcPr>
          <w:p>
            <w:pPr>
              <w:pStyle w:val="TableParagraph"/>
              <w:spacing w:line="275" w:lineRule="exact"/>
              <w:ind w:right="80"/>
              <w:jc w:val="right"/>
              <w:rPr>
                <w:sz w:val="24"/>
              </w:rPr>
            </w:pPr>
            <w:r>
              <w:rPr>
                <w:spacing w:val="-5"/>
                <w:sz w:val="24"/>
              </w:rPr>
              <w:t>11</w:t>
            </w:r>
          </w:p>
        </w:tc>
        <w:tc>
          <w:tcPr>
            <w:tcW w:w="455" w:type="dxa"/>
            <w:shd w:val="clear" w:color="auto" w:fill="D5E2BB"/>
          </w:tcPr>
          <w:p>
            <w:pPr>
              <w:pStyle w:val="TableParagraph"/>
              <w:spacing w:line="275" w:lineRule="exact"/>
              <w:ind w:right="79"/>
              <w:jc w:val="right"/>
              <w:rPr>
                <w:sz w:val="24"/>
              </w:rPr>
            </w:pPr>
            <w:r>
              <w:rPr>
                <w:sz w:val="24"/>
              </w:rPr>
              <w:t>8</w:t>
            </w:r>
          </w:p>
        </w:tc>
        <w:tc>
          <w:tcPr>
            <w:tcW w:w="575" w:type="dxa"/>
            <w:shd w:val="clear" w:color="auto" w:fill="D5E2BB"/>
          </w:tcPr>
          <w:p>
            <w:pPr>
              <w:pStyle w:val="TableParagraph"/>
              <w:spacing w:line="275" w:lineRule="exact"/>
              <w:ind w:right="78"/>
              <w:jc w:val="right"/>
              <w:rPr>
                <w:sz w:val="24"/>
              </w:rPr>
            </w:pPr>
            <w:r>
              <w:rPr>
                <w:spacing w:val="-5"/>
                <w:sz w:val="24"/>
              </w:rPr>
              <w:t>19</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75</w:t>
            </w:r>
          </w:p>
        </w:tc>
        <w:tc>
          <w:tcPr>
            <w:tcW w:w="720" w:type="dxa"/>
          </w:tcPr>
          <w:p>
            <w:pPr>
              <w:pStyle w:val="TableParagraph"/>
              <w:spacing w:line="273" w:lineRule="exact" w:before="37"/>
              <w:ind w:right="76"/>
              <w:jc w:val="right"/>
              <w:rPr>
                <w:rFonts w:ascii="Calibri"/>
                <w:sz w:val="24"/>
              </w:rPr>
            </w:pPr>
            <w:r>
              <w:rPr>
                <w:rFonts w:ascii="Calibri"/>
                <w:spacing w:val="-5"/>
                <w:sz w:val="24"/>
              </w:rPr>
              <w:t>71</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146</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4</w:t>
            </w:r>
          </w:p>
        </w:tc>
        <w:tc>
          <w:tcPr>
            <w:tcW w:w="625" w:type="dxa"/>
            <w:shd w:val="clear" w:color="auto" w:fill="C5D9F0"/>
          </w:tcPr>
          <w:p>
            <w:pPr>
              <w:pStyle w:val="TableParagraph"/>
              <w:spacing w:line="256" w:lineRule="exact" w:before="54"/>
              <w:ind w:right="89"/>
              <w:jc w:val="right"/>
              <w:rPr>
                <w:sz w:val="24"/>
              </w:rPr>
            </w:pPr>
            <w:r>
              <w:rPr>
                <w:spacing w:val="-5"/>
                <w:sz w:val="24"/>
              </w:rPr>
              <w:t>60</w:t>
            </w:r>
          </w:p>
        </w:tc>
        <w:tc>
          <w:tcPr>
            <w:tcW w:w="631" w:type="dxa"/>
            <w:shd w:val="clear" w:color="auto" w:fill="C5D9F0"/>
          </w:tcPr>
          <w:p>
            <w:pPr>
              <w:pStyle w:val="TableParagraph"/>
              <w:spacing w:line="256" w:lineRule="exact" w:before="54"/>
              <w:ind w:right="87"/>
              <w:jc w:val="right"/>
              <w:rPr>
                <w:sz w:val="24"/>
              </w:rPr>
            </w:pPr>
            <w:r>
              <w:rPr>
                <w:spacing w:val="-5"/>
                <w:sz w:val="24"/>
              </w:rPr>
              <w:t>64</w:t>
            </w:r>
          </w:p>
        </w:tc>
        <w:tc>
          <w:tcPr>
            <w:tcW w:w="720" w:type="dxa"/>
            <w:shd w:val="clear" w:color="auto" w:fill="C5D9F0"/>
          </w:tcPr>
          <w:p>
            <w:pPr>
              <w:pStyle w:val="TableParagraph"/>
              <w:spacing w:line="256" w:lineRule="exact" w:before="54"/>
              <w:ind w:right="87"/>
              <w:jc w:val="right"/>
              <w:rPr>
                <w:sz w:val="24"/>
              </w:rPr>
            </w:pPr>
            <w:r>
              <w:rPr>
                <w:spacing w:val="-5"/>
                <w:sz w:val="24"/>
              </w:rPr>
              <w:t>124</w:t>
            </w:r>
          </w:p>
        </w:tc>
        <w:tc>
          <w:tcPr>
            <w:tcW w:w="599" w:type="dxa"/>
            <w:shd w:val="clear" w:color="auto" w:fill="F1DBDB"/>
          </w:tcPr>
          <w:p>
            <w:pPr>
              <w:pStyle w:val="TableParagraph"/>
              <w:spacing w:line="256" w:lineRule="exact" w:before="54"/>
              <w:ind w:right="86"/>
              <w:jc w:val="right"/>
              <w:rPr>
                <w:sz w:val="24"/>
              </w:rPr>
            </w:pPr>
            <w:r>
              <w:rPr>
                <w:spacing w:val="-5"/>
                <w:sz w:val="24"/>
              </w:rPr>
              <w:t>11</w:t>
            </w:r>
          </w:p>
        </w:tc>
        <w:tc>
          <w:tcPr>
            <w:tcW w:w="455" w:type="dxa"/>
            <w:shd w:val="clear" w:color="auto" w:fill="F1DBDB"/>
          </w:tcPr>
          <w:p>
            <w:pPr>
              <w:pStyle w:val="TableParagraph"/>
              <w:spacing w:line="256" w:lineRule="exact" w:before="54"/>
              <w:ind w:left="107"/>
              <w:rPr>
                <w:sz w:val="24"/>
              </w:rPr>
            </w:pPr>
            <w:r>
              <w:rPr>
                <w:spacing w:val="-5"/>
                <w:sz w:val="24"/>
              </w:rPr>
              <w:t>10</w:t>
            </w:r>
          </w:p>
        </w:tc>
        <w:tc>
          <w:tcPr>
            <w:tcW w:w="575" w:type="dxa"/>
            <w:shd w:val="clear" w:color="auto" w:fill="F1DBDB"/>
          </w:tcPr>
          <w:p>
            <w:pPr>
              <w:pStyle w:val="TableParagraph"/>
              <w:spacing w:line="256" w:lineRule="exact" w:before="54"/>
              <w:ind w:right="84"/>
              <w:jc w:val="right"/>
              <w:rPr>
                <w:sz w:val="24"/>
              </w:rPr>
            </w:pPr>
            <w:r>
              <w:rPr>
                <w:spacing w:val="-5"/>
                <w:sz w:val="24"/>
              </w:rPr>
              <w:t>21</w:t>
            </w:r>
          </w:p>
        </w:tc>
        <w:tc>
          <w:tcPr>
            <w:tcW w:w="455" w:type="dxa"/>
            <w:shd w:val="clear" w:color="auto" w:fill="D5E2BB"/>
          </w:tcPr>
          <w:p>
            <w:pPr>
              <w:pStyle w:val="TableParagraph"/>
              <w:spacing w:line="275" w:lineRule="exact"/>
              <w:ind w:right="80"/>
              <w:jc w:val="right"/>
              <w:rPr>
                <w:sz w:val="24"/>
              </w:rPr>
            </w:pPr>
            <w:r>
              <w:rPr>
                <w:sz w:val="24"/>
              </w:rPr>
              <w:t>6</w:t>
            </w:r>
          </w:p>
        </w:tc>
        <w:tc>
          <w:tcPr>
            <w:tcW w:w="455" w:type="dxa"/>
            <w:shd w:val="clear" w:color="auto" w:fill="D5E2BB"/>
          </w:tcPr>
          <w:p>
            <w:pPr>
              <w:pStyle w:val="TableParagraph"/>
              <w:spacing w:line="275" w:lineRule="exact"/>
              <w:ind w:left="113"/>
              <w:rPr>
                <w:sz w:val="24"/>
              </w:rPr>
            </w:pPr>
            <w:r>
              <w:rPr>
                <w:spacing w:val="-5"/>
                <w:sz w:val="24"/>
              </w:rPr>
              <w:t>11</w:t>
            </w:r>
          </w:p>
        </w:tc>
        <w:tc>
          <w:tcPr>
            <w:tcW w:w="575" w:type="dxa"/>
            <w:shd w:val="clear" w:color="auto" w:fill="D5E2BB"/>
          </w:tcPr>
          <w:p>
            <w:pPr>
              <w:pStyle w:val="TableParagraph"/>
              <w:spacing w:line="275" w:lineRule="exact"/>
              <w:ind w:right="78"/>
              <w:jc w:val="right"/>
              <w:rPr>
                <w:sz w:val="24"/>
              </w:rPr>
            </w:pPr>
            <w:r>
              <w:rPr>
                <w:spacing w:val="-5"/>
                <w:sz w:val="24"/>
              </w:rPr>
              <w:t>17</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8"/>
              <w:ind w:right="74"/>
              <w:jc w:val="right"/>
              <w:rPr>
                <w:rFonts w:ascii="Calibri"/>
                <w:sz w:val="24"/>
              </w:rPr>
            </w:pPr>
            <w:r>
              <w:rPr>
                <w:rFonts w:ascii="Calibri"/>
                <w:spacing w:val="-5"/>
                <w:sz w:val="24"/>
              </w:rPr>
              <w:t>77</w:t>
            </w:r>
          </w:p>
        </w:tc>
        <w:tc>
          <w:tcPr>
            <w:tcW w:w="720" w:type="dxa"/>
          </w:tcPr>
          <w:p>
            <w:pPr>
              <w:pStyle w:val="TableParagraph"/>
              <w:spacing w:line="273" w:lineRule="exact" w:before="38"/>
              <w:ind w:right="76"/>
              <w:jc w:val="right"/>
              <w:rPr>
                <w:rFonts w:ascii="Calibri"/>
                <w:sz w:val="24"/>
              </w:rPr>
            </w:pPr>
            <w:r>
              <w:rPr>
                <w:rFonts w:ascii="Calibri"/>
                <w:spacing w:val="-5"/>
                <w:sz w:val="24"/>
              </w:rPr>
              <w:t>85</w:t>
            </w:r>
          </w:p>
        </w:tc>
        <w:tc>
          <w:tcPr>
            <w:tcW w:w="987" w:type="dxa"/>
            <w:tcBorders>
              <w:right w:val="nil"/>
            </w:tcBorders>
          </w:tcPr>
          <w:p>
            <w:pPr>
              <w:pStyle w:val="TableParagraph"/>
              <w:spacing w:line="273" w:lineRule="exact" w:before="38"/>
              <w:ind w:left="114"/>
              <w:rPr>
                <w:rFonts w:ascii="Calibri"/>
                <w:sz w:val="24"/>
              </w:rPr>
            </w:pPr>
            <w:r>
              <w:rPr>
                <w:rFonts w:ascii="Calibri"/>
                <w:spacing w:val="-5"/>
                <w:sz w:val="24"/>
              </w:rPr>
              <w:t>162</w:t>
            </w:r>
          </w:p>
        </w:tc>
      </w:tr>
      <w:tr>
        <w:trPr>
          <w:trHeight w:val="327" w:hRule="atLeast"/>
        </w:trPr>
        <w:tc>
          <w:tcPr>
            <w:tcW w:w="1369" w:type="dxa"/>
            <w:shd w:val="clear" w:color="auto" w:fill="D9D9D9"/>
          </w:tcPr>
          <w:p>
            <w:pPr>
              <w:pStyle w:val="TableParagraph"/>
              <w:spacing w:line="256" w:lineRule="exact" w:before="51"/>
              <w:ind w:left="108"/>
              <w:rPr>
                <w:sz w:val="24"/>
              </w:rPr>
            </w:pPr>
            <w:r>
              <w:rPr>
                <w:sz w:val="24"/>
              </w:rPr>
              <w:t>Klasa</w:t>
            </w:r>
            <w:r>
              <w:rPr>
                <w:spacing w:val="-8"/>
                <w:sz w:val="24"/>
              </w:rPr>
              <w:t> </w:t>
            </w:r>
            <w:r>
              <w:rPr>
                <w:spacing w:val="-10"/>
                <w:sz w:val="24"/>
              </w:rPr>
              <w:t>5</w:t>
            </w:r>
          </w:p>
        </w:tc>
        <w:tc>
          <w:tcPr>
            <w:tcW w:w="625" w:type="dxa"/>
            <w:shd w:val="clear" w:color="auto" w:fill="C5D9F0"/>
          </w:tcPr>
          <w:p>
            <w:pPr>
              <w:pStyle w:val="TableParagraph"/>
              <w:spacing w:line="256" w:lineRule="exact" w:before="51"/>
              <w:ind w:right="89"/>
              <w:jc w:val="right"/>
              <w:rPr>
                <w:sz w:val="24"/>
              </w:rPr>
            </w:pPr>
            <w:r>
              <w:rPr>
                <w:spacing w:val="-5"/>
                <w:sz w:val="24"/>
              </w:rPr>
              <w:t>52</w:t>
            </w:r>
          </w:p>
        </w:tc>
        <w:tc>
          <w:tcPr>
            <w:tcW w:w="631" w:type="dxa"/>
            <w:shd w:val="clear" w:color="auto" w:fill="C5D9F0"/>
          </w:tcPr>
          <w:p>
            <w:pPr>
              <w:pStyle w:val="TableParagraph"/>
              <w:spacing w:line="256" w:lineRule="exact" w:before="51"/>
              <w:ind w:right="87"/>
              <w:jc w:val="right"/>
              <w:rPr>
                <w:sz w:val="24"/>
              </w:rPr>
            </w:pPr>
            <w:r>
              <w:rPr>
                <w:spacing w:val="-5"/>
                <w:sz w:val="24"/>
              </w:rPr>
              <w:t>48</w:t>
            </w:r>
          </w:p>
        </w:tc>
        <w:tc>
          <w:tcPr>
            <w:tcW w:w="720" w:type="dxa"/>
            <w:shd w:val="clear" w:color="auto" w:fill="C5D9F0"/>
          </w:tcPr>
          <w:p>
            <w:pPr>
              <w:pStyle w:val="TableParagraph"/>
              <w:spacing w:line="256" w:lineRule="exact" w:before="51"/>
              <w:ind w:right="87"/>
              <w:jc w:val="right"/>
              <w:rPr>
                <w:sz w:val="24"/>
              </w:rPr>
            </w:pPr>
            <w:r>
              <w:rPr>
                <w:spacing w:val="-5"/>
                <w:sz w:val="24"/>
              </w:rPr>
              <w:t>100</w:t>
            </w:r>
          </w:p>
        </w:tc>
        <w:tc>
          <w:tcPr>
            <w:tcW w:w="599" w:type="dxa"/>
            <w:shd w:val="clear" w:color="auto" w:fill="F1DBDB"/>
          </w:tcPr>
          <w:p>
            <w:pPr>
              <w:pStyle w:val="TableParagraph"/>
              <w:spacing w:line="256" w:lineRule="exact" w:before="51"/>
              <w:ind w:right="86"/>
              <w:jc w:val="right"/>
              <w:rPr>
                <w:sz w:val="24"/>
              </w:rPr>
            </w:pPr>
            <w:r>
              <w:rPr>
                <w:sz w:val="24"/>
              </w:rPr>
              <w:t>5</w:t>
            </w:r>
          </w:p>
        </w:tc>
        <w:tc>
          <w:tcPr>
            <w:tcW w:w="455" w:type="dxa"/>
            <w:shd w:val="clear" w:color="auto" w:fill="F1DBDB"/>
          </w:tcPr>
          <w:p>
            <w:pPr>
              <w:pStyle w:val="TableParagraph"/>
              <w:spacing w:line="256" w:lineRule="exact" w:before="51"/>
              <w:ind w:right="85"/>
              <w:jc w:val="right"/>
              <w:rPr>
                <w:sz w:val="24"/>
              </w:rPr>
            </w:pPr>
            <w:r>
              <w:rPr>
                <w:sz w:val="24"/>
              </w:rPr>
              <w:t>6</w:t>
            </w:r>
          </w:p>
        </w:tc>
        <w:tc>
          <w:tcPr>
            <w:tcW w:w="575" w:type="dxa"/>
            <w:shd w:val="clear" w:color="auto" w:fill="F1DBDB"/>
          </w:tcPr>
          <w:p>
            <w:pPr>
              <w:pStyle w:val="TableParagraph"/>
              <w:spacing w:line="256" w:lineRule="exact" w:before="51"/>
              <w:ind w:right="84"/>
              <w:jc w:val="right"/>
              <w:rPr>
                <w:sz w:val="24"/>
              </w:rPr>
            </w:pPr>
            <w:r>
              <w:rPr>
                <w:spacing w:val="-5"/>
                <w:sz w:val="24"/>
              </w:rPr>
              <w:t>11</w:t>
            </w:r>
          </w:p>
        </w:tc>
        <w:tc>
          <w:tcPr>
            <w:tcW w:w="455" w:type="dxa"/>
            <w:shd w:val="clear" w:color="auto" w:fill="D5E2BB"/>
          </w:tcPr>
          <w:p>
            <w:pPr>
              <w:pStyle w:val="TableParagraph"/>
              <w:spacing w:line="275" w:lineRule="exact"/>
              <w:ind w:right="80"/>
              <w:jc w:val="right"/>
              <w:rPr>
                <w:sz w:val="24"/>
              </w:rPr>
            </w:pPr>
            <w:r>
              <w:rPr>
                <w:sz w:val="24"/>
              </w:rPr>
              <w:t>7</w:t>
            </w:r>
          </w:p>
        </w:tc>
        <w:tc>
          <w:tcPr>
            <w:tcW w:w="455" w:type="dxa"/>
            <w:shd w:val="clear" w:color="auto" w:fill="D5E2BB"/>
          </w:tcPr>
          <w:p>
            <w:pPr>
              <w:pStyle w:val="TableParagraph"/>
              <w:spacing w:line="275" w:lineRule="exact"/>
              <w:ind w:right="79"/>
              <w:jc w:val="right"/>
              <w:rPr>
                <w:sz w:val="24"/>
              </w:rPr>
            </w:pPr>
            <w:r>
              <w:rPr>
                <w:sz w:val="24"/>
              </w:rPr>
              <w:t>8</w:t>
            </w:r>
          </w:p>
        </w:tc>
        <w:tc>
          <w:tcPr>
            <w:tcW w:w="575" w:type="dxa"/>
            <w:shd w:val="clear" w:color="auto" w:fill="D5E2BB"/>
          </w:tcPr>
          <w:p>
            <w:pPr>
              <w:pStyle w:val="TableParagraph"/>
              <w:spacing w:line="275" w:lineRule="exact"/>
              <w:ind w:right="78"/>
              <w:jc w:val="right"/>
              <w:rPr>
                <w:sz w:val="24"/>
              </w:rPr>
            </w:pPr>
            <w:r>
              <w:rPr>
                <w:spacing w:val="-5"/>
                <w:sz w:val="24"/>
              </w:rPr>
              <w:t>15</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5"/>
              <w:ind w:right="74"/>
              <w:jc w:val="right"/>
              <w:rPr>
                <w:rFonts w:ascii="Calibri"/>
                <w:sz w:val="24"/>
              </w:rPr>
            </w:pPr>
            <w:r>
              <w:rPr>
                <w:rFonts w:ascii="Calibri"/>
                <w:spacing w:val="-5"/>
                <w:sz w:val="24"/>
              </w:rPr>
              <w:t>64</w:t>
            </w:r>
          </w:p>
        </w:tc>
        <w:tc>
          <w:tcPr>
            <w:tcW w:w="720" w:type="dxa"/>
          </w:tcPr>
          <w:p>
            <w:pPr>
              <w:pStyle w:val="TableParagraph"/>
              <w:spacing w:line="273" w:lineRule="exact" w:before="35"/>
              <w:ind w:right="76"/>
              <w:jc w:val="right"/>
              <w:rPr>
                <w:rFonts w:ascii="Calibri"/>
                <w:sz w:val="24"/>
              </w:rPr>
            </w:pPr>
            <w:r>
              <w:rPr>
                <w:rFonts w:ascii="Calibri"/>
                <w:spacing w:val="-5"/>
                <w:sz w:val="24"/>
              </w:rPr>
              <w:t>62</w:t>
            </w:r>
          </w:p>
        </w:tc>
        <w:tc>
          <w:tcPr>
            <w:tcW w:w="987" w:type="dxa"/>
            <w:tcBorders>
              <w:right w:val="nil"/>
            </w:tcBorders>
          </w:tcPr>
          <w:p>
            <w:pPr>
              <w:pStyle w:val="TableParagraph"/>
              <w:spacing w:line="273" w:lineRule="exact" w:before="35"/>
              <w:ind w:left="114"/>
              <w:rPr>
                <w:rFonts w:ascii="Calibri"/>
                <w:sz w:val="24"/>
              </w:rPr>
            </w:pPr>
            <w:r>
              <w:rPr>
                <w:rFonts w:ascii="Calibri"/>
                <w:spacing w:val="-5"/>
                <w:sz w:val="24"/>
              </w:rPr>
              <w:t>126</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6</w:t>
            </w:r>
          </w:p>
        </w:tc>
        <w:tc>
          <w:tcPr>
            <w:tcW w:w="625" w:type="dxa"/>
            <w:shd w:val="clear" w:color="auto" w:fill="C5D9F0"/>
          </w:tcPr>
          <w:p>
            <w:pPr>
              <w:pStyle w:val="TableParagraph"/>
              <w:spacing w:line="256" w:lineRule="exact" w:before="54"/>
              <w:ind w:right="89"/>
              <w:jc w:val="right"/>
              <w:rPr>
                <w:sz w:val="24"/>
              </w:rPr>
            </w:pPr>
            <w:r>
              <w:rPr>
                <w:spacing w:val="-5"/>
                <w:sz w:val="24"/>
              </w:rPr>
              <w:t>55</w:t>
            </w:r>
          </w:p>
        </w:tc>
        <w:tc>
          <w:tcPr>
            <w:tcW w:w="631" w:type="dxa"/>
            <w:shd w:val="clear" w:color="auto" w:fill="C5D9F0"/>
          </w:tcPr>
          <w:p>
            <w:pPr>
              <w:pStyle w:val="TableParagraph"/>
              <w:spacing w:line="256" w:lineRule="exact" w:before="54"/>
              <w:ind w:right="87"/>
              <w:jc w:val="right"/>
              <w:rPr>
                <w:sz w:val="24"/>
              </w:rPr>
            </w:pPr>
            <w:r>
              <w:rPr>
                <w:spacing w:val="-5"/>
                <w:sz w:val="24"/>
              </w:rPr>
              <w:t>49</w:t>
            </w:r>
          </w:p>
        </w:tc>
        <w:tc>
          <w:tcPr>
            <w:tcW w:w="720" w:type="dxa"/>
            <w:shd w:val="clear" w:color="auto" w:fill="C5D9F0"/>
          </w:tcPr>
          <w:p>
            <w:pPr>
              <w:pStyle w:val="TableParagraph"/>
              <w:spacing w:line="256" w:lineRule="exact" w:before="54"/>
              <w:ind w:right="87"/>
              <w:jc w:val="right"/>
              <w:rPr>
                <w:sz w:val="24"/>
              </w:rPr>
            </w:pPr>
            <w:r>
              <w:rPr>
                <w:spacing w:val="-5"/>
                <w:sz w:val="24"/>
              </w:rPr>
              <w:t>104</w:t>
            </w:r>
          </w:p>
        </w:tc>
        <w:tc>
          <w:tcPr>
            <w:tcW w:w="599" w:type="dxa"/>
            <w:shd w:val="clear" w:color="auto" w:fill="F1DBDB"/>
          </w:tcPr>
          <w:p>
            <w:pPr>
              <w:pStyle w:val="TableParagraph"/>
              <w:spacing w:line="256" w:lineRule="exact" w:before="54"/>
              <w:ind w:right="86"/>
              <w:jc w:val="right"/>
              <w:rPr>
                <w:sz w:val="24"/>
              </w:rPr>
            </w:pPr>
            <w:r>
              <w:rPr>
                <w:spacing w:val="-5"/>
                <w:sz w:val="24"/>
              </w:rPr>
              <w:t>11</w:t>
            </w:r>
          </w:p>
        </w:tc>
        <w:tc>
          <w:tcPr>
            <w:tcW w:w="455" w:type="dxa"/>
            <w:shd w:val="clear" w:color="auto" w:fill="F1DBDB"/>
          </w:tcPr>
          <w:p>
            <w:pPr>
              <w:pStyle w:val="TableParagraph"/>
              <w:spacing w:line="256" w:lineRule="exact" w:before="54"/>
              <w:ind w:right="85"/>
              <w:jc w:val="right"/>
              <w:rPr>
                <w:sz w:val="24"/>
              </w:rPr>
            </w:pPr>
            <w:r>
              <w:rPr>
                <w:sz w:val="24"/>
              </w:rPr>
              <w:t>9</w:t>
            </w:r>
          </w:p>
        </w:tc>
        <w:tc>
          <w:tcPr>
            <w:tcW w:w="575" w:type="dxa"/>
            <w:shd w:val="clear" w:color="auto" w:fill="F1DBDB"/>
          </w:tcPr>
          <w:p>
            <w:pPr>
              <w:pStyle w:val="TableParagraph"/>
              <w:spacing w:line="256" w:lineRule="exact" w:before="54"/>
              <w:ind w:right="84"/>
              <w:jc w:val="right"/>
              <w:rPr>
                <w:sz w:val="24"/>
              </w:rPr>
            </w:pPr>
            <w:r>
              <w:rPr>
                <w:spacing w:val="-5"/>
                <w:sz w:val="24"/>
              </w:rPr>
              <w:t>20</w:t>
            </w:r>
          </w:p>
        </w:tc>
        <w:tc>
          <w:tcPr>
            <w:tcW w:w="455" w:type="dxa"/>
            <w:shd w:val="clear" w:color="auto" w:fill="D5E2BB"/>
          </w:tcPr>
          <w:p>
            <w:pPr>
              <w:pStyle w:val="TableParagraph"/>
              <w:spacing w:before="1"/>
              <w:ind w:right="80"/>
              <w:jc w:val="right"/>
              <w:rPr>
                <w:sz w:val="24"/>
              </w:rPr>
            </w:pPr>
            <w:r>
              <w:rPr>
                <w:sz w:val="24"/>
              </w:rPr>
              <w:t>6</w:t>
            </w:r>
          </w:p>
        </w:tc>
        <w:tc>
          <w:tcPr>
            <w:tcW w:w="455" w:type="dxa"/>
            <w:shd w:val="clear" w:color="auto" w:fill="D5E2BB"/>
          </w:tcPr>
          <w:p>
            <w:pPr>
              <w:pStyle w:val="TableParagraph"/>
              <w:spacing w:before="1"/>
              <w:ind w:left="113"/>
              <w:rPr>
                <w:sz w:val="24"/>
              </w:rPr>
            </w:pPr>
            <w:r>
              <w:rPr>
                <w:spacing w:val="-5"/>
                <w:sz w:val="24"/>
              </w:rPr>
              <w:t>10</w:t>
            </w:r>
          </w:p>
        </w:tc>
        <w:tc>
          <w:tcPr>
            <w:tcW w:w="575" w:type="dxa"/>
            <w:shd w:val="clear" w:color="auto" w:fill="D5E2BB"/>
          </w:tcPr>
          <w:p>
            <w:pPr>
              <w:pStyle w:val="TableParagraph"/>
              <w:spacing w:before="1"/>
              <w:ind w:right="78"/>
              <w:jc w:val="right"/>
              <w:rPr>
                <w:sz w:val="24"/>
              </w:rPr>
            </w:pPr>
            <w:r>
              <w:rPr>
                <w:spacing w:val="-5"/>
                <w:sz w:val="24"/>
              </w:rPr>
              <w:t>16</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72</w:t>
            </w:r>
          </w:p>
        </w:tc>
        <w:tc>
          <w:tcPr>
            <w:tcW w:w="720" w:type="dxa"/>
          </w:tcPr>
          <w:p>
            <w:pPr>
              <w:pStyle w:val="TableParagraph"/>
              <w:spacing w:line="273" w:lineRule="exact" w:before="37"/>
              <w:ind w:right="76"/>
              <w:jc w:val="right"/>
              <w:rPr>
                <w:rFonts w:ascii="Calibri"/>
                <w:sz w:val="24"/>
              </w:rPr>
            </w:pPr>
            <w:r>
              <w:rPr>
                <w:rFonts w:ascii="Calibri"/>
                <w:spacing w:val="-5"/>
                <w:sz w:val="24"/>
              </w:rPr>
              <w:t>68</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140</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7</w:t>
            </w:r>
          </w:p>
        </w:tc>
        <w:tc>
          <w:tcPr>
            <w:tcW w:w="625" w:type="dxa"/>
            <w:shd w:val="clear" w:color="auto" w:fill="C5D9F0"/>
          </w:tcPr>
          <w:p>
            <w:pPr>
              <w:pStyle w:val="TableParagraph"/>
              <w:spacing w:line="256" w:lineRule="exact" w:before="54"/>
              <w:ind w:right="89"/>
              <w:jc w:val="right"/>
              <w:rPr>
                <w:sz w:val="24"/>
              </w:rPr>
            </w:pPr>
            <w:r>
              <w:rPr>
                <w:spacing w:val="-5"/>
                <w:sz w:val="24"/>
              </w:rPr>
              <w:t>60</w:t>
            </w:r>
          </w:p>
        </w:tc>
        <w:tc>
          <w:tcPr>
            <w:tcW w:w="631" w:type="dxa"/>
            <w:shd w:val="clear" w:color="auto" w:fill="C5D9F0"/>
          </w:tcPr>
          <w:p>
            <w:pPr>
              <w:pStyle w:val="TableParagraph"/>
              <w:spacing w:line="256" w:lineRule="exact" w:before="54"/>
              <w:ind w:right="87"/>
              <w:jc w:val="right"/>
              <w:rPr>
                <w:sz w:val="24"/>
              </w:rPr>
            </w:pPr>
            <w:r>
              <w:rPr>
                <w:spacing w:val="-5"/>
                <w:sz w:val="24"/>
              </w:rPr>
              <w:t>46</w:t>
            </w:r>
          </w:p>
        </w:tc>
        <w:tc>
          <w:tcPr>
            <w:tcW w:w="720" w:type="dxa"/>
            <w:shd w:val="clear" w:color="auto" w:fill="C5D9F0"/>
          </w:tcPr>
          <w:p>
            <w:pPr>
              <w:pStyle w:val="TableParagraph"/>
              <w:spacing w:line="256" w:lineRule="exact" w:before="54"/>
              <w:ind w:right="87"/>
              <w:jc w:val="right"/>
              <w:rPr>
                <w:sz w:val="24"/>
              </w:rPr>
            </w:pPr>
            <w:r>
              <w:rPr>
                <w:spacing w:val="-5"/>
                <w:sz w:val="24"/>
              </w:rPr>
              <w:t>106</w:t>
            </w:r>
          </w:p>
        </w:tc>
        <w:tc>
          <w:tcPr>
            <w:tcW w:w="599" w:type="dxa"/>
            <w:shd w:val="clear" w:color="auto" w:fill="F1DBDB"/>
          </w:tcPr>
          <w:p>
            <w:pPr>
              <w:pStyle w:val="TableParagraph"/>
              <w:spacing w:line="256" w:lineRule="exact" w:before="54"/>
              <w:ind w:right="86"/>
              <w:jc w:val="right"/>
              <w:rPr>
                <w:sz w:val="24"/>
              </w:rPr>
            </w:pPr>
            <w:r>
              <w:rPr>
                <w:sz w:val="24"/>
              </w:rPr>
              <w:t>7</w:t>
            </w:r>
          </w:p>
        </w:tc>
        <w:tc>
          <w:tcPr>
            <w:tcW w:w="455" w:type="dxa"/>
            <w:shd w:val="clear" w:color="auto" w:fill="F1DBDB"/>
          </w:tcPr>
          <w:p>
            <w:pPr>
              <w:pStyle w:val="TableParagraph"/>
              <w:spacing w:line="256" w:lineRule="exact" w:before="54"/>
              <w:ind w:right="85"/>
              <w:jc w:val="right"/>
              <w:rPr>
                <w:sz w:val="24"/>
              </w:rPr>
            </w:pPr>
            <w:r>
              <w:rPr>
                <w:sz w:val="24"/>
              </w:rPr>
              <w:t>6</w:t>
            </w:r>
          </w:p>
        </w:tc>
        <w:tc>
          <w:tcPr>
            <w:tcW w:w="575" w:type="dxa"/>
            <w:shd w:val="clear" w:color="auto" w:fill="F1DBDB"/>
          </w:tcPr>
          <w:p>
            <w:pPr>
              <w:pStyle w:val="TableParagraph"/>
              <w:spacing w:line="256" w:lineRule="exact" w:before="54"/>
              <w:ind w:right="84"/>
              <w:jc w:val="right"/>
              <w:rPr>
                <w:sz w:val="24"/>
              </w:rPr>
            </w:pPr>
            <w:r>
              <w:rPr>
                <w:spacing w:val="-5"/>
                <w:sz w:val="24"/>
              </w:rPr>
              <w:t>13</w:t>
            </w:r>
          </w:p>
        </w:tc>
        <w:tc>
          <w:tcPr>
            <w:tcW w:w="455" w:type="dxa"/>
            <w:shd w:val="clear" w:color="auto" w:fill="D5E2BB"/>
          </w:tcPr>
          <w:p>
            <w:pPr>
              <w:pStyle w:val="TableParagraph"/>
              <w:spacing w:before="1"/>
              <w:ind w:right="80"/>
              <w:jc w:val="right"/>
              <w:rPr>
                <w:sz w:val="24"/>
              </w:rPr>
            </w:pPr>
            <w:r>
              <w:rPr>
                <w:sz w:val="24"/>
              </w:rPr>
              <w:t>9</w:t>
            </w:r>
          </w:p>
        </w:tc>
        <w:tc>
          <w:tcPr>
            <w:tcW w:w="455" w:type="dxa"/>
            <w:shd w:val="clear" w:color="auto" w:fill="D5E2BB"/>
          </w:tcPr>
          <w:p>
            <w:pPr>
              <w:pStyle w:val="TableParagraph"/>
              <w:spacing w:before="1"/>
              <w:ind w:right="79"/>
              <w:jc w:val="right"/>
              <w:rPr>
                <w:sz w:val="24"/>
              </w:rPr>
            </w:pPr>
            <w:r>
              <w:rPr>
                <w:sz w:val="24"/>
              </w:rPr>
              <w:t>6</w:t>
            </w:r>
          </w:p>
        </w:tc>
        <w:tc>
          <w:tcPr>
            <w:tcW w:w="575" w:type="dxa"/>
            <w:shd w:val="clear" w:color="auto" w:fill="D5E2BB"/>
          </w:tcPr>
          <w:p>
            <w:pPr>
              <w:pStyle w:val="TableParagraph"/>
              <w:spacing w:before="1"/>
              <w:ind w:right="78"/>
              <w:jc w:val="right"/>
              <w:rPr>
                <w:sz w:val="24"/>
              </w:rPr>
            </w:pPr>
            <w:r>
              <w:rPr>
                <w:spacing w:val="-5"/>
                <w:sz w:val="24"/>
              </w:rPr>
              <w:t>15</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76</w:t>
            </w:r>
          </w:p>
        </w:tc>
        <w:tc>
          <w:tcPr>
            <w:tcW w:w="720" w:type="dxa"/>
          </w:tcPr>
          <w:p>
            <w:pPr>
              <w:pStyle w:val="TableParagraph"/>
              <w:spacing w:line="273" w:lineRule="exact" w:before="37"/>
              <w:ind w:right="76"/>
              <w:jc w:val="right"/>
              <w:rPr>
                <w:rFonts w:ascii="Calibri"/>
                <w:sz w:val="24"/>
              </w:rPr>
            </w:pPr>
            <w:r>
              <w:rPr>
                <w:rFonts w:ascii="Calibri"/>
                <w:spacing w:val="-5"/>
                <w:sz w:val="24"/>
              </w:rPr>
              <w:t>58</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134</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8</w:t>
            </w:r>
          </w:p>
        </w:tc>
        <w:tc>
          <w:tcPr>
            <w:tcW w:w="625" w:type="dxa"/>
            <w:shd w:val="clear" w:color="auto" w:fill="C5D9F0"/>
          </w:tcPr>
          <w:p>
            <w:pPr>
              <w:pStyle w:val="TableParagraph"/>
              <w:spacing w:line="256" w:lineRule="exact" w:before="54"/>
              <w:ind w:right="89"/>
              <w:jc w:val="right"/>
              <w:rPr>
                <w:sz w:val="24"/>
              </w:rPr>
            </w:pPr>
            <w:r>
              <w:rPr>
                <w:spacing w:val="-5"/>
                <w:sz w:val="24"/>
              </w:rPr>
              <w:t>57</w:t>
            </w:r>
          </w:p>
        </w:tc>
        <w:tc>
          <w:tcPr>
            <w:tcW w:w="631" w:type="dxa"/>
            <w:shd w:val="clear" w:color="auto" w:fill="C5D9F0"/>
          </w:tcPr>
          <w:p>
            <w:pPr>
              <w:pStyle w:val="TableParagraph"/>
              <w:spacing w:line="256" w:lineRule="exact" w:before="54"/>
              <w:ind w:right="87"/>
              <w:jc w:val="right"/>
              <w:rPr>
                <w:sz w:val="24"/>
              </w:rPr>
            </w:pPr>
            <w:r>
              <w:rPr>
                <w:spacing w:val="-5"/>
                <w:sz w:val="24"/>
              </w:rPr>
              <w:t>50</w:t>
            </w:r>
          </w:p>
        </w:tc>
        <w:tc>
          <w:tcPr>
            <w:tcW w:w="720" w:type="dxa"/>
            <w:shd w:val="clear" w:color="auto" w:fill="C5D9F0"/>
          </w:tcPr>
          <w:p>
            <w:pPr>
              <w:pStyle w:val="TableParagraph"/>
              <w:spacing w:line="256" w:lineRule="exact" w:before="54"/>
              <w:ind w:right="87"/>
              <w:jc w:val="right"/>
              <w:rPr>
                <w:sz w:val="24"/>
              </w:rPr>
            </w:pPr>
            <w:r>
              <w:rPr>
                <w:spacing w:val="-5"/>
                <w:sz w:val="24"/>
              </w:rPr>
              <w:t>107</w:t>
            </w:r>
          </w:p>
        </w:tc>
        <w:tc>
          <w:tcPr>
            <w:tcW w:w="599" w:type="dxa"/>
            <w:shd w:val="clear" w:color="auto" w:fill="F1DBDB"/>
          </w:tcPr>
          <w:p>
            <w:pPr>
              <w:pStyle w:val="TableParagraph"/>
              <w:spacing w:line="256" w:lineRule="exact" w:before="54"/>
              <w:ind w:right="86"/>
              <w:jc w:val="right"/>
              <w:rPr>
                <w:sz w:val="24"/>
              </w:rPr>
            </w:pPr>
            <w:r>
              <w:rPr>
                <w:sz w:val="24"/>
              </w:rPr>
              <w:t>9</w:t>
            </w:r>
          </w:p>
        </w:tc>
        <w:tc>
          <w:tcPr>
            <w:tcW w:w="455" w:type="dxa"/>
            <w:shd w:val="clear" w:color="auto" w:fill="F1DBDB"/>
          </w:tcPr>
          <w:p>
            <w:pPr>
              <w:pStyle w:val="TableParagraph"/>
              <w:spacing w:line="256" w:lineRule="exact" w:before="54"/>
              <w:ind w:right="85"/>
              <w:jc w:val="right"/>
              <w:rPr>
                <w:sz w:val="24"/>
              </w:rPr>
            </w:pPr>
            <w:r>
              <w:rPr>
                <w:sz w:val="24"/>
              </w:rPr>
              <w:t>9</w:t>
            </w:r>
          </w:p>
        </w:tc>
        <w:tc>
          <w:tcPr>
            <w:tcW w:w="575" w:type="dxa"/>
            <w:shd w:val="clear" w:color="auto" w:fill="F1DBDB"/>
          </w:tcPr>
          <w:p>
            <w:pPr>
              <w:pStyle w:val="TableParagraph"/>
              <w:spacing w:line="256" w:lineRule="exact" w:before="54"/>
              <w:ind w:right="84"/>
              <w:jc w:val="right"/>
              <w:rPr>
                <w:sz w:val="24"/>
              </w:rPr>
            </w:pPr>
            <w:r>
              <w:rPr>
                <w:spacing w:val="-5"/>
                <w:sz w:val="24"/>
              </w:rPr>
              <w:t>18</w:t>
            </w:r>
          </w:p>
        </w:tc>
        <w:tc>
          <w:tcPr>
            <w:tcW w:w="455" w:type="dxa"/>
            <w:shd w:val="clear" w:color="auto" w:fill="D5E2BB"/>
          </w:tcPr>
          <w:p>
            <w:pPr>
              <w:pStyle w:val="TableParagraph"/>
              <w:spacing w:line="275" w:lineRule="exact"/>
              <w:ind w:right="80"/>
              <w:jc w:val="right"/>
              <w:rPr>
                <w:sz w:val="24"/>
              </w:rPr>
            </w:pPr>
            <w:r>
              <w:rPr>
                <w:sz w:val="24"/>
              </w:rPr>
              <w:t>5</w:t>
            </w:r>
          </w:p>
        </w:tc>
        <w:tc>
          <w:tcPr>
            <w:tcW w:w="455" w:type="dxa"/>
            <w:shd w:val="clear" w:color="auto" w:fill="D5E2BB"/>
          </w:tcPr>
          <w:p>
            <w:pPr>
              <w:pStyle w:val="TableParagraph"/>
              <w:spacing w:line="275" w:lineRule="exact"/>
              <w:ind w:right="79"/>
              <w:jc w:val="right"/>
              <w:rPr>
                <w:sz w:val="24"/>
              </w:rPr>
            </w:pPr>
            <w:r>
              <w:rPr>
                <w:sz w:val="24"/>
              </w:rPr>
              <w:t>2</w:t>
            </w:r>
          </w:p>
        </w:tc>
        <w:tc>
          <w:tcPr>
            <w:tcW w:w="575" w:type="dxa"/>
            <w:shd w:val="clear" w:color="auto" w:fill="D5E2BB"/>
          </w:tcPr>
          <w:p>
            <w:pPr>
              <w:pStyle w:val="TableParagraph"/>
              <w:spacing w:line="275" w:lineRule="exact"/>
              <w:ind w:right="78"/>
              <w:jc w:val="right"/>
              <w:rPr>
                <w:sz w:val="24"/>
              </w:rPr>
            </w:pPr>
            <w:r>
              <w:rPr>
                <w:sz w:val="24"/>
              </w:rPr>
              <w:t>7</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71</w:t>
            </w:r>
          </w:p>
        </w:tc>
        <w:tc>
          <w:tcPr>
            <w:tcW w:w="720" w:type="dxa"/>
          </w:tcPr>
          <w:p>
            <w:pPr>
              <w:pStyle w:val="TableParagraph"/>
              <w:spacing w:line="273" w:lineRule="exact" w:before="37"/>
              <w:ind w:right="76"/>
              <w:jc w:val="right"/>
              <w:rPr>
                <w:rFonts w:ascii="Calibri"/>
                <w:sz w:val="24"/>
              </w:rPr>
            </w:pPr>
            <w:r>
              <w:rPr>
                <w:rFonts w:ascii="Calibri"/>
                <w:spacing w:val="-5"/>
                <w:sz w:val="24"/>
              </w:rPr>
              <w:t>61</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132</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9</w:t>
            </w:r>
          </w:p>
        </w:tc>
        <w:tc>
          <w:tcPr>
            <w:tcW w:w="625" w:type="dxa"/>
            <w:shd w:val="clear" w:color="auto" w:fill="C5D9F0"/>
          </w:tcPr>
          <w:p>
            <w:pPr>
              <w:pStyle w:val="TableParagraph"/>
              <w:spacing w:line="256" w:lineRule="exact" w:before="54"/>
              <w:ind w:right="89"/>
              <w:jc w:val="right"/>
              <w:rPr>
                <w:sz w:val="24"/>
              </w:rPr>
            </w:pPr>
            <w:r>
              <w:rPr>
                <w:spacing w:val="-5"/>
                <w:sz w:val="24"/>
              </w:rPr>
              <w:t>53</w:t>
            </w:r>
          </w:p>
        </w:tc>
        <w:tc>
          <w:tcPr>
            <w:tcW w:w="631" w:type="dxa"/>
            <w:shd w:val="clear" w:color="auto" w:fill="C5D9F0"/>
          </w:tcPr>
          <w:p>
            <w:pPr>
              <w:pStyle w:val="TableParagraph"/>
              <w:spacing w:line="256" w:lineRule="exact" w:before="54"/>
              <w:ind w:right="87"/>
              <w:jc w:val="right"/>
              <w:rPr>
                <w:sz w:val="24"/>
              </w:rPr>
            </w:pPr>
            <w:r>
              <w:rPr>
                <w:spacing w:val="-5"/>
                <w:sz w:val="24"/>
              </w:rPr>
              <w:t>54</w:t>
            </w:r>
          </w:p>
        </w:tc>
        <w:tc>
          <w:tcPr>
            <w:tcW w:w="720" w:type="dxa"/>
            <w:shd w:val="clear" w:color="auto" w:fill="C5D9F0"/>
          </w:tcPr>
          <w:p>
            <w:pPr>
              <w:pStyle w:val="TableParagraph"/>
              <w:spacing w:line="256" w:lineRule="exact" w:before="54"/>
              <w:ind w:right="87"/>
              <w:jc w:val="right"/>
              <w:rPr>
                <w:sz w:val="24"/>
              </w:rPr>
            </w:pPr>
            <w:r>
              <w:rPr>
                <w:spacing w:val="-5"/>
                <w:sz w:val="24"/>
              </w:rPr>
              <w:t>107</w:t>
            </w:r>
          </w:p>
        </w:tc>
        <w:tc>
          <w:tcPr>
            <w:tcW w:w="599" w:type="dxa"/>
            <w:shd w:val="clear" w:color="auto" w:fill="F1DBDB"/>
          </w:tcPr>
          <w:p>
            <w:pPr>
              <w:pStyle w:val="TableParagraph"/>
              <w:spacing w:line="256" w:lineRule="exact" w:before="54"/>
              <w:ind w:right="86"/>
              <w:jc w:val="right"/>
              <w:rPr>
                <w:sz w:val="24"/>
              </w:rPr>
            </w:pPr>
            <w:r>
              <w:rPr>
                <w:spacing w:val="-5"/>
                <w:sz w:val="24"/>
              </w:rPr>
              <w:t>10</w:t>
            </w:r>
          </w:p>
        </w:tc>
        <w:tc>
          <w:tcPr>
            <w:tcW w:w="455" w:type="dxa"/>
            <w:shd w:val="clear" w:color="auto" w:fill="F1DBDB"/>
          </w:tcPr>
          <w:p>
            <w:pPr>
              <w:pStyle w:val="TableParagraph"/>
              <w:spacing w:line="256" w:lineRule="exact" w:before="54"/>
              <w:ind w:right="85"/>
              <w:jc w:val="right"/>
              <w:rPr>
                <w:sz w:val="24"/>
              </w:rPr>
            </w:pPr>
            <w:r>
              <w:rPr>
                <w:sz w:val="24"/>
              </w:rPr>
              <w:t>7</w:t>
            </w:r>
          </w:p>
        </w:tc>
        <w:tc>
          <w:tcPr>
            <w:tcW w:w="575" w:type="dxa"/>
            <w:shd w:val="clear" w:color="auto" w:fill="F1DBDB"/>
          </w:tcPr>
          <w:p>
            <w:pPr>
              <w:pStyle w:val="TableParagraph"/>
              <w:spacing w:line="256" w:lineRule="exact" w:before="54"/>
              <w:ind w:right="84"/>
              <w:jc w:val="right"/>
              <w:rPr>
                <w:sz w:val="24"/>
              </w:rPr>
            </w:pPr>
            <w:r>
              <w:rPr>
                <w:spacing w:val="-5"/>
                <w:sz w:val="24"/>
              </w:rPr>
              <w:t>17</w:t>
            </w:r>
          </w:p>
        </w:tc>
        <w:tc>
          <w:tcPr>
            <w:tcW w:w="455" w:type="dxa"/>
            <w:shd w:val="clear" w:color="auto" w:fill="D5E2BB"/>
          </w:tcPr>
          <w:p>
            <w:pPr>
              <w:pStyle w:val="TableParagraph"/>
              <w:spacing w:line="275" w:lineRule="exact"/>
              <w:ind w:right="80"/>
              <w:jc w:val="right"/>
              <w:rPr>
                <w:sz w:val="24"/>
              </w:rPr>
            </w:pPr>
            <w:r>
              <w:rPr>
                <w:sz w:val="24"/>
              </w:rPr>
              <w:t>6</w:t>
            </w:r>
          </w:p>
        </w:tc>
        <w:tc>
          <w:tcPr>
            <w:tcW w:w="455" w:type="dxa"/>
            <w:shd w:val="clear" w:color="auto" w:fill="D5E2BB"/>
          </w:tcPr>
          <w:p>
            <w:pPr>
              <w:pStyle w:val="TableParagraph"/>
              <w:spacing w:line="275" w:lineRule="exact"/>
              <w:ind w:right="79"/>
              <w:jc w:val="right"/>
              <w:rPr>
                <w:sz w:val="24"/>
              </w:rPr>
            </w:pPr>
            <w:r>
              <w:rPr>
                <w:sz w:val="24"/>
              </w:rPr>
              <w:t>6</w:t>
            </w:r>
          </w:p>
        </w:tc>
        <w:tc>
          <w:tcPr>
            <w:tcW w:w="575" w:type="dxa"/>
            <w:shd w:val="clear" w:color="auto" w:fill="D5E2BB"/>
          </w:tcPr>
          <w:p>
            <w:pPr>
              <w:pStyle w:val="TableParagraph"/>
              <w:spacing w:line="275" w:lineRule="exact"/>
              <w:ind w:right="78"/>
              <w:jc w:val="right"/>
              <w:rPr>
                <w:sz w:val="24"/>
              </w:rPr>
            </w:pPr>
            <w:r>
              <w:rPr>
                <w:spacing w:val="-5"/>
                <w:sz w:val="24"/>
              </w:rPr>
              <w:t>12</w:t>
            </w:r>
          </w:p>
        </w:tc>
        <w:tc>
          <w:tcPr>
            <w:tcW w:w="659" w:type="dxa"/>
            <w:shd w:val="clear" w:color="auto" w:fill="CCC0D9"/>
          </w:tcPr>
          <w:p>
            <w:pPr>
              <w:pStyle w:val="TableParagraph"/>
              <w:rPr>
                <w:sz w:val="24"/>
              </w:rPr>
            </w:pPr>
          </w:p>
        </w:tc>
        <w:tc>
          <w:tcPr>
            <w:tcW w:w="633" w:type="dxa"/>
            <w:shd w:val="clear" w:color="auto" w:fill="CCC0D9"/>
          </w:tcPr>
          <w:p>
            <w:pPr>
              <w:pStyle w:val="TableParagraph"/>
              <w:rPr>
                <w:sz w:val="24"/>
              </w:rPr>
            </w:pPr>
          </w:p>
        </w:tc>
        <w:tc>
          <w:tcPr>
            <w:tcW w:w="838" w:type="dxa"/>
            <w:shd w:val="clear" w:color="auto" w:fill="CCC0D9"/>
          </w:tcPr>
          <w:p>
            <w:pPr>
              <w:pStyle w:val="TableParagraph"/>
              <w:rPr>
                <w:sz w:val="24"/>
              </w:rPr>
            </w:pPr>
          </w:p>
        </w:tc>
        <w:tc>
          <w:tcPr>
            <w:tcW w:w="689" w:type="dxa"/>
          </w:tcPr>
          <w:p>
            <w:pPr>
              <w:pStyle w:val="TableParagraph"/>
              <w:spacing w:line="273" w:lineRule="exact" w:before="37"/>
              <w:ind w:right="74"/>
              <w:jc w:val="right"/>
              <w:rPr>
                <w:rFonts w:ascii="Calibri"/>
                <w:sz w:val="24"/>
              </w:rPr>
            </w:pPr>
            <w:r>
              <w:rPr>
                <w:rFonts w:ascii="Calibri"/>
                <w:spacing w:val="-5"/>
                <w:sz w:val="24"/>
              </w:rPr>
              <w:t>69</w:t>
            </w:r>
          </w:p>
        </w:tc>
        <w:tc>
          <w:tcPr>
            <w:tcW w:w="720" w:type="dxa"/>
          </w:tcPr>
          <w:p>
            <w:pPr>
              <w:pStyle w:val="TableParagraph"/>
              <w:spacing w:line="273" w:lineRule="exact" w:before="37"/>
              <w:ind w:right="76"/>
              <w:jc w:val="right"/>
              <w:rPr>
                <w:rFonts w:ascii="Calibri"/>
                <w:sz w:val="24"/>
              </w:rPr>
            </w:pPr>
            <w:r>
              <w:rPr>
                <w:rFonts w:ascii="Calibri"/>
                <w:spacing w:val="-5"/>
                <w:sz w:val="24"/>
              </w:rPr>
              <w:t>67</w:t>
            </w:r>
          </w:p>
        </w:tc>
        <w:tc>
          <w:tcPr>
            <w:tcW w:w="987" w:type="dxa"/>
            <w:tcBorders>
              <w:right w:val="nil"/>
            </w:tcBorders>
          </w:tcPr>
          <w:p>
            <w:pPr>
              <w:pStyle w:val="TableParagraph"/>
              <w:spacing w:line="273" w:lineRule="exact" w:before="37"/>
              <w:ind w:left="114"/>
              <w:rPr>
                <w:rFonts w:ascii="Calibri"/>
                <w:sz w:val="24"/>
              </w:rPr>
            </w:pPr>
            <w:r>
              <w:rPr>
                <w:rFonts w:ascii="Calibri"/>
                <w:spacing w:val="-5"/>
                <w:sz w:val="24"/>
              </w:rPr>
              <w:t>136</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5"/>
                <w:sz w:val="24"/>
              </w:rPr>
              <w:t>10</w:t>
            </w:r>
          </w:p>
        </w:tc>
        <w:tc>
          <w:tcPr>
            <w:tcW w:w="625" w:type="dxa"/>
            <w:shd w:val="clear" w:color="auto" w:fill="C5D9F0"/>
          </w:tcPr>
          <w:p>
            <w:pPr>
              <w:pStyle w:val="TableParagraph"/>
              <w:rPr>
                <w:sz w:val="24"/>
              </w:rPr>
            </w:pPr>
          </w:p>
        </w:tc>
        <w:tc>
          <w:tcPr>
            <w:tcW w:w="631" w:type="dxa"/>
            <w:shd w:val="clear" w:color="auto" w:fill="C5D9F0"/>
          </w:tcPr>
          <w:p>
            <w:pPr>
              <w:pStyle w:val="TableParagraph"/>
              <w:rPr>
                <w:sz w:val="24"/>
              </w:rPr>
            </w:pPr>
          </w:p>
        </w:tc>
        <w:tc>
          <w:tcPr>
            <w:tcW w:w="720" w:type="dxa"/>
            <w:shd w:val="clear" w:color="auto" w:fill="C5D9F0"/>
          </w:tcPr>
          <w:p>
            <w:pPr>
              <w:pStyle w:val="TableParagraph"/>
              <w:rPr>
                <w:sz w:val="24"/>
              </w:rPr>
            </w:pPr>
          </w:p>
        </w:tc>
        <w:tc>
          <w:tcPr>
            <w:tcW w:w="599"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455" w:type="dxa"/>
            <w:shd w:val="clear" w:color="auto" w:fill="D5E2BB"/>
          </w:tcPr>
          <w:p>
            <w:pPr>
              <w:pStyle w:val="TableParagraph"/>
              <w:rPr>
                <w:sz w:val="24"/>
              </w:rPr>
            </w:pPr>
          </w:p>
        </w:tc>
        <w:tc>
          <w:tcPr>
            <w:tcW w:w="455" w:type="dxa"/>
            <w:shd w:val="clear" w:color="auto" w:fill="D5E2BB"/>
          </w:tcPr>
          <w:p>
            <w:pPr>
              <w:pStyle w:val="TableParagraph"/>
              <w:rPr>
                <w:sz w:val="24"/>
              </w:rPr>
            </w:pPr>
          </w:p>
        </w:tc>
        <w:tc>
          <w:tcPr>
            <w:tcW w:w="575" w:type="dxa"/>
            <w:shd w:val="clear" w:color="auto" w:fill="D5E2BB"/>
          </w:tcPr>
          <w:p>
            <w:pPr>
              <w:pStyle w:val="TableParagraph"/>
              <w:rPr>
                <w:sz w:val="24"/>
              </w:rPr>
            </w:pPr>
          </w:p>
        </w:tc>
        <w:tc>
          <w:tcPr>
            <w:tcW w:w="659" w:type="dxa"/>
            <w:shd w:val="clear" w:color="auto" w:fill="CCC0D9"/>
          </w:tcPr>
          <w:p>
            <w:pPr>
              <w:pStyle w:val="TableParagraph"/>
              <w:spacing w:line="275" w:lineRule="exact"/>
              <w:ind w:right="79"/>
              <w:jc w:val="right"/>
              <w:rPr>
                <w:sz w:val="24"/>
              </w:rPr>
            </w:pPr>
            <w:r>
              <w:rPr>
                <w:spacing w:val="-5"/>
                <w:sz w:val="24"/>
              </w:rPr>
              <w:t>70</w:t>
            </w:r>
          </w:p>
        </w:tc>
        <w:tc>
          <w:tcPr>
            <w:tcW w:w="633" w:type="dxa"/>
            <w:shd w:val="clear" w:color="auto" w:fill="CCC0D9"/>
          </w:tcPr>
          <w:p>
            <w:pPr>
              <w:pStyle w:val="TableParagraph"/>
              <w:spacing w:line="275" w:lineRule="exact"/>
              <w:ind w:right="79"/>
              <w:jc w:val="right"/>
              <w:rPr>
                <w:sz w:val="24"/>
              </w:rPr>
            </w:pPr>
            <w:r>
              <w:rPr>
                <w:spacing w:val="-5"/>
                <w:sz w:val="24"/>
              </w:rPr>
              <w:t>49</w:t>
            </w:r>
          </w:p>
        </w:tc>
        <w:tc>
          <w:tcPr>
            <w:tcW w:w="838" w:type="dxa"/>
            <w:shd w:val="clear" w:color="auto" w:fill="CCC0D9"/>
          </w:tcPr>
          <w:p>
            <w:pPr>
              <w:pStyle w:val="TableParagraph"/>
              <w:spacing w:line="275" w:lineRule="exact"/>
              <w:ind w:right="76"/>
              <w:jc w:val="right"/>
              <w:rPr>
                <w:sz w:val="24"/>
              </w:rPr>
            </w:pPr>
            <w:r>
              <w:rPr>
                <w:spacing w:val="-5"/>
                <w:sz w:val="24"/>
              </w:rPr>
              <w:t>119</w:t>
            </w:r>
          </w:p>
        </w:tc>
        <w:tc>
          <w:tcPr>
            <w:tcW w:w="689" w:type="dxa"/>
          </w:tcPr>
          <w:p>
            <w:pPr>
              <w:pStyle w:val="TableParagraph"/>
              <w:spacing w:line="275" w:lineRule="exact"/>
              <w:ind w:right="76"/>
              <w:jc w:val="right"/>
              <w:rPr>
                <w:sz w:val="24"/>
              </w:rPr>
            </w:pPr>
            <w:r>
              <w:rPr>
                <w:spacing w:val="-5"/>
                <w:sz w:val="24"/>
              </w:rPr>
              <w:t>70</w:t>
            </w:r>
          </w:p>
        </w:tc>
        <w:tc>
          <w:tcPr>
            <w:tcW w:w="720" w:type="dxa"/>
          </w:tcPr>
          <w:p>
            <w:pPr>
              <w:pStyle w:val="TableParagraph"/>
              <w:spacing w:line="275" w:lineRule="exact"/>
              <w:ind w:right="79"/>
              <w:jc w:val="right"/>
              <w:rPr>
                <w:sz w:val="24"/>
              </w:rPr>
            </w:pPr>
            <w:r>
              <w:rPr>
                <w:spacing w:val="-5"/>
                <w:sz w:val="24"/>
              </w:rPr>
              <w:t>49</w:t>
            </w:r>
          </w:p>
        </w:tc>
        <w:tc>
          <w:tcPr>
            <w:tcW w:w="987" w:type="dxa"/>
            <w:tcBorders>
              <w:right w:val="nil"/>
            </w:tcBorders>
          </w:tcPr>
          <w:p>
            <w:pPr>
              <w:pStyle w:val="TableParagraph"/>
              <w:spacing w:line="275" w:lineRule="exact"/>
              <w:ind w:left="114"/>
              <w:rPr>
                <w:sz w:val="24"/>
              </w:rPr>
            </w:pPr>
            <w:r>
              <w:rPr>
                <w:spacing w:val="-5"/>
                <w:sz w:val="24"/>
              </w:rPr>
              <w:t>119</w:t>
            </w:r>
          </w:p>
        </w:tc>
      </w:tr>
      <w:tr>
        <w:trPr>
          <w:trHeight w:val="327" w:hRule="atLeast"/>
        </w:trPr>
        <w:tc>
          <w:tcPr>
            <w:tcW w:w="1369" w:type="dxa"/>
            <w:shd w:val="clear" w:color="auto" w:fill="D9D9D9"/>
          </w:tcPr>
          <w:p>
            <w:pPr>
              <w:pStyle w:val="TableParagraph"/>
              <w:spacing w:line="256" w:lineRule="exact" w:before="51"/>
              <w:ind w:left="108"/>
              <w:rPr>
                <w:sz w:val="24"/>
              </w:rPr>
            </w:pPr>
            <w:r>
              <w:rPr>
                <w:sz w:val="24"/>
              </w:rPr>
              <w:t>Klasa</w:t>
            </w:r>
            <w:r>
              <w:rPr>
                <w:spacing w:val="-8"/>
                <w:sz w:val="24"/>
              </w:rPr>
              <w:t> </w:t>
            </w:r>
            <w:r>
              <w:rPr>
                <w:spacing w:val="-5"/>
                <w:sz w:val="24"/>
              </w:rPr>
              <w:t>11</w:t>
            </w:r>
          </w:p>
        </w:tc>
        <w:tc>
          <w:tcPr>
            <w:tcW w:w="625" w:type="dxa"/>
            <w:shd w:val="clear" w:color="auto" w:fill="C5D9F0"/>
          </w:tcPr>
          <w:p>
            <w:pPr>
              <w:pStyle w:val="TableParagraph"/>
              <w:rPr>
                <w:sz w:val="24"/>
              </w:rPr>
            </w:pPr>
          </w:p>
        </w:tc>
        <w:tc>
          <w:tcPr>
            <w:tcW w:w="631" w:type="dxa"/>
            <w:shd w:val="clear" w:color="auto" w:fill="C5D9F0"/>
          </w:tcPr>
          <w:p>
            <w:pPr>
              <w:pStyle w:val="TableParagraph"/>
              <w:rPr>
                <w:sz w:val="24"/>
              </w:rPr>
            </w:pPr>
          </w:p>
        </w:tc>
        <w:tc>
          <w:tcPr>
            <w:tcW w:w="720" w:type="dxa"/>
            <w:shd w:val="clear" w:color="auto" w:fill="C5D9F0"/>
          </w:tcPr>
          <w:p>
            <w:pPr>
              <w:pStyle w:val="TableParagraph"/>
              <w:rPr>
                <w:sz w:val="24"/>
              </w:rPr>
            </w:pPr>
          </w:p>
        </w:tc>
        <w:tc>
          <w:tcPr>
            <w:tcW w:w="599"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455" w:type="dxa"/>
            <w:shd w:val="clear" w:color="auto" w:fill="D5E2BB"/>
          </w:tcPr>
          <w:p>
            <w:pPr>
              <w:pStyle w:val="TableParagraph"/>
              <w:rPr>
                <w:sz w:val="24"/>
              </w:rPr>
            </w:pPr>
          </w:p>
        </w:tc>
        <w:tc>
          <w:tcPr>
            <w:tcW w:w="455" w:type="dxa"/>
            <w:shd w:val="clear" w:color="auto" w:fill="D5E2BB"/>
          </w:tcPr>
          <w:p>
            <w:pPr>
              <w:pStyle w:val="TableParagraph"/>
              <w:rPr>
                <w:sz w:val="24"/>
              </w:rPr>
            </w:pPr>
          </w:p>
        </w:tc>
        <w:tc>
          <w:tcPr>
            <w:tcW w:w="575" w:type="dxa"/>
            <w:shd w:val="clear" w:color="auto" w:fill="D5E2BB"/>
          </w:tcPr>
          <w:p>
            <w:pPr>
              <w:pStyle w:val="TableParagraph"/>
              <w:rPr>
                <w:sz w:val="24"/>
              </w:rPr>
            </w:pPr>
          </w:p>
        </w:tc>
        <w:tc>
          <w:tcPr>
            <w:tcW w:w="659" w:type="dxa"/>
            <w:shd w:val="clear" w:color="auto" w:fill="CCC0D9"/>
          </w:tcPr>
          <w:p>
            <w:pPr>
              <w:pStyle w:val="TableParagraph"/>
              <w:spacing w:line="275" w:lineRule="exact"/>
              <w:ind w:right="79"/>
              <w:jc w:val="right"/>
              <w:rPr>
                <w:sz w:val="24"/>
              </w:rPr>
            </w:pPr>
            <w:r>
              <w:rPr>
                <w:spacing w:val="-5"/>
                <w:sz w:val="24"/>
              </w:rPr>
              <w:t>37</w:t>
            </w:r>
          </w:p>
        </w:tc>
        <w:tc>
          <w:tcPr>
            <w:tcW w:w="633" w:type="dxa"/>
            <w:shd w:val="clear" w:color="auto" w:fill="CCC0D9"/>
          </w:tcPr>
          <w:p>
            <w:pPr>
              <w:pStyle w:val="TableParagraph"/>
              <w:spacing w:line="275" w:lineRule="exact"/>
              <w:ind w:right="79"/>
              <w:jc w:val="right"/>
              <w:rPr>
                <w:sz w:val="24"/>
              </w:rPr>
            </w:pPr>
            <w:r>
              <w:rPr>
                <w:spacing w:val="-5"/>
                <w:sz w:val="24"/>
              </w:rPr>
              <w:t>49</w:t>
            </w:r>
          </w:p>
        </w:tc>
        <w:tc>
          <w:tcPr>
            <w:tcW w:w="838" w:type="dxa"/>
            <w:shd w:val="clear" w:color="auto" w:fill="CCC0D9"/>
          </w:tcPr>
          <w:p>
            <w:pPr>
              <w:pStyle w:val="TableParagraph"/>
              <w:spacing w:line="275" w:lineRule="exact"/>
              <w:ind w:right="76"/>
              <w:jc w:val="right"/>
              <w:rPr>
                <w:sz w:val="24"/>
              </w:rPr>
            </w:pPr>
            <w:r>
              <w:rPr>
                <w:spacing w:val="-5"/>
                <w:sz w:val="24"/>
              </w:rPr>
              <w:t>86</w:t>
            </w:r>
          </w:p>
        </w:tc>
        <w:tc>
          <w:tcPr>
            <w:tcW w:w="689" w:type="dxa"/>
          </w:tcPr>
          <w:p>
            <w:pPr>
              <w:pStyle w:val="TableParagraph"/>
              <w:spacing w:line="275" w:lineRule="exact"/>
              <w:ind w:right="76"/>
              <w:jc w:val="right"/>
              <w:rPr>
                <w:sz w:val="24"/>
              </w:rPr>
            </w:pPr>
            <w:r>
              <w:rPr>
                <w:spacing w:val="-5"/>
                <w:sz w:val="24"/>
              </w:rPr>
              <w:t>37</w:t>
            </w:r>
          </w:p>
        </w:tc>
        <w:tc>
          <w:tcPr>
            <w:tcW w:w="720" w:type="dxa"/>
          </w:tcPr>
          <w:p>
            <w:pPr>
              <w:pStyle w:val="TableParagraph"/>
              <w:spacing w:line="275" w:lineRule="exact"/>
              <w:ind w:right="79"/>
              <w:jc w:val="right"/>
              <w:rPr>
                <w:sz w:val="24"/>
              </w:rPr>
            </w:pPr>
            <w:r>
              <w:rPr>
                <w:spacing w:val="-5"/>
                <w:sz w:val="24"/>
              </w:rPr>
              <w:t>49</w:t>
            </w:r>
          </w:p>
        </w:tc>
        <w:tc>
          <w:tcPr>
            <w:tcW w:w="987" w:type="dxa"/>
            <w:tcBorders>
              <w:right w:val="nil"/>
            </w:tcBorders>
          </w:tcPr>
          <w:p>
            <w:pPr>
              <w:pStyle w:val="TableParagraph"/>
              <w:spacing w:line="275" w:lineRule="exact"/>
              <w:ind w:left="114"/>
              <w:rPr>
                <w:sz w:val="24"/>
              </w:rPr>
            </w:pPr>
            <w:r>
              <w:rPr>
                <w:spacing w:val="-5"/>
                <w:sz w:val="24"/>
              </w:rPr>
              <w:t>86</w:t>
            </w:r>
          </w:p>
        </w:tc>
      </w:tr>
      <w:tr>
        <w:trPr>
          <w:trHeight w:val="330" w:hRule="atLeast"/>
        </w:trPr>
        <w:tc>
          <w:tcPr>
            <w:tcW w:w="1369" w:type="dxa"/>
            <w:shd w:val="clear" w:color="auto" w:fill="D9D9D9"/>
          </w:tcPr>
          <w:p>
            <w:pPr>
              <w:pStyle w:val="TableParagraph"/>
              <w:spacing w:line="256" w:lineRule="exact" w:before="54"/>
              <w:ind w:left="108"/>
              <w:rPr>
                <w:sz w:val="24"/>
              </w:rPr>
            </w:pPr>
            <w:r>
              <w:rPr>
                <w:sz w:val="24"/>
              </w:rPr>
              <w:t>Klasa</w:t>
            </w:r>
            <w:r>
              <w:rPr>
                <w:spacing w:val="-8"/>
                <w:sz w:val="24"/>
              </w:rPr>
              <w:t> </w:t>
            </w:r>
            <w:r>
              <w:rPr>
                <w:spacing w:val="-5"/>
                <w:sz w:val="24"/>
              </w:rPr>
              <w:t>12</w:t>
            </w:r>
          </w:p>
        </w:tc>
        <w:tc>
          <w:tcPr>
            <w:tcW w:w="625" w:type="dxa"/>
            <w:shd w:val="clear" w:color="auto" w:fill="C5D9F0"/>
          </w:tcPr>
          <w:p>
            <w:pPr>
              <w:pStyle w:val="TableParagraph"/>
              <w:rPr>
                <w:sz w:val="24"/>
              </w:rPr>
            </w:pPr>
          </w:p>
        </w:tc>
        <w:tc>
          <w:tcPr>
            <w:tcW w:w="631" w:type="dxa"/>
            <w:shd w:val="clear" w:color="auto" w:fill="C5D9F0"/>
          </w:tcPr>
          <w:p>
            <w:pPr>
              <w:pStyle w:val="TableParagraph"/>
              <w:rPr>
                <w:sz w:val="24"/>
              </w:rPr>
            </w:pPr>
          </w:p>
        </w:tc>
        <w:tc>
          <w:tcPr>
            <w:tcW w:w="720" w:type="dxa"/>
            <w:shd w:val="clear" w:color="auto" w:fill="C5D9F0"/>
          </w:tcPr>
          <w:p>
            <w:pPr>
              <w:pStyle w:val="TableParagraph"/>
              <w:rPr>
                <w:sz w:val="24"/>
              </w:rPr>
            </w:pPr>
          </w:p>
        </w:tc>
        <w:tc>
          <w:tcPr>
            <w:tcW w:w="599"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455" w:type="dxa"/>
            <w:shd w:val="clear" w:color="auto" w:fill="D5E2BB"/>
          </w:tcPr>
          <w:p>
            <w:pPr>
              <w:pStyle w:val="TableParagraph"/>
              <w:rPr>
                <w:sz w:val="24"/>
              </w:rPr>
            </w:pPr>
          </w:p>
        </w:tc>
        <w:tc>
          <w:tcPr>
            <w:tcW w:w="455" w:type="dxa"/>
            <w:shd w:val="clear" w:color="auto" w:fill="D5E2BB"/>
          </w:tcPr>
          <w:p>
            <w:pPr>
              <w:pStyle w:val="TableParagraph"/>
              <w:rPr>
                <w:sz w:val="24"/>
              </w:rPr>
            </w:pPr>
          </w:p>
        </w:tc>
        <w:tc>
          <w:tcPr>
            <w:tcW w:w="575" w:type="dxa"/>
            <w:shd w:val="clear" w:color="auto" w:fill="D5E2BB"/>
          </w:tcPr>
          <w:p>
            <w:pPr>
              <w:pStyle w:val="TableParagraph"/>
              <w:rPr>
                <w:sz w:val="24"/>
              </w:rPr>
            </w:pPr>
          </w:p>
        </w:tc>
        <w:tc>
          <w:tcPr>
            <w:tcW w:w="659" w:type="dxa"/>
            <w:shd w:val="clear" w:color="auto" w:fill="CCC0D9"/>
          </w:tcPr>
          <w:p>
            <w:pPr>
              <w:pStyle w:val="TableParagraph"/>
              <w:spacing w:before="1"/>
              <w:ind w:right="79"/>
              <w:jc w:val="right"/>
              <w:rPr>
                <w:sz w:val="24"/>
              </w:rPr>
            </w:pPr>
            <w:r>
              <w:rPr>
                <w:spacing w:val="-5"/>
                <w:sz w:val="24"/>
              </w:rPr>
              <w:t>19</w:t>
            </w:r>
          </w:p>
        </w:tc>
        <w:tc>
          <w:tcPr>
            <w:tcW w:w="633" w:type="dxa"/>
            <w:shd w:val="clear" w:color="auto" w:fill="CCC0D9"/>
          </w:tcPr>
          <w:p>
            <w:pPr>
              <w:pStyle w:val="TableParagraph"/>
              <w:spacing w:before="1"/>
              <w:ind w:right="79"/>
              <w:jc w:val="right"/>
              <w:rPr>
                <w:sz w:val="24"/>
              </w:rPr>
            </w:pPr>
            <w:r>
              <w:rPr>
                <w:spacing w:val="-5"/>
                <w:sz w:val="24"/>
              </w:rPr>
              <w:t>34</w:t>
            </w:r>
          </w:p>
        </w:tc>
        <w:tc>
          <w:tcPr>
            <w:tcW w:w="838" w:type="dxa"/>
            <w:shd w:val="clear" w:color="auto" w:fill="CCC0D9"/>
          </w:tcPr>
          <w:p>
            <w:pPr>
              <w:pStyle w:val="TableParagraph"/>
              <w:spacing w:before="1"/>
              <w:ind w:right="76"/>
              <w:jc w:val="right"/>
              <w:rPr>
                <w:sz w:val="24"/>
              </w:rPr>
            </w:pPr>
            <w:r>
              <w:rPr>
                <w:spacing w:val="-5"/>
                <w:sz w:val="24"/>
              </w:rPr>
              <w:t>53</w:t>
            </w:r>
          </w:p>
        </w:tc>
        <w:tc>
          <w:tcPr>
            <w:tcW w:w="689" w:type="dxa"/>
          </w:tcPr>
          <w:p>
            <w:pPr>
              <w:pStyle w:val="TableParagraph"/>
              <w:spacing w:before="1"/>
              <w:ind w:right="76"/>
              <w:jc w:val="right"/>
              <w:rPr>
                <w:sz w:val="24"/>
              </w:rPr>
            </w:pPr>
            <w:r>
              <w:rPr>
                <w:spacing w:val="-5"/>
                <w:sz w:val="24"/>
              </w:rPr>
              <w:t>19</w:t>
            </w:r>
          </w:p>
        </w:tc>
        <w:tc>
          <w:tcPr>
            <w:tcW w:w="720" w:type="dxa"/>
          </w:tcPr>
          <w:p>
            <w:pPr>
              <w:pStyle w:val="TableParagraph"/>
              <w:spacing w:before="1"/>
              <w:ind w:right="79"/>
              <w:jc w:val="right"/>
              <w:rPr>
                <w:sz w:val="24"/>
              </w:rPr>
            </w:pPr>
            <w:r>
              <w:rPr>
                <w:spacing w:val="-5"/>
                <w:sz w:val="24"/>
              </w:rPr>
              <w:t>34</w:t>
            </w:r>
          </w:p>
        </w:tc>
        <w:tc>
          <w:tcPr>
            <w:tcW w:w="987" w:type="dxa"/>
            <w:tcBorders>
              <w:right w:val="nil"/>
            </w:tcBorders>
          </w:tcPr>
          <w:p>
            <w:pPr>
              <w:pStyle w:val="TableParagraph"/>
              <w:spacing w:before="1"/>
              <w:ind w:left="114"/>
              <w:rPr>
                <w:sz w:val="24"/>
              </w:rPr>
            </w:pPr>
            <w:r>
              <w:rPr>
                <w:spacing w:val="-5"/>
                <w:sz w:val="24"/>
              </w:rPr>
              <w:t>53</w:t>
            </w:r>
          </w:p>
        </w:tc>
      </w:tr>
      <w:tr>
        <w:trPr>
          <w:trHeight w:val="330" w:hRule="atLeast"/>
        </w:trPr>
        <w:tc>
          <w:tcPr>
            <w:tcW w:w="1369" w:type="dxa"/>
            <w:shd w:val="clear" w:color="auto" w:fill="D9D9D9"/>
          </w:tcPr>
          <w:p>
            <w:pPr>
              <w:pStyle w:val="TableParagraph"/>
              <w:spacing w:line="256" w:lineRule="exact" w:before="54"/>
              <w:ind w:left="108"/>
              <w:rPr>
                <w:sz w:val="24"/>
              </w:rPr>
            </w:pPr>
            <w:r>
              <w:rPr>
                <w:spacing w:val="-2"/>
                <w:sz w:val="24"/>
              </w:rPr>
              <w:t>Gjithsejtë</w:t>
            </w:r>
          </w:p>
        </w:tc>
        <w:tc>
          <w:tcPr>
            <w:tcW w:w="625" w:type="dxa"/>
            <w:shd w:val="clear" w:color="auto" w:fill="C5D9F0"/>
          </w:tcPr>
          <w:p>
            <w:pPr>
              <w:pStyle w:val="TableParagraph"/>
              <w:spacing w:line="256" w:lineRule="exact" w:before="54"/>
              <w:ind w:right="89"/>
              <w:jc w:val="right"/>
              <w:rPr>
                <w:sz w:val="24"/>
              </w:rPr>
            </w:pPr>
            <w:r>
              <w:rPr>
                <w:spacing w:val="-5"/>
                <w:sz w:val="24"/>
              </w:rPr>
              <w:t>537</w:t>
            </w:r>
          </w:p>
        </w:tc>
        <w:tc>
          <w:tcPr>
            <w:tcW w:w="631" w:type="dxa"/>
            <w:shd w:val="clear" w:color="auto" w:fill="C5D9F0"/>
          </w:tcPr>
          <w:p>
            <w:pPr>
              <w:pStyle w:val="TableParagraph"/>
              <w:spacing w:line="256" w:lineRule="exact" w:before="54"/>
              <w:ind w:right="87"/>
              <w:jc w:val="right"/>
              <w:rPr>
                <w:sz w:val="24"/>
              </w:rPr>
            </w:pPr>
            <w:r>
              <w:rPr>
                <w:spacing w:val="-5"/>
                <w:sz w:val="24"/>
              </w:rPr>
              <w:t>487</w:t>
            </w:r>
          </w:p>
        </w:tc>
        <w:tc>
          <w:tcPr>
            <w:tcW w:w="720" w:type="dxa"/>
            <w:shd w:val="clear" w:color="auto" w:fill="C5D9F0"/>
          </w:tcPr>
          <w:p>
            <w:pPr>
              <w:pStyle w:val="TableParagraph"/>
              <w:spacing w:line="256" w:lineRule="exact" w:before="54"/>
              <w:ind w:right="87"/>
              <w:jc w:val="right"/>
              <w:rPr>
                <w:sz w:val="24"/>
              </w:rPr>
            </w:pPr>
            <w:r>
              <w:rPr>
                <w:spacing w:val="-4"/>
                <w:sz w:val="24"/>
              </w:rPr>
              <w:t>1024</w:t>
            </w:r>
          </w:p>
        </w:tc>
        <w:tc>
          <w:tcPr>
            <w:tcW w:w="599" w:type="dxa"/>
            <w:shd w:val="clear" w:color="auto" w:fill="F1DBDB"/>
          </w:tcPr>
          <w:p>
            <w:pPr>
              <w:pStyle w:val="TableParagraph"/>
              <w:spacing w:line="256" w:lineRule="exact" w:before="54"/>
              <w:ind w:right="86"/>
              <w:jc w:val="right"/>
              <w:rPr>
                <w:sz w:val="24"/>
              </w:rPr>
            </w:pPr>
            <w:r>
              <w:rPr>
                <w:spacing w:val="-5"/>
                <w:sz w:val="24"/>
              </w:rPr>
              <w:t>92</w:t>
            </w:r>
          </w:p>
        </w:tc>
        <w:tc>
          <w:tcPr>
            <w:tcW w:w="455" w:type="dxa"/>
            <w:shd w:val="clear" w:color="auto" w:fill="F1DBDB"/>
          </w:tcPr>
          <w:p>
            <w:pPr>
              <w:pStyle w:val="TableParagraph"/>
              <w:spacing w:line="256" w:lineRule="exact" w:before="54"/>
              <w:ind w:left="107"/>
              <w:rPr>
                <w:sz w:val="24"/>
              </w:rPr>
            </w:pPr>
            <w:r>
              <w:rPr>
                <w:spacing w:val="-5"/>
                <w:sz w:val="24"/>
              </w:rPr>
              <w:t>88</w:t>
            </w:r>
          </w:p>
        </w:tc>
        <w:tc>
          <w:tcPr>
            <w:tcW w:w="575" w:type="dxa"/>
            <w:shd w:val="clear" w:color="auto" w:fill="F1DBDB"/>
          </w:tcPr>
          <w:p>
            <w:pPr>
              <w:pStyle w:val="TableParagraph"/>
              <w:spacing w:line="256" w:lineRule="exact" w:before="54"/>
              <w:ind w:left="108"/>
              <w:rPr>
                <w:sz w:val="24"/>
              </w:rPr>
            </w:pPr>
            <w:r>
              <w:rPr>
                <w:spacing w:val="-5"/>
                <w:sz w:val="24"/>
              </w:rPr>
              <w:t>180</w:t>
            </w:r>
          </w:p>
        </w:tc>
        <w:tc>
          <w:tcPr>
            <w:tcW w:w="455" w:type="dxa"/>
            <w:shd w:val="clear" w:color="auto" w:fill="D5E2BB"/>
          </w:tcPr>
          <w:p>
            <w:pPr>
              <w:pStyle w:val="TableParagraph"/>
              <w:spacing w:line="256" w:lineRule="exact" w:before="54"/>
              <w:ind w:right="80"/>
              <w:jc w:val="right"/>
              <w:rPr>
                <w:sz w:val="24"/>
              </w:rPr>
            </w:pPr>
            <w:r>
              <w:rPr>
                <w:spacing w:val="-5"/>
                <w:sz w:val="24"/>
              </w:rPr>
              <w:t>73</w:t>
            </w:r>
          </w:p>
        </w:tc>
        <w:tc>
          <w:tcPr>
            <w:tcW w:w="455" w:type="dxa"/>
            <w:shd w:val="clear" w:color="auto" w:fill="D5E2BB"/>
          </w:tcPr>
          <w:p>
            <w:pPr>
              <w:pStyle w:val="TableParagraph"/>
              <w:spacing w:line="256" w:lineRule="exact" w:before="54"/>
              <w:ind w:left="113"/>
              <w:rPr>
                <w:sz w:val="24"/>
              </w:rPr>
            </w:pPr>
            <w:r>
              <w:rPr>
                <w:spacing w:val="-5"/>
                <w:sz w:val="24"/>
              </w:rPr>
              <w:t>65</w:t>
            </w:r>
          </w:p>
        </w:tc>
        <w:tc>
          <w:tcPr>
            <w:tcW w:w="575" w:type="dxa"/>
            <w:shd w:val="clear" w:color="auto" w:fill="D5E2BB"/>
          </w:tcPr>
          <w:p>
            <w:pPr>
              <w:pStyle w:val="TableParagraph"/>
              <w:spacing w:line="256" w:lineRule="exact" w:before="54"/>
              <w:ind w:right="78"/>
              <w:jc w:val="right"/>
              <w:rPr>
                <w:sz w:val="24"/>
              </w:rPr>
            </w:pPr>
            <w:r>
              <w:rPr>
                <w:spacing w:val="-5"/>
                <w:sz w:val="24"/>
              </w:rPr>
              <w:t>138</w:t>
            </w:r>
          </w:p>
        </w:tc>
        <w:tc>
          <w:tcPr>
            <w:tcW w:w="659" w:type="dxa"/>
            <w:shd w:val="clear" w:color="auto" w:fill="CCC0D9"/>
          </w:tcPr>
          <w:p>
            <w:pPr>
              <w:pStyle w:val="TableParagraph"/>
              <w:spacing w:before="1"/>
              <w:ind w:right="79"/>
              <w:jc w:val="right"/>
              <w:rPr>
                <w:sz w:val="24"/>
              </w:rPr>
            </w:pPr>
            <w:r>
              <w:rPr>
                <w:spacing w:val="-5"/>
                <w:sz w:val="24"/>
              </w:rPr>
              <w:t>126</w:t>
            </w:r>
          </w:p>
        </w:tc>
        <w:tc>
          <w:tcPr>
            <w:tcW w:w="633" w:type="dxa"/>
            <w:shd w:val="clear" w:color="auto" w:fill="CCC0D9"/>
          </w:tcPr>
          <w:p>
            <w:pPr>
              <w:pStyle w:val="TableParagraph"/>
              <w:spacing w:before="1"/>
              <w:ind w:right="79"/>
              <w:jc w:val="right"/>
              <w:rPr>
                <w:sz w:val="24"/>
              </w:rPr>
            </w:pPr>
            <w:r>
              <w:rPr>
                <w:spacing w:val="-5"/>
                <w:sz w:val="24"/>
              </w:rPr>
              <w:t>132</w:t>
            </w:r>
          </w:p>
        </w:tc>
        <w:tc>
          <w:tcPr>
            <w:tcW w:w="838" w:type="dxa"/>
            <w:shd w:val="clear" w:color="auto" w:fill="CCC0D9"/>
          </w:tcPr>
          <w:p>
            <w:pPr>
              <w:pStyle w:val="TableParagraph"/>
              <w:spacing w:before="1"/>
              <w:ind w:right="76"/>
              <w:jc w:val="right"/>
              <w:rPr>
                <w:sz w:val="24"/>
              </w:rPr>
            </w:pPr>
            <w:r>
              <w:rPr>
                <w:spacing w:val="-5"/>
                <w:sz w:val="24"/>
              </w:rPr>
              <w:t>258</w:t>
            </w:r>
          </w:p>
        </w:tc>
        <w:tc>
          <w:tcPr>
            <w:tcW w:w="689" w:type="dxa"/>
          </w:tcPr>
          <w:p>
            <w:pPr>
              <w:pStyle w:val="TableParagraph"/>
              <w:spacing w:line="273" w:lineRule="exact" w:before="37"/>
              <w:ind w:right="74"/>
              <w:jc w:val="right"/>
              <w:rPr>
                <w:rFonts w:ascii="Calibri"/>
                <w:sz w:val="24"/>
              </w:rPr>
            </w:pPr>
            <w:r>
              <w:rPr>
                <w:rFonts w:ascii="Calibri"/>
                <w:spacing w:val="-5"/>
                <w:sz w:val="24"/>
              </w:rPr>
              <w:t>828</w:t>
            </w:r>
          </w:p>
        </w:tc>
        <w:tc>
          <w:tcPr>
            <w:tcW w:w="720" w:type="dxa"/>
          </w:tcPr>
          <w:p>
            <w:pPr>
              <w:pStyle w:val="TableParagraph"/>
              <w:spacing w:line="273" w:lineRule="exact" w:before="37"/>
              <w:ind w:right="76"/>
              <w:jc w:val="right"/>
              <w:rPr>
                <w:rFonts w:ascii="Calibri"/>
                <w:sz w:val="24"/>
              </w:rPr>
            </w:pPr>
            <w:r>
              <w:rPr>
                <w:rFonts w:ascii="Calibri"/>
                <w:spacing w:val="-5"/>
                <w:sz w:val="24"/>
              </w:rPr>
              <w:t>772</w:t>
            </w:r>
          </w:p>
        </w:tc>
        <w:tc>
          <w:tcPr>
            <w:tcW w:w="987" w:type="dxa"/>
            <w:tcBorders>
              <w:right w:val="nil"/>
            </w:tcBorders>
          </w:tcPr>
          <w:p>
            <w:pPr>
              <w:pStyle w:val="TableParagraph"/>
              <w:spacing w:before="1"/>
              <w:ind w:left="114"/>
              <w:rPr>
                <w:sz w:val="24"/>
              </w:rPr>
            </w:pPr>
            <w:r>
              <w:rPr>
                <w:spacing w:val="-4"/>
                <w:sz w:val="24"/>
              </w:rPr>
              <w:t>1600</w:t>
            </w:r>
          </w:p>
        </w:tc>
      </w:tr>
      <w:tr>
        <w:trPr>
          <w:trHeight w:val="3222" w:hRule="atLeast"/>
        </w:trPr>
        <w:tc>
          <w:tcPr>
            <w:tcW w:w="10985" w:type="dxa"/>
            <w:gridSpan w:val="16"/>
            <w:tcBorders>
              <w:left w:val="nil"/>
              <w:bottom w:val="nil"/>
              <w:right w:val="nil"/>
            </w:tcBorders>
          </w:tcPr>
          <w:p>
            <w:pPr>
              <w:pStyle w:val="TableParagraph"/>
              <w:rPr>
                <w:sz w:val="24"/>
              </w:rPr>
            </w:pPr>
          </w:p>
        </w:tc>
      </w:tr>
      <w:tr>
        <w:trPr>
          <w:trHeight w:val="376" w:hRule="atLeast"/>
        </w:trPr>
        <w:tc>
          <w:tcPr>
            <w:tcW w:w="7751" w:type="dxa"/>
            <w:gridSpan w:val="12"/>
            <w:tcBorders>
              <w:bottom w:val="single" w:sz="4" w:space="0" w:color="000000"/>
            </w:tcBorders>
          </w:tcPr>
          <w:p>
            <w:pPr>
              <w:pStyle w:val="TableParagraph"/>
              <w:spacing w:line="257" w:lineRule="exact" w:before="99"/>
              <w:ind w:left="237"/>
              <w:rPr>
                <w:b/>
                <w:sz w:val="24"/>
              </w:rPr>
            </w:pPr>
            <w:r>
              <w:rPr>
                <w:b/>
                <w:sz w:val="24"/>
              </w:rPr>
              <w:t>NUMRI</w:t>
            </w:r>
            <w:r>
              <w:rPr>
                <w:b/>
                <w:spacing w:val="-6"/>
                <w:sz w:val="24"/>
              </w:rPr>
              <w:t> </w:t>
            </w:r>
            <w:r>
              <w:rPr>
                <w:b/>
                <w:sz w:val="24"/>
              </w:rPr>
              <w:t>I</w:t>
            </w:r>
            <w:r>
              <w:rPr>
                <w:b/>
                <w:spacing w:val="-6"/>
                <w:sz w:val="24"/>
              </w:rPr>
              <w:t> </w:t>
            </w:r>
            <w:r>
              <w:rPr>
                <w:b/>
                <w:sz w:val="24"/>
              </w:rPr>
              <w:t>NXËNËSVE</w:t>
            </w:r>
            <w:r>
              <w:rPr>
                <w:b/>
                <w:spacing w:val="-4"/>
                <w:sz w:val="24"/>
              </w:rPr>
              <w:t> </w:t>
            </w:r>
            <w:r>
              <w:rPr>
                <w:b/>
                <w:sz w:val="24"/>
              </w:rPr>
              <w:t>NË</w:t>
            </w:r>
            <w:r>
              <w:rPr>
                <w:b/>
                <w:spacing w:val="-6"/>
                <w:sz w:val="24"/>
              </w:rPr>
              <w:t> </w:t>
            </w:r>
            <w:r>
              <w:rPr>
                <w:b/>
                <w:sz w:val="24"/>
              </w:rPr>
              <w:t>FILLIM</w:t>
            </w:r>
            <w:r>
              <w:rPr>
                <w:b/>
                <w:spacing w:val="-6"/>
                <w:sz w:val="24"/>
              </w:rPr>
              <w:t> </w:t>
            </w:r>
            <w:r>
              <w:rPr>
                <w:b/>
                <w:sz w:val="24"/>
              </w:rPr>
              <w:t>Të</w:t>
            </w:r>
            <w:r>
              <w:rPr>
                <w:b/>
                <w:spacing w:val="-7"/>
                <w:sz w:val="24"/>
              </w:rPr>
              <w:t> </w:t>
            </w:r>
            <w:r>
              <w:rPr>
                <w:b/>
                <w:sz w:val="24"/>
              </w:rPr>
              <w:t>VITIT</w:t>
            </w:r>
            <w:r>
              <w:rPr>
                <w:b/>
                <w:spacing w:val="-6"/>
                <w:sz w:val="24"/>
              </w:rPr>
              <w:t> </w:t>
            </w:r>
            <w:r>
              <w:rPr>
                <w:b/>
                <w:sz w:val="24"/>
              </w:rPr>
              <w:t>SHKOLLOR</w:t>
            </w:r>
            <w:r>
              <w:rPr>
                <w:b/>
                <w:spacing w:val="-5"/>
                <w:sz w:val="24"/>
              </w:rPr>
              <w:t> </w:t>
            </w:r>
            <w:r>
              <w:rPr>
                <w:b/>
                <w:spacing w:val="-2"/>
                <w:sz w:val="24"/>
              </w:rPr>
              <w:t>2023/2024</w:t>
            </w:r>
          </w:p>
        </w:tc>
        <w:tc>
          <w:tcPr>
            <w:tcW w:w="3234" w:type="dxa"/>
            <w:gridSpan w:val="4"/>
            <w:tcBorders>
              <w:top w:val="nil"/>
              <w:bottom w:val="nil"/>
              <w:right w:val="nil"/>
            </w:tcBorders>
          </w:tcPr>
          <w:p>
            <w:pPr>
              <w:pStyle w:val="TableParagraph"/>
              <w:rPr>
                <w:sz w:val="24"/>
              </w:rPr>
            </w:pPr>
          </w:p>
        </w:tc>
      </w:tr>
    </w:tbl>
    <w:p>
      <w:pPr>
        <w:spacing w:after="0"/>
        <w:rPr>
          <w:sz w:val="24"/>
        </w:rPr>
        <w:sectPr>
          <w:pgSz w:w="12240" w:h="15840"/>
          <w:pgMar w:top="480" w:bottom="175" w:left="720" w:right="0"/>
        </w:sect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58"/>
        <w:gridCol w:w="127"/>
        <w:gridCol w:w="572"/>
        <w:gridCol w:w="576"/>
        <w:gridCol w:w="755"/>
        <w:gridCol w:w="455"/>
        <w:gridCol w:w="455"/>
        <w:gridCol w:w="575"/>
        <w:gridCol w:w="455"/>
        <w:gridCol w:w="119"/>
        <w:gridCol w:w="335"/>
        <w:gridCol w:w="241"/>
        <w:gridCol w:w="332"/>
        <w:gridCol w:w="1006"/>
        <w:gridCol w:w="284"/>
        <w:gridCol w:w="393"/>
        <w:gridCol w:w="772"/>
        <w:gridCol w:w="772"/>
        <w:gridCol w:w="582"/>
        <w:gridCol w:w="702"/>
      </w:tblGrid>
      <w:tr>
        <w:trPr>
          <w:trHeight w:val="308" w:hRule="atLeast"/>
        </w:trPr>
        <w:tc>
          <w:tcPr>
            <w:tcW w:w="1585" w:type="dxa"/>
            <w:gridSpan w:val="2"/>
            <w:vMerge w:val="restart"/>
            <w:tcBorders>
              <w:top w:val="nil"/>
              <w:right w:val="single" w:sz="4" w:space="0" w:color="000000"/>
            </w:tcBorders>
          </w:tcPr>
          <w:p>
            <w:pPr>
              <w:pStyle w:val="TableParagraph"/>
              <w:spacing w:before="10"/>
              <w:rPr>
                <w:sz w:val="32"/>
              </w:rPr>
            </w:pPr>
          </w:p>
          <w:p>
            <w:pPr>
              <w:pStyle w:val="TableParagraph"/>
              <w:ind w:left="336" w:right="322" w:firstLine="1"/>
              <w:jc w:val="center"/>
              <w:rPr>
                <w:sz w:val="24"/>
              </w:rPr>
            </w:pPr>
            <w:r>
              <w:rPr>
                <w:spacing w:val="-2"/>
                <w:sz w:val="24"/>
              </w:rPr>
              <w:t>Niveli Parafillor </w:t>
            </w:r>
            <w:r>
              <w:rPr>
                <w:spacing w:val="-4"/>
                <w:sz w:val="24"/>
              </w:rPr>
              <w:t>1-5</w:t>
            </w:r>
          </w:p>
          <w:p>
            <w:pPr>
              <w:pStyle w:val="TableParagraph"/>
              <w:ind w:left="503" w:right="487"/>
              <w:jc w:val="center"/>
              <w:rPr>
                <w:sz w:val="24"/>
              </w:rPr>
            </w:pPr>
            <w:r>
              <w:rPr>
                <w:spacing w:val="-2"/>
                <w:sz w:val="24"/>
              </w:rPr>
              <w:t>6-</w:t>
            </w:r>
            <w:r>
              <w:rPr>
                <w:spacing w:val="-10"/>
                <w:sz w:val="24"/>
              </w:rPr>
              <w:t>9</w:t>
            </w:r>
          </w:p>
          <w:p>
            <w:pPr>
              <w:pStyle w:val="TableParagraph"/>
              <w:spacing w:line="256" w:lineRule="exact"/>
              <w:ind w:left="503" w:right="487"/>
              <w:jc w:val="center"/>
              <w:rPr>
                <w:sz w:val="24"/>
              </w:rPr>
            </w:pPr>
            <w:r>
              <w:rPr>
                <w:spacing w:val="-2"/>
                <w:sz w:val="24"/>
              </w:rPr>
              <w:t>10-</w:t>
            </w:r>
            <w:r>
              <w:rPr>
                <w:spacing w:val="-7"/>
                <w:sz w:val="24"/>
              </w:rPr>
              <w:t>12</w:t>
            </w:r>
          </w:p>
        </w:tc>
        <w:tc>
          <w:tcPr>
            <w:tcW w:w="6160" w:type="dxa"/>
            <w:gridSpan w:val="13"/>
            <w:tcBorders>
              <w:top w:val="single" w:sz="4" w:space="0" w:color="000000"/>
              <w:left w:val="single" w:sz="4" w:space="0" w:color="000000"/>
              <w:bottom w:val="single" w:sz="4" w:space="0" w:color="000000"/>
            </w:tcBorders>
          </w:tcPr>
          <w:p>
            <w:pPr>
              <w:pStyle w:val="TableParagraph"/>
              <w:spacing w:line="252" w:lineRule="exact" w:before="37"/>
              <w:ind w:left="2439" w:right="2415"/>
              <w:jc w:val="center"/>
              <w:rPr>
                <w:sz w:val="24"/>
              </w:rPr>
            </w:pPr>
            <w:r>
              <w:rPr>
                <w:spacing w:val="-2"/>
                <w:sz w:val="24"/>
              </w:rPr>
              <w:t>SHKOLLAT</w:t>
            </w:r>
          </w:p>
        </w:tc>
        <w:tc>
          <w:tcPr>
            <w:tcW w:w="3221" w:type="dxa"/>
            <w:gridSpan w:val="5"/>
            <w:vMerge w:val="restart"/>
            <w:tcBorders>
              <w:top w:val="nil"/>
              <w:bottom w:val="nil"/>
              <w:right w:val="nil"/>
            </w:tcBorders>
          </w:tcPr>
          <w:p>
            <w:pPr>
              <w:pStyle w:val="TableParagraph"/>
              <w:rPr>
                <w:sz w:val="24"/>
              </w:rPr>
            </w:pPr>
          </w:p>
        </w:tc>
      </w:tr>
      <w:tr>
        <w:trPr>
          <w:trHeight w:val="1074" w:hRule="atLeast"/>
        </w:trPr>
        <w:tc>
          <w:tcPr>
            <w:tcW w:w="1585" w:type="dxa"/>
            <w:gridSpan w:val="2"/>
            <w:vMerge/>
            <w:tcBorders>
              <w:top w:val="nil"/>
              <w:right w:val="single" w:sz="4" w:space="0" w:color="000000"/>
            </w:tcBorders>
          </w:tcPr>
          <w:p>
            <w:pPr>
              <w:rPr>
                <w:sz w:val="2"/>
                <w:szCs w:val="2"/>
              </w:rPr>
            </w:pPr>
          </w:p>
        </w:tc>
        <w:tc>
          <w:tcPr>
            <w:tcW w:w="1903" w:type="dxa"/>
            <w:gridSpan w:val="3"/>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0"/>
              <w:rPr>
                <w:sz w:val="18"/>
              </w:rPr>
            </w:pPr>
          </w:p>
          <w:p>
            <w:pPr>
              <w:pStyle w:val="TableParagraph"/>
              <w:ind w:left="392" w:right="382"/>
              <w:jc w:val="center"/>
              <w:rPr>
                <w:rFonts w:ascii="Calibri"/>
                <w:sz w:val="24"/>
              </w:rPr>
            </w:pPr>
            <w:r>
              <w:rPr>
                <w:rFonts w:ascii="Calibri"/>
                <w:spacing w:val="-2"/>
                <w:sz w:val="24"/>
              </w:rPr>
              <w:t>SHFMU</w:t>
            </w:r>
          </w:p>
          <w:p>
            <w:pPr>
              <w:pStyle w:val="TableParagraph"/>
              <w:spacing w:line="268" w:lineRule="exact"/>
              <w:ind w:left="395" w:right="382"/>
              <w:jc w:val="center"/>
              <w:rPr>
                <w:rFonts w:ascii="Calibri" w:hAnsi="Calibri"/>
                <w:sz w:val="24"/>
              </w:rPr>
            </w:pPr>
            <w:r>
              <w:rPr>
                <w:rFonts w:ascii="Calibri" w:hAnsi="Calibri"/>
                <w:sz w:val="24"/>
              </w:rPr>
              <w:t>"Ilaz</w:t>
            </w:r>
            <w:r>
              <w:rPr>
                <w:rFonts w:ascii="Calibri" w:hAnsi="Calibri"/>
                <w:spacing w:val="1"/>
                <w:sz w:val="24"/>
              </w:rPr>
              <w:t> </w:t>
            </w:r>
            <w:r>
              <w:rPr>
                <w:rFonts w:ascii="Calibri" w:hAnsi="Calibri"/>
                <w:spacing w:val="-2"/>
                <w:sz w:val="24"/>
              </w:rPr>
              <w:t>Thaçi"</w:t>
            </w:r>
          </w:p>
        </w:tc>
        <w:tc>
          <w:tcPr>
            <w:tcW w:w="148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6"/>
              <w:ind w:left="96" w:right="77"/>
              <w:jc w:val="center"/>
              <w:rPr>
                <w:rFonts w:ascii="Calibri"/>
                <w:sz w:val="22"/>
              </w:rPr>
            </w:pPr>
            <w:r>
              <w:rPr>
                <w:rFonts w:ascii="Calibri"/>
                <w:spacing w:val="-2"/>
                <w:sz w:val="22"/>
              </w:rPr>
              <w:t>SHFMU</w:t>
            </w:r>
          </w:p>
          <w:p>
            <w:pPr>
              <w:pStyle w:val="TableParagraph"/>
              <w:ind w:left="249" w:right="225"/>
              <w:jc w:val="center"/>
              <w:rPr>
                <w:rFonts w:ascii="Calibri" w:hAnsi="Calibri"/>
                <w:sz w:val="22"/>
              </w:rPr>
            </w:pPr>
            <w:r>
              <w:rPr>
                <w:rFonts w:ascii="Calibri" w:hAnsi="Calibri"/>
                <w:sz w:val="22"/>
              </w:rPr>
              <w:t>"Ilaz</w:t>
            </w:r>
            <w:r>
              <w:rPr>
                <w:rFonts w:ascii="Calibri" w:hAnsi="Calibri"/>
                <w:spacing w:val="-13"/>
                <w:sz w:val="22"/>
              </w:rPr>
              <w:t> </w:t>
            </w:r>
            <w:r>
              <w:rPr>
                <w:rFonts w:ascii="Calibri" w:hAnsi="Calibri"/>
                <w:sz w:val="22"/>
              </w:rPr>
              <w:t>Thaçi" </w:t>
            </w:r>
            <w:r>
              <w:rPr>
                <w:rFonts w:ascii="Calibri" w:hAnsi="Calibri"/>
                <w:spacing w:val="-2"/>
                <w:sz w:val="22"/>
              </w:rPr>
              <w:t>Paralelja-</w:t>
            </w:r>
          </w:p>
          <w:p>
            <w:pPr>
              <w:pStyle w:val="TableParagraph"/>
              <w:spacing w:line="243" w:lineRule="exact"/>
              <w:ind w:left="101" w:right="77"/>
              <w:jc w:val="center"/>
              <w:rPr>
                <w:rFonts w:ascii="Calibri" w:hAnsi="Calibri"/>
                <w:sz w:val="22"/>
              </w:rPr>
            </w:pPr>
            <w:r>
              <w:rPr>
                <w:rFonts w:ascii="Calibri" w:hAnsi="Calibri"/>
                <w:spacing w:val="-2"/>
                <w:sz w:val="22"/>
              </w:rPr>
              <w:t>Seçishtë</w:t>
            </w:r>
          </w:p>
        </w:tc>
        <w:tc>
          <w:tcPr>
            <w:tcW w:w="2772" w:type="dxa"/>
            <w:gridSpan w:val="7"/>
            <w:tcBorders>
              <w:top w:val="single" w:sz="4" w:space="0" w:color="000000"/>
              <w:left w:val="single" w:sz="4" w:space="0" w:color="000000"/>
              <w:bottom w:val="single" w:sz="4" w:space="0" w:color="000000"/>
            </w:tcBorders>
          </w:tcPr>
          <w:p>
            <w:pPr>
              <w:pStyle w:val="TableParagraph"/>
              <w:rPr>
                <w:sz w:val="24"/>
              </w:rPr>
            </w:pPr>
          </w:p>
          <w:p>
            <w:pPr>
              <w:pStyle w:val="TableParagraph"/>
              <w:rPr>
                <w:sz w:val="24"/>
              </w:rPr>
            </w:pPr>
          </w:p>
          <w:p>
            <w:pPr>
              <w:pStyle w:val="TableParagraph"/>
              <w:spacing w:before="4"/>
              <w:rPr>
                <w:sz w:val="20"/>
              </w:rPr>
            </w:pPr>
          </w:p>
          <w:p>
            <w:pPr>
              <w:pStyle w:val="TableParagraph"/>
              <w:spacing w:line="268" w:lineRule="exact"/>
              <w:ind w:left="976" w:right="937"/>
              <w:jc w:val="center"/>
              <w:rPr>
                <w:rFonts w:ascii="Calibri"/>
                <w:sz w:val="24"/>
              </w:rPr>
            </w:pPr>
            <w:r>
              <w:rPr>
                <w:rFonts w:ascii="Calibri"/>
                <w:spacing w:val="-2"/>
                <w:sz w:val="24"/>
              </w:rPr>
              <w:t>Gjithsejt</w:t>
            </w:r>
          </w:p>
        </w:tc>
        <w:tc>
          <w:tcPr>
            <w:tcW w:w="3221" w:type="dxa"/>
            <w:gridSpan w:val="5"/>
            <w:vMerge/>
            <w:tcBorders>
              <w:top w:val="nil"/>
              <w:bottom w:val="nil"/>
              <w:right w:val="nil"/>
            </w:tcBorders>
          </w:tcPr>
          <w:p>
            <w:pPr>
              <w:rPr>
                <w:sz w:val="2"/>
                <w:szCs w:val="2"/>
              </w:rPr>
            </w:pPr>
          </w:p>
        </w:tc>
      </w:tr>
      <w:tr>
        <w:trPr>
          <w:trHeight w:val="335" w:hRule="atLeast"/>
        </w:trPr>
        <w:tc>
          <w:tcPr>
            <w:tcW w:w="1585" w:type="dxa"/>
            <w:gridSpan w:val="2"/>
            <w:vMerge/>
            <w:tcBorders>
              <w:top w:val="nil"/>
              <w:right w:val="single" w:sz="4" w:space="0" w:color="000000"/>
            </w:tcBorders>
          </w:tcPr>
          <w:p>
            <w:pPr>
              <w:rPr>
                <w:sz w:val="2"/>
                <w:szCs w:val="2"/>
              </w:rPr>
            </w:pPr>
          </w:p>
        </w:tc>
        <w:tc>
          <w:tcPr>
            <w:tcW w:w="572" w:type="dxa"/>
            <w:tcBorders>
              <w:top w:val="single" w:sz="4" w:space="0" w:color="000000"/>
              <w:left w:val="single" w:sz="4" w:space="0" w:color="000000"/>
              <w:bottom w:val="nil"/>
              <w:right w:val="single" w:sz="4" w:space="0" w:color="000000"/>
            </w:tcBorders>
          </w:tcPr>
          <w:p>
            <w:pPr>
              <w:pStyle w:val="TableParagraph"/>
              <w:spacing w:line="273" w:lineRule="exact" w:before="42"/>
              <w:ind w:left="107"/>
              <w:rPr>
                <w:rFonts w:ascii="Calibri"/>
                <w:sz w:val="24"/>
              </w:rPr>
            </w:pPr>
            <w:r>
              <w:rPr>
                <w:rFonts w:ascii="Calibri"/>
                <w:sz w:val="24"/>
              </w:rPr>
              <w:t>M</w:t>
            </w:r>
          </w:p>
        </w:tc>
        <w:tc>
          <w:tcPr>
            <w:tcW w:w="576" w:type="dxa"/>
            <w:tcBorders>
              <w:top w:val="single" w:sz="4" w:space="0" w:color="000000"/>
              <w:left w:val="single" w:sz="4" w:space="0" w:color="000000"/>
              <w:bottom w:val="nil"/>
              <w:right w:val="single" w:sz="4" w:space="0" w:color="000000"/>
            </w:tcBorders>
          </w:tcPr>
          <w:p>
            <w:pPr>
              <w:pStyle w:val="TableParagraph"/>
              <w:spacing w:line="273" w:lineRule="exact" w:before="42"/>
              <w:ind w:left="113"/>
              <w:rPr>
                <w:rFonts w:ascii="Calibri"/>
                <w:sz w:val="24"/>
              </w:rPr>
            </w:pPr>
            <w:r>
              <w:rPr>
                <w:rFonts w:ascii="Calibri"/>
                <w:sz w:val="24"/>
              </w:rPr>
              <w:t>F</w:t>
            </w:r>
          </w:p>
        </w:tc>
        <w:tc>
          <w:tcPr>
            <w:tcW w:w="755" w:type="dxa"/>
            <w:tcBorders>
              <w:top w:val="single" w:sz="4" w:space="0" w:color="000000"/>
              <w:left w:val="single" w:sz="4" w:space="0" w:color="000000"/>
              <w:bottom w:val="nil"/>
              <w:right w:val="single" w:sz="4" w:space="0" w:color="000000"/>
            </w:tcBorders>
          </w:tcPr>
          <w:p>
            <w:pPr>
              <w:pStyle w:val="TableParagraph"/>
              <w:spacing w:line="273" w:lineRule="exact" w:before="42"/>
              <w:ind w:left="114"/>
              <w:rPr>
                <w:rFonts w:ascii="Calibri"/>
                <w:sz w:val="24"/>
              </w:rPr>
            </w:pPr>
            <w:r>
              <w:rPr>
                <w:rFonts w:ascii="Calibri"/>
                <w:spacing w:val="-5"/>
                <w:sz w:val="24"/>
              </w:rPr>
              <w:t>GJ</w:t>
            </w:r>
          </w:p>
        </w:tc>
        <w:tc>
          <w:tcPr>
            <w:tcW w:w="455" w:type="dxa"/>
            <w:tcBorders>
              <w:top w:val="single" w:sz="4" w:space="0" w:color="000000"/>
              <w:left w:val="single" w:sz="4" w:space="0" w:color="000000"/>
              <w:bottom w:val="nil"/>
              <w:right w:val="single" w:sz="4" w:space="0" w:color="000000"/>
            </w:tcBorders>
          </w:tcPr>
          <w:p>
            <w:pPr>
              <w:pStyle w:val="TableParagraph"/>
              <w:spacing w:line="273" w:lineRule="exact" w:before="42"/>
              <w:ind w:right="12"/>
              <w:jc w:val="center"/>
              <w:rPr>
                <w:rFonts w:ascii="Calibri"/>
                <w:sz w:val="24"/>
              </w:rPr>
            </w:pPr>
            <w:r>
              <w:rPr>
                <w:rFonts w:ascii="Calibri"/>
                <w:sz w:val="24"/>
              </w:rPr>
              <w:t>M</w:t>
            </w:r>
          </w:p>
        </w:tc>
        <w:tc>
          <w:tcPr>
            <w:tcW w:w="455" w:type="dxa"/>
            <w:tcBorders>
              <w:top w:val="single" w:sz="4" w:space="0" w:color="000000"/>
              <w:left w:val="single" w:sz="4" w:space="0" w:color="000000"/>
              <w:bottom w:val="nil"/>
              <w:right w:val="single" w:sz="4" w:space="0" w:color="000000"/>
            </w:tcBorders>
          </w:tcPr>
          <w:p>
            <w:pPr>
              <w:pStyle w:val="TableParagraph"/>
              <w:spacing w:line="273" w:lineRule="exact" w:before="42"/>
              <w:ind w:left="113"/>
              <w:rPr>
                <w:rFonts w:ascii="Calibri"/>
                <w:sz w:val="24"/>
              </w:rPr>
            </w:pPr>
            <w:r>
              <w:rPr>
                <w:rFonts w:ascii="Calibri"/>
                <w:sz w:val="24"/>
              </w:rPr>
              <w:t>F</w:t>
            </w:r>
          </w:p>
        </w:tc>
        <w:tc>
          <w:tcPr>
            <w:tcW w:w="575" w:type="dxa"/>
            <w:tcBorders>
              <w:top w:val="single" w:sz="4" w:space="0" w:color="000000"/>
              <w:left w:val="single" w:sz="4" w:space="0" w:color="000000"/>
              <w:bottom w:val="nil"/>
              <w:right w:val="single" w:sz="4" w:space="0" w:color="000000"/>
            </w:tcBorders>
          </w:tcPr>
          <w:p>
            <w:pPr>
              <w:pStyle w:val="TableParagraph"/>
              <w:spacing w:line="273" w:lineRule="exact" w:before="42"/>
              <w:ind w:left="114"/>
              <w:rPr>
                <w:rFonts w:ascii="Calibri"/>
                <w:sz w:val="24"/>
              </w:rPr>
            </w:pPr>
            <w:r>
              <w:rPr>
                <w:rFonts w:ascii="Calibri"/>
                <w:spacing w:val="-5"/>
                <w:sz w:val="24"/>
              </w:rPr>
              <w:t>GJ</w:t>
            </w:r>
          </w:p>
        </w:tc>
        <w:tc>
          <w:tcPr>
            <w:tcW w:w="574" w:type="dxa"/>
            <w:gridSpan w:val="2"/>
            <w:tcBorders>
              <w:top w:val="single" w:sz="4" w:space="0" w:color="000000"/>
              <w:left w:val="single" w:sz="4" w:space="0" w:color="000000"/>
              <w:right w:val="single" w:sz="4" w:space="0" w:color="000000"/>
            </w:tcBorders>
          </w:tcPr>
          <w:p>
            <w:pPr>
              <w:pStyle w:val="TableParagraph"/>
              <w:spacing w:line="273" w:lineRule="exact" w:before="42"/>
              <w:ind w:left="118"/>
              <w:rPr>
                <w:rFonts w:ascii="Calibri"/>
                <w:sz w:val="24"/>
              </w:rPr>
            </w:pPr>
            <w:r>
              <w:rPr>
                <w:rFonts w:ascii="Calibri"/>
                <w:sz w:val="24"/>
              </w:rPr>
              <w:t>M</w:t>
            </w:r>
          </w:p>
        </w:tc>
        <w:tc>
          <w:tcPr>
            <w:tcW w:w="576" w:type="dxa"/>
            <w:gridSpan w:val="2"/>
            <w:tcBorders>
              <w:top w:val="single" w:sz="4" w:space="0" w:color="000000"/>
              <w:left w:val="single" w:sz="4" w:space="0" w:color="000000"/>
              <w:right w:val="single" w:sz="4" w:space="0" w:color="000000"/>
            </w:tcBorders>
          </w:tcPr>
          <w:p>
            <w:pPr>
              <w:pStyle w:val="TableParagraph"/>
              <w:spacing w:line="273" w:lineRule="exact" w:before="42"/>
              <w:ind w:left="120"/>
              <w:rPr>
                <w:rFonts w:ascii="Calibri"/>
                <w:sz w:val="24"/>
              </w:rPr>
            </w:pPr>
            <w:r>
              <w:rPr>
                <w:rFonts w:ascii="Calibri"/>
                <w:sz w:val="24"/>
              </w:rPr>
              <w:t>F</w:t>
            </w:r>
          </w:p>
        </w:tc>
        <w:tc>
          <w:tcPr>
            <w:tcW w:w="1622" w:type="dxa"/>
            <w:gridSpan w:val="3"/>
            <w:tcBorders>
              <w:top w:val="single" w:sz="4" w:space="0" w:color="000000"/>
              <w:left w:val="single" w:sz="4" w:space="0" w:color="000000"/>
            </w:tcBorders>
          </w:tcPr>
          <w:p>
            <w:pPr>
              <w:pStyle w:val="TableParagraph"/>
              <w:spacing w:line="273" w:lineRule="exact" w:before="42"/>
              <w:ind w:left="118"/>
              <w:rPr>
                <w:rFonts w:ascii="Calibri"/>
                <w:sz w:val="24"/>
              </w:rPr>
            </w:pPr>
            <w:r>
              <w:rPr>
                <w:rFonts w:ascii="Calibri"/>
                <w:spacing w:val="-5"/>
                <w:sz w:val="24"/>
              </w:rPr>
              <w:t>GJ</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pacing w:val="-2"/>
                <w:sz w:val="24"/>
              </w:rPr>
              <w:t>Parafillor</w:t>
            </w:r>
          </w:p>
        </w:tc>
        <w:tc>
          <w:tcPr>
            <w:tcW w:w="572" w:type="dxa"/>
            <w:tcBorders>
              <w:top w:val="nil"/>
            </w:tcBorders>
            <w:shd w:val="clear" w:color="auto" w:fill="C5D9F0"/>
          </w:tcPr>
          <w:p>
            <w:pPr>
              <w:pStyle w:val="TableParagraph"/>
              <w:spacing w:line="256" w:lineRule="exact" w:before="54"/>
              <w:ind w:right="87"/>
              <w:jc w:val="right"/>
              <w:rPr>
                <w:sz w:val="24"/>
              </w:rPr>
            </w:pPr>
            <w:r>
              <w:rPr>
                <w:spacing w:val="-5"/>
                <w:sz w:val="24"/>
              </w:rPr>
              <w:t>47</w:t>
            </w:r>
          </w:p>
        </w:tc>
        <w:tc>
          <w:tcPr>
            <w:tcW w:w="576" w:type="dxa"/>
            <w:tcBorders>
              <w:top w:val="nil"/>
            </w:tcBorders>
            <w:shd w:val="clear" w:color="auto" w:fill="C5D9F0"/>
          </w:tcPr>
          <w:p>
            <w:pPr>
              <w:pStyle w:val="TableParagraph"/>
              <w:spacing w:line="256" w:lineRule="exact" w:before="54"/>
              <w:ind w:right="85"/>
              <w:jc w:val="right"/>
              <w:rPr>
                <w:sz w:val="24"/>
              </w:rPr>
            </w:pPr>
            <w:r>
              <w:rPr>
                <w:spacing w:val="-5"/>
                <w:sz w:val="24"/>
              </w:rPr>
              <w:t>34</w:t>
            </w:r>
          </w:p>
        </w:tc>
        <w:tc>
          <w:tcPr>
            <w:tcW w:w="755" w:type="dxa"/>
            <w:tcBorders>
              <w:top w:val="nil"/>
            </w:tcBorders>
            <w:shd w:val="clear" w:color="auto" w:fill="C5D9F0"/>
          </w:tcPr>
          <w:p>
            <w:pPr>
              <w:pStyle w:val="TableParagraph"/>
              <w:spacing w:line="256" w:lineRule="exact" w:before="54"/>
              <w:ind w:right="86"/>
              <w:jc w:val="right"/>
              <w:rPr>
                <w:sz w:val="24"/>
              </w:rPr>
            </w:pPr>
            <w:r>
              <w:rPr>
                <w:spacing w:val="-5"/>
                <w:sz w:val="24"/>
              </w:rPr>
              <w:t>81</w:t>
            </w:r>
          </w:p>
        </w:tc>
        <w:tc>
          <w:tcPr>
            <w:tcW w:w="455" w:type="dxa"/>
            <w:tcBorders>
              <w:top w:val="nil"/>
            </w:tcBorders>
            <w:shd w:val="clear" w:color="auto" w:fill="F1DBDB"/>
          </w:tcPr>
          <w:p>
            <w:pPr>
              <w:pStyle w:val="TableParagraph"/>
              <w:spacing w:line="256" w:lineRule="exact" w:before="54"/>
              <w:ind w:left="140"/>
              <w:jc w:val="center"/>
              <w:rPr>
                <w:sz w:val="24"/>
              </w:rPr>
            </w:pPr>
            <w:r>
              <w:rPr>
                <w:sz w:val="24"/>
              </w:rPr>
              <w:t>1</w:t>
            </w:r>
          </w:p>
        </w:tc>
        <w:tc>
          <w:tcPr>
            <w:tcW w:w="455" w:type="dxa"/>
            <w:tcBorders>
              <w:top w:val="nil"/>
            </w:tcBorders>
            <w:shd w:val="clear" w:color="auto" w:fill="F1DBDB"/>
          </w:tcPr>
          <w:p>
            <w:pPr>
              <w:pStyle w:val="TableParagraph"/>
              <w:spacing w:line="256" w:lineRule="exact" w:before="54"/>
              <w:ind w:right="84"/>
              <w:jc w:val="right"/>
              <w:rPr>
                <w:sz w:val="24"/>
              </w:rPr>
            </w:pPr>
            <w:r>
              <w:rPr>
                <w:sz w:val="24"/>
              </w:rPr>
              <w:t>1</w:t>
            </w:r>
          </w:p>
        </w:tc>
        <w:tc>
          <w:tcPr>
            <w:tcW w:w="575" w:type="dxa"/>
            <w:tcBorders>
              <w:top w:val="nil"/>
            </w:tcBorders>
            <w:shd w:val="clear" w:color="auto" w:fill="F1DBDB"/>
          </w:tcPr>
          <w:p>
            <w:pPr>
              <w:pStyle w:val="TableParagraph"/>
              <w:spacing w:line="256" w:lineRule="exact" w:before="54"/>
              <w:ind w:right="83"/>
              <w:jc w:val="right"/>
              <w:rPr>
                <w:sz w:val="24"/>
              </w:rPr>
            </w:pPr>
            <w:r>
              <w:rPr>
                <w:sz w:val="24"/>
              </w:rPr>
              <w:t>2</w:t>
            </w:r>
          </w:p>
        </w:tc>
        <w:tc>
          <w:tcPr>
            <w:tcW w:w="574" w:type="dxa"/>
            <w:gridSpan w:val="2"/>
            <w:shd w:val="clear" w:color="auto" w:fill="CCC0D9"/>
          </w:tcPr>
          <w:p>
            <w:pPr>
              <w:pStyle w:val="TableParagraph"/>
              <w:spacing w:line="256" w:lineRule="exact" w:before="54"/>
              <w:ind w:left="233"/>
              <w:rPr>
                <w:sz w:val="24"/>
              </w:rPr>
            </w:pPr>
            <w:r>
              <w:rPr>
                <w:spacing w:val="-5"/>
                <w:sz w:val="24"/>
              </w:rPr>
              <w:t>48</w:t>
            </w:r>
          </w:p>
        </w:tc>
        <w:tc>
          <w:tcPr>
            <w:tcW w:w="576" w:type="dxa"/>
            <w:gridSpan w:val="2"/>
            <w:shd w:val="clear" w:color="auto" w:fill="CCC0D9"/>
          </w:tcPr>
          <w:p>
            <w:pPr>
              <w:pStyle w:val="TableParagraph"/>
              <w:spacing w:line="256" w:lineRule="exact" w:before="54"/>
              <w:ind w:left="235"/>
              <w:rPr>
                <w:sz w:val="24"/>
              </w:rPr>
            </w:pPr>
            <w:r>
              <w:rPr>
                <w:spacing w:val="-5"/>
                <w:sz w:val="24"/>
              </w:rPr>
              <w:t>35</w:t>
            </w:r>
          </w:p>
        </w:tc>
        <w:tc>
          <w:tcPr>
            <w:tcW w:w="1622" w:type="dxa"/>
            <w:gridSpan w:val="3"/>
            <w:shd w:val="clear" w:color="auto" w:fill="CCC0D9"/>
          </w:tcPr>
          <w:p>
            <w:pPr>
              <w:pStyle w:val="TableParagraph"/>
              <w:spacing w:line="256" w:lineRule="exact" w:before="54"/>
              <w:ind w:right="70"/>
              <w:jc w:val="right"/>
              <w:rPr>
                <w:sz w:val="24"/>
              </w:rPr>
            </w:pPr>
            <w:r>
              <w:rPr>
                <w:spacing w:val="-5"/>
                <w:sz w:val="24"/>
              </w:rPr>
              <w:t>83</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9"/>
                <w:sz w:val="24"/>
              </w:rPr>
              <w:t> </w:t>
            </w:r>
            <w:r>
              <w:rPr>
                <w:spacing w:val="-10"/>
                <w:sz w:val="24"/>
              </w:rPr>
              <w:t>1</w:t>
            </w:r>
          </w:p>
        </w:tc>
        <w:tc>
          <w:tcPr>
            <w:tcW w:w="572" w:type="dxa"/>
            <w:shd w:val="clear" w:color="auto" w:fill="C5D9F0"/>
          </w:tcPr>
          <w:p>
            <w:pPr>
              <w:pStyle w:val="TableParagraph"/>
              <w:spacing w:line="256" w:lineRule="exact" w:before="54"/>
              <w:ind w:right="87"/>
              <w:jc w:val="right"/>
              <w:rPr>
                <w:sz w:val="24"/>
              </w:rPr>
            </w:pPr>
            <w:r>
              <w:rPr>
                <w:spacing w:val="-5"/>
                <w:sz w:val="24"/>
              </w:rPr>
              <w:t>42</w:t>
            </w:r>
          </w:p>
        </w:tc>
        <w:tc>
          <w:tcPr>
            <w:tcW w:w="576" w:type="dxa"/>
            <w:shd w:val="clear" w:color="auto" w:fill="C5D9F0"/>
          </w:tcPr>
          <w:p>
            <w:pPr>
              <w:pStyle w:val="TableParagraph"/>
              <w:spacing w:line="256" w:lineRule="exact" w:before="54"/>
              <w:ind w:right="85"/>
              <w:jc w:val="right"/>
              <w:rPr>
                <w:sz w:val="24"/>
              </w:rPr>
            </w:pPr>
            <w:r>
              <w:rPr>
                <w:spacing w:val="-5"/>
                <w:sz w:val="24"/>
              </w:rPr>
              <w:t>38</w:t>
            </w:r>
          </w:p>
        </w:tc>
        <w:tc>
          <w:tcPr>
            <w:tcW w:w="755" w:type="dxa"/>
            <w:shd w:val="clear" w:color="auto" w:fill="C5D9F0"/>
          </w:tcPr>
          <w:p>
            <w:pPr>
              <w:pStyle w:val="TableParagraph"/>
              <w:spacing w:line="256" w:lineRule="exact" w:before="54"/>
              <w:ind w:right="86"/>
              <w:jc w:val="right"/>
              <w:rPr>
                <w:sz w:val="24"/>
              </w:rPr>
            </w:pPr>
            <w:r>
              <w:rPr>
                <w:spacing w:val="-5"/>
                <w:sz w:val="24"/>
              </w:rPr>
              <w:t>80</w:t>
            </w:r>
          </w:p>
        </w:tc>
        <w:tc>
          <w:tcPr>
            <w:tcW w:w="455" w:type="dxa"/>
            <w:shd w:val="clear" w:color="auto" w:fill="F1DBDB"/>
          </w:tcPr>
          <w:p>
            <w:pPr>
              <w:pStyle w:val="TableParagraph"/>
              <w:spacing w:line="256" w:lineRule="exact" w:before="54"/>
              <w:ind w:left="140"/>
              <w:jc w:val="center"/>
              <w:rPr>
                <w:sz w:val="24"/>
              </w:rPr>
            </w:pPr>
            <w:r>
              <w:rPr>
                <w:sz w:val="24"/>
              </w:rPr>
              <w:t>5</w:t>
            </w:r>
          </w:p>
        </w:tc>
        <w:tc>
          <w:tcPr>
            <w:tcW w:w="455" w:type="dxa"/>
            <w:shd w:val="clear" w:color="auto" w:fill="F1DBDB"/>
          </w:tcPr>
          <w:p>
            <w:pPr>
              <w:pStyle w:val="TableParagraph"/>
              <w:spacing w:line="256" w:lineRule="exact" w:before="54"/>
              <w:ind w:right="84"/>
              <w:jc w:val="right"/>
              <w:rPr>
                <w:sz w:val="24"/>
              </w:rPr>
            </w:pPr>
            <w:r>
              <w:rPr>
                <w:sz w:val="24"/>
              </w:rPr>
              <w:t>2</w:t>
            </w:r>
          </w:p>
        </w:tc>
        <w:tc>
          <w:tcPr>
            <w:tcW w:w="575" w:type="dxa"/>
            <w:shd w:val="clear" w:color="auto" w:fill="F1DBDB"/>
          </w:tcPr>
          <w:p>
            <w:pPr>
              <w:pStyle w:val="TableParagraph"/>
              <w:spacing w:line="256" w:lineRule="exact" w:before="54"/>
              <w:ind w:right="83"/>
              <w:jc w:val="right"/>
              <w:rPr>
                <w:sz w:val="24"/>
              </w:rPr>
            </w:pPr>
            <w:r>
              <w:rPr>
                <w:sz w:val="24"/>
              </w:rPr>
              <w:t>7</w:t>
            </w:r>
          </w:p>
        </w:tc>
        <w:tc>
          <w:tcPr>
            <w:tcW w:w="574" w:type="dxa"/>
            <w:gridSpan w:val="2"/>
            <w:shd w:val="clear" w:color="auto" w:fill="CCC0D9"/>
          </w:tcPr>
          <w:p>
            <w:pPr>
              <w:pStyle w:val="TableParagraph"/>
              <w:spacing w:line="256" w:lineRule="exact" w:before="54"/>
              <w:ind w:left="233"/>
              <w:rPr>
                <w:sz w:val="24"/>
              </w:rPr>
            </w:pPr>
            <w:r>
              <w:rPr>
                <w:spacing w:val="-5"/>
                <w:sz w:val="24"/>
              </w:rPr>
              <w:t>47</w:t>
            </w:r>
          </w:p>
        </w:tc>
        <w:tc>
          <w:tcPr>
            <w:tcW w:w="576" w:type="dxa"/>
            <w:gridSpan w:val="2"/>
            <w:shd w:val="clear" w:color="auto" w:fill="CCC0D9"/>
          </w:tcPr>
          <w:p>
            <w:pPr>
              <w:pStyle w:val="TableParagraph"/>
              <w:spacing w:line="256" w:lineRule="exact" w:before="54"/>
              <w:ind w:left="235"/>
              <w:rPr>
                <w:sz w:val="24"/>
              </w:rPr>
            </w:pPr>
            <w:r>
              <w:rPr>
                <w:spacing w:val="-5"/>
                <w:sz w:val="24"/>
              </w:rPr>
              <w:t>40</w:t>
            </w:r>
          </w:p>
        </w:tc>
        <w:tc>
          <w:tcPr>
            <w:tcW w:w="1622" w:type="dxa"/>
            <w:gridSpan w:val="3"/>
            <w:shd w:val="clear" w:color="auto" w:fill="CCC0D9"/>
          </w:tcPr>
          <w:p>
            <w:pPr>
              <w:pStyle w:val="TableParagraph"/>
              <w:spacing w:line="256" w:lineRule="exact" w:before="54"/>
              <w:ind w:right="70"/>
              <w:jc w:val="right"/>
              <w:rPr>
                <w:sz w:val="24"/>
              </w:rPr>
            </w:pPr>
            <w:r>
              <w:rPr>
                <w:spacing w:val="-5"/>
                <w:sz w:val="24"/>
              </w:rPr>
              <w:t>87</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2</w:t>
            </w:r>
          </w:p>
        </w:tc>
        <w:tc>
          <w:tcPr>
            <w:tcW w:w="572" w:type="dxa"/>
            <w:shd w:val="clear" w:color="auto" w:fill="C5D9F0"/>
          </w:tcPr>
          <w:p>
            <w:pPr>
              <w:pStyle w:val="TableParagraph"/>
              <w:spacing w:line="256" w:lineRule="exact" w:before="54"/>
              <w:ind w:right="87"/>
              <w:jc w:val="right"/>
              <w:rPr>
                <w:sz w:val="24"/>
              </w:rPr>
            </w:pPr>
            <w:r>
              <w:rPr>
                <w:spacing w:val="-5"/>
                <w:sz w:val="24"/>
              </w:rPr>
              <w:t>43</w:t>
            </w:r>
          </w:p>
        </w:tc>
        <w:tc>
          <w:tcPr>
            <w:tcW w:w="576" w:type="dxa"/>
            <w:shd w:val="clear" w:color="auto" w:fill="C5D9F0"/>
          </w:tcPr>
          <w:p>
            <w:pPr>
              <w:pStyle w:val="TableParagraph"/>
              <w:spacing w:line="256" w:lineRule="exact" w:before="54"/>
              <w:ind w:right="85"/>
              <w:jc w:val="right"/>
              <w:rPr>
                <w:sz w:val="24"/>
              </w:rPr>
            </w:pPr>
            <w:r>
              <w:rPr>
                <w:spacing w:val="-5"/>
                <w:sz w:val="24"/>
              </w:rPr>
              <w:t>42</w:t>
            </w:r>
          </w:p>
        </w:tc>
        <w:tc>
          <w:tcPr>
            <w:tcW w:w="755" w:type="dxa"/>
            <w:shd w:val="clear" w:color="auto" w:fill="C5D9F0"/>
          </w:tcPr>
          <w:p>
            <w:pPr>
              <w:pStyle w:val="TableParagraph"/>
              <w:spacing w:line="256" w:lineRule="exact" w:before="54"/>
              <w:ind w:right="86"/>
              <w:jc w:val="right"/>
              <w:rPr>
                <w:sz w:val="24"/>
              </w:rPr>
            </w:pPr>
            <w:r>
              <w:rPr>
                <w:spacing w:val="-5"/>
                <w:sz w:val="24"/>
              </w:rPr>
              <w:t>85</w:t>
            </w:r>
          </w:p>
        </w:tc>
        <w:tc>
          <w:tcPr>
            <w:tcW w:w="455" w:type="dxa"/>
            <w:shd w:val="clear" w:color="auto" w:fill="F1DBDB"/>
          </w:tcPr>
          <w:p>
            <w:pPr>
              <w:pStyle w:val="TableParagraph"/>
              <w:spacing w:line="256" w:lineRule="exact" w:before="54"/>
              <w:ind w:left="140"/>
              <w:jc w:val="center"/>
              <w:rPr>
                <w:sz w:val="24"/>
              </w:rPr>
            </w:pPr>
            <w:r>
              <w:rPr>
                <w:sz w:val="24"/>
              </w:rPr>
              <w:t>7</w:t>
            </w:r>
          </w:p>
        </w:tc>
        <w:tc>
          <w:tcPr>
            <w:tcW w:w="455" w:type="dxa"/>
            <w:shd w:val="clear" w:color="auto" w:fill="F1DBDB"/>
          </w:tcPr>
          <w:p>
            <w:pPr>
              <w:pStyle w:val="TableParagraph"/>
              <w:spacing w:line="256" w:lineRule="exact" w:before="54"/>
              <w:ind w:right="84"/>
              <w:jc w:val="right"/>
              <w:rPr>
                <w:sz w:val="24"/>
              </w:rPr>
            </w:pPr>
            <w:r>
              <w:rPr>
                <w:sz w:val="24"/>
              </w:rPr>
              <w:t>6</w:t>
            </w:r>
          </w:p>
        </w:tc>
        <w:tc>
          <w:tcPr>
            <w:tcW w:w="575" w:type="dxa"/>
            <w:shd w:val="clear" w:color="auto" w:fill="F1DBDB"/>
          </w:tcPr>
          <w:p>
            <w:pPr>
              <w:pStyle w:val="TableParagraph"/>
              <w:spacing w:line="256" w:lineRule="exact" w:before="54"/>
              <w:ind w:right="83"/>
              <w:jc w:val="right"/>
              <w:rPr>
                <w:sz w:val="24"/>
              </w:rPr>
            </w:pPr>
            <w:r>
              <w:rPr>
                <w:spacing w:val="-5"/>
                <w:sz w:val="24"/>
              </w:rPr>
              <w:t>13</w:t>
            </w:r>
          </w:p>
        </w:tc>
        <w:tc>
          <w:tcPr>
            <w:tcW w:w="574" w:type="dxa"/>
            <w:gridSpan w:val="2"/>
            <w:shd w:val="clear" w:color="auto" w:fill="CCC0D9"/>
          </w:tcPr>
          <w:p>
            <w:pPr>
              <w:pStyle w:val="TableParagraph"/>
              <w:spacing w:line="256" w:lineRule="exact" w:before="54"/>
              <w:ind w:left="233"/>
              <w:rPr>
                <w:sz w:val="24"/>
              </w:rPr>
            </w:pPr>
            <w:r>
              <w:rPr>
                <w:spacing w:val="-5"/>
                <w:sz w:val="24"/>
              </w:rPr>
              <w:t>50</w:t>
            </w:r>
          </w:p>
        </w:tc>
        <w:tc>
          <w:tcPr>
            <w:tcW w:w="576" w:type="dxa"/>
            <w:gridSpan w:val="2"/>
            <w:shd w:val="clear" w:color="auto" w:fill="CCC0D9"/>
          </w:tcPr>
          <w:p>
            <w:pPr>
              <w:pStyle w:val="TableParagraph"/>
              <w:spacing w:line="256" w:lineRule="exact" w:before="54"/>
              <w:ind w:left="235"/>
              <w:rPr>
                <w:sz w:val="24"/>
              </w:rPr>
            </w:pPr>
            <w:r>
              <w:rPr>
                <w:spacing w:val="-5"/>
                <w:sz w:val="24"/>
              </w:rPr>
              <w:t>48</w:t>
            </w:r>
          </w:p>
        </w:tc>
        <w:tc>
          <w:tcPr>
            <w:tcW w:w="1622" w:type="dxa"/>
            <w:gridSpan w:val="3"/>
            <w:shd w:val="clear" w:color="auto" w:fill="CCC0D9"/>
          </w:tcPr>
          <w:p>
            <w:pPr>
              <w:pStyle w:val="TableParagraph"/>
              <w:spacing w:line="256" w:lineRule="exact" w:before="54"/>
              <w:ind w:right="70"/>
              <w:jc w:val="right"/>
              <w:rPr>
                <w:sz w:val="24"/>
              </w:rPr>
            </w:pPr>
            <w:r>
              <w:rPr>
                <w:spacing w:val="-5"/>
                <w:sz w:val="24"/>
              </w:rPr>
              <w:t>98</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3</w:t>
            </w:r>
          </w:p>
        </w:tc>
        <w:tc>
          <w:tcPr>
            <w:tcW w:w="572" w:type="dxa"/>
            <w:shd w:val="clear" w:color="auto" w:fill="C5D9F0"/>
          </w:tcPr>
          <w:p>
            <w:pPr>
              <w:pStyle w:val="TableParagraph"/>
              <w:spacing w:line="256" w:lineRule="exact" w:before="54"/>
              <w:ind w:right="87"/>
              <w:jc w:val="right"/>
              <w:rPr>
                <w:sz w:val="24"/>
              </w:rPr>
            </w:pPr>
            <w:r>
              <w:rPr>
                <w:spacing w:val="-5"/>
                <w:sz w:val="24"/>
              </w:rPr>
              <w:t>47</w:t>
            </w:r>
          </w:p>
        </w:tc>
        <w:tc>
          <w:tcPr>
            <w:tcW w:w="576" w:type="dxa"/>
            <w:shd w:val="clear" w:color="auto" w:fill="C5D9F0"/>
          </w:tcPr>
          <w:p>
            <w:pPr>
              <w:pStyle w:val="TableParagraph"/>
              <w:spacing w:line="256" w:lineRule="exact" w:before="54"/>
              <w:ind w:right="85"/>
              <w:jc w:val="right"/>
              <w:rPr>
                <w:sz w:val="24"/>
              </w:rPr>
            </w:pPr>
            <w:r>
              <w:rPr>
                <w:spacing w:val="-5"/>
                <w:sz w:val="24"/>
              </w:rPr>
              <w:t>45</w:t>
            </w:r>
          </w:p>
        </w:tc>
        <w:tc>
          <w:tcPr>
            <w:tcW w:w="755" w:type="dxa"/>
            <w:shd w:val="clear" w:color="auto" w:fill="C5D9F0"/>
          </w:tcPr>
          <w:p>
            <w:pPr>
              <w:pStyle w:val="TableParagraph"/>
              <w:spacing w:line="256" w:lineRule="exact" w:before="54"/>
              <w:ind w:right="86"/>
              <w:jc w:val="right"/>
              <w:rPr>
                <w:sz w:val="24"/>
              </w:rPr>
            </w:pPr>
            <w:r>
              <w:rPr>
                <w:spacing w:val="-5"/>
                <w:sz w:val="24"/>
              </w:rPr>
              <w:t>92</w:t>
            </w:r>
          </w:p>
        </w:tc>
        <w:tc>
          <w:tcPr>
            <w:tcW w:w="455" w:type="dxa"/>
            <w:shd w:val="clear" w:color="auto" w:fill="F1DBDB"/>
          </w:tcPr>
          <w:p>
            <w:pPr>
              <w:pStyle w:val="TableParagraph"/>
              <w:spacing w:line="256" w:lineRule="exact" w:before="54"/>
              <w:ind w:left="140"/>
              <w:jc w:val="center"/>
              <w:rPr>
                <w:sz w:val="24"/>
              </w:rPr>
            </w:pPr>
            <w:r>
              <w:rPr>
                <w:sz w:val="24"/>
              </w:rPr>
              <w:t>8</w:t>
            </w:r>
          </w:p>
        </w:tc>
        <w:tc>
          <w:tcPr>
            <w:tcW w:w="455" w:type="dxa"/>
            <w:shd w:val="clear" w:color="auto" w:fill="F1DBDB"/>
          </w:tcPr>
          <w:p>
            <w:pPr>
              <w:pStyle w:val="TableParagraph"/>
              <w:spacing w:line="256" w:lineRule="exact" w:before="54"/>
              <w:ind w:right="84"/>
              <w:jc w:val="right"/>
              <w:rPr>
                <w:sz w:val="24"/>
              </w:rPr>
            </w:pPr>
            <w:r>
              <w:rPr>
                <w:sz w:val="24"/>
              </w:rPr>
              <w:t>8</w:t>
            </w:r>
          </w:p>
        </w:tc>
        <w:tc>
          <w:tcPr>
            <w:tcW w:w="575" w:type="dxa"/>
            <w:shd w:val="clear" w:color="auto" w:fill="F1DBDB"/>
          </w:tcPr>
          <w:p>
            <w:pPr>
              <w:pStyle w:val="TableParagraph"/>
              <w:spacing w:line="256" w:lineRule="exact" w:before="54"/>
              <w:ind w:right="83"/>
              <w:jc w:val="right"/>
              <w:rPr>
                <w:sz w:val="24"/>
              </w:rPr>
            </w:pPr>
            <w:r>
              <w:rPr>
                <w:spacing w:val="-5"/>
                <w:sz w:val="24"/>
              </w:rPr>
              <w:t>16</w:t>
            </w:r>
          </w:p>
        </w:tc>
        <w:tc>
          <w:tcPr>
            <w:tcW w:w="574" w:type="dxa"/>
            <w:gridSpan w:val="2"/>
            <w:shd w:val="clear" w:color="auto" w:fill="CCC0D9"/>
          </w:tcPr>
          <w:p>
            <w:pPr>
              <w:pStyle w:val="TableParagraph"/>
              <w:spacing w:line="256" w:lineRule="exact" w:before="54"/>
              <w:ind w:left="233"/>
              <w:rPr>
                <w:sz w:val="24"/>
              </w:rPr>
            </w:pPr>
            <w:r>
              <w:rPr>
                <w:spacing w:val="-5"/>
                <w:sz w:val="24"/>
              </w:rPr>
              <w:t>55</w:t>
            </w:r>
          </w:p>
        </w:tc>
        <w:tc>
          <w:tcPr>
            <w:tcW w:w="576" w:type="dxa"/>
            <w:gridSpan w:val="2"/>
            <w:shd w:val="clear" w:color="auto" w:fill="CCC0D9"/>
          </w:tcPr>
          <w:p>
            <w:pPr>
              <w:pStyle w:val="TableParagraph"/>
              <w:spacing w:line="256" w:lineRule="exact" w:before="54"/>
              <w:ind w:left="235"/>
              <w:rPr>
                <w:sz w:val="24"/>
              </w:rPr>
            </w:pPr>
            <w:r>
              <w:rPr>
                <w:spacing w:val="-5"/>
                <w:sz w:val="24"/>
              </w:rPr>
              <w:t>53</w:t>
            </w:r>
          </w:p>
        </w:tc>
        <w:tc>
          <w:tcPr>
            <w:tcW w:w="1622" w:type="dxa"/>
            <w:gridSpan w:val="3"/>
            <w:shd w:val="clear" w:color="auto" w:fill="CCC0D9"/>
          </w:tcPr>
          <w:p>
            <w:pPr>
              <w:pStyle w:val="TableParagraph"/>
              <w:spacing w:line="256" w:lineRule="exact" w:before="54"/>
              <w:ind w:right="70"/>
              <w:jc w:val="right"/>
              <w:rPr>
                <w:sz w:val="24"/>
              </w:rPr>
            </w:pPr>
            <w:r>
              <w:rPr>
                <w:spacing w:val="-5"/>
                <w:sz w:val="24"/>
              </w:rPr>
              <w:t>108</w:t>
            </w:r>
          </w:p>
        </w:tc>
        <w:tc>
          <w:tcPr>
            <w:tcW w:w="3221" w:type="dxa"/>
            <w:gridSpan w:val="5"/>
            <w:vMerge/>
            <w:tcBorders>
              <w:top w:val="nil"/>
              <w:bottom w:val="nil"/>
              <w:right w:val="nil"/>
            </w:tcBorders>
          </w:tcPr>
          <w:p>
            <w:pPr>
              <w:rPr>
                <w:sz w:val="2"/>
                <w:szCs w:val="2"/>
              </w:rPr>
            </w:pPr>
          </w:p>
        </w:tc>
      </w:tr>
      <w:tr>
        <w:trPr>
          <w:trHeight w:val="327" w:hRule="atLeast"/>
        </w:trPr>
        <w:tc>
          <w:tcPr>
            <w:tcW w:w="1585" w:type="dxa"/>
            <w:gridSpan w:val="2"/>
            <w:shd w:val="clear" w:color="auto" w:fill="D9D9D9"/>
          </w:tcPr>
          <w:p>
            <w:pPr>
              <w:pStyle w:val="TableParagraph"/>
              <w:spacing w:line="256" w:lineRule="exact" w:before="51"/>
              <w:ind w:left="108"/>
              <w:rPr>
                <w:sz w:val="24"/>
              </w:rPr>
            </w:pPr>
            <w:r>
              <w:rPr>
                <w:sz w:val="24"/>
              </w:rPr>
              <w:t>Klasa</w:t>
            </w:r>
            <w:r>
              <w:rPr>
                <w:spacing w:val="-8"/>
                <w:sz w:val="24"/>
              </w:rPr>
              <w:t> </w:t>
            </w:r>
            <w:r>
              <w:rPr>
                <w:spacing w:val="-10"/>
                <w:sz w:val="24"/>
              </w:rPr>
              <w:t>4</w:t>
            </w:r>
          </w:p>
        </w:tc>
        <w:tc>
          <w:tcPr>
            <w:tcW w:w="572" w:type="dxa"/>
            <w:shd w:val="clear" w:color="auto" w:fill="C5D9F0"/>
          </w:tcPr>
          <w:p>
            <w:pPr>
              <w:pStyle w:val="TableParagraph"/>
              <w:spacing w:line="256" w:lineRule="exact" w:before="51"/>
              <w:ind w:right="87"/>
              <w:jc w:val="right"/>
              <w:rPr>
                <w:sz w:val="24"/>
              </w:rPr>
            </w:pPr>
            <w:r>
              <w:rPr>
                <w:spacing w:val="-5"/>
                <w:sz w:val="24"/>
              </w:rPr>
              <w:t>52</w:t>
            </w:r>
          </w:p>
        </w:tc>
        <w:tc>
          <w:tcPr>
            <w:tcW w:w="576" w:type="dxa"/>
            <w:shd w:val="clear" w:color="auto" w:fill="C5D9F0"/>
          </w:tcPr>
          <w:p>
            <w:pPr>
              <w:pStyle w:val="TableParagraph"/>
              <w:spacing w:line="256" w:lineRule="exact" w:before="51"/>
              <w:ind w:right="85"/>
              <w:jc w:val="right"/>
              <w:rPr>
                <w:sz w:val="24"/>
              </w:rPr>
            </w:pPr>
            <w:r>
              <w:rPr>
                <w:spacing w:val="-5"/>
                <w:sz w:val="24"/>
              </w:rPr>
              <w:t>57</w:t>
            </w:r>
          </w:p>
        </w:tc>
        <w:tc>
          <w:tcPr>
            <w:tcW w:w="755" w:type="dxa"/>
            <w:shd w:val="clear" w:color="auto" w:fill="C5D9F0"/>
          </w:tcPr>
          <w:p>
            <w:pPr>
              <w:pStyle w:val="TableParagraph"/>
              <w:spacing w:line="256" w:lineRule="exact" w:before="51"/>
              <w:ind w:left="198"/>
              <w:rPr>
                <w:sz w:val="24"/>
              </w:rPr>
            </w:pPr>
            <w:r>
              <w:rPr>
                <w:spacing w:val="-5"/>
                <w:sz w:val="24"/>
              </w:rPr>
              <w:t>108</w:t>
            </w:r>
          </w:p>
        </w:tc>
        <w:tc>
          <w:tcPr>
            <w:tcW w:w="455" w:type="dxa"/>
            <w:shd w:val="clear" w:color="auto" w:fill="F1DBDB"/>
          </w:tcPr>
          <w:p>
            <w:pPr>
              <w:pStyle w:val="TableParagraph"/>
              <w:spacing w:line="256" w:lineRule="exact" w:before="51"/>
              <w:ind w:left="140"/>
              <w:jc w:val="center"/>
              <w:rPr>
                <w:sz w:val="24"/>
              </w:rPr>
            </w:pPr>
            <w:r>
              <w:rPr>
                <w:sz w:val="24"/>
              </w:rPr>
              <w:t>8</w:t>
            </w:r>
          </w:p>
        </w:tc>
        <w:tc>
          <w:tcPr>
            <w:tcW w:w="455" w:type="dxa"/>
            <w:shd w:val="clear" w:color="auto" w:fill="F1DBDB"/>
          </w:tcPr>
          <w:p>
            <w:pPr>
              <w:pStyle w:val="TableParagraph"/>
              <w:spacing w:line="256" w:lineRule="exact" w:before="51"/>
              <w:ind w:right="84"/>
              <w:jc w:val="right"/>
              <w:rPr>
                <w:sz w:val="24"/>
              </w:rPr>
            </w:pPr>
            <w:r>
              <w:rPr>
                <w:sz w:val="24"/>
              </w:rPr>
              <w:t>7</w:t>
            </w:r>
          </w:p>
        </w:tc>
        <w:tc>
          <w:tcPr>
            <w:tcW w:w="575" w:type="dxa"/>
            <w:shd w:val="clear" w:color="auto" w:fill="F1DBDB"/>
          </w:tcPr>
          <w:p>
            <w:pPr>
              <w:pStyle w:val="TableParagraph"/>
              <w:spacing w:line="256" w:lineRule="exact" w:before="51"/>
              <w:ind w:right="83"/>
              <w:jc w:val="right"/>
              <w:rPr>
                <w:sz w:val="24"/>
              </w:rPr>
            </w:pPr>
            <w:r>
              <w:rPr>
                <w:spacing w:val="-5"/>
                <w:sz w:val="24"/>
              </w:rPr>
              <w:t>15</w:t>
            </w:r>
          </w:p>
        </w:tc>
        <w:tc>
          <w:tcPr>
            <w:tcW w:w="574" w:type="dxa"/>
            <w:gridSpan w:val="2"/>
            <w:shd w:val="clear" w:color="auto" w:fill="CCC0D9"/>
          </w:tcPr>
          <w:p>
            <w:pPr>
              <w:pStyle w:val="TableParagraph"/>
              <w:spacing w:line="256" w:lineRule="exact" w:before="51"/>
              <w:ind w:left="233"/>
              <w:rPr>
                <w:sz w:val="24"/>
              </w:rPr>
            </w:pPr>
            <w:r>
              <w:rPr>
                <w:spacing w:val="-5"/>
                <w:sz w:val="24"/>
              </w:rPr>
              <w:t>60</w:t>
            </w:r>
          </w:p>
        </w:tc>
        <w:tc>
          <w:tcPr>
            <w:tcW w:w="576" w:type="dxa"/>
            <w:gridSpan w:val="2"/>
            <w:shd w:val="clear" w:color="auto" w:fill="CCC0D9"/>
          </w:tcPr>
          <w:p>
            <w:pPr>
              <w:pStyle w:val="TableParagraph"/>
              <w:spacing w:line="256" w:lineRule="exact" w:before="51"/>
              <w:ind w:left="235"/>
              <w:rPr>
                <w:sz w:val="24"/>
              </w:rPr>
            </w:pPr>
            <w:r>
              <w:rPr>
                <w:spacing w:val="-5"/>
                <w:sz w:val="24"/>
              </w:rPr>
              <w:t>64</w:t>
            </w:r>
          </w:p>
        </w:tc>
        <w:tc>
          <w:tcPr>
            <w:tcW w:w="1622" w:type="dxa"/>
            <w:gridSpan w:val="3"/>
            <w:shd w:val="clear" w:color="auto" w:fill="CCC0D9"/>
          </w:tcPr>
          <w:p>
            <w:pPr>
              <w:pStyle w:val="TableParagraph"/>
              <w:spacing w:line="256" w:lineRule="exact" w:before="51"/>
              <w:ind w:right="70"/>
              <w:jc w:val="right"/>
              <w:rPr>
                <w:sz w:val="24"/>
              </w:rPr>
            </w:pPr>
            <w:r>
              <w:rPr>
                <w:spacing w:val="-5"/>
                <w:sz w:val="24"/>
              </w:rPr>
              <w:t>124</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5</w:t>
            </w:r>
          </w:p>
        </w:tc>
        <w:tc>
          <w:tcPr>
            <w:tcW w:w="572" w:type="dxa"/>
            <w:shd w:val="clear" w:color="auto" w:fill="C5D9F0"/>
          </w:tcPr>
          <w:p>
            <w:pPr>
              <w:pStyle w:val="TableParagraph"/>
              <w:spacing w:line="256" w:lineRule="exact" w:before="54"/>
              <w:ind w:right="87"/>
              <w:jc w:val="right"/>
              <w:rPr>
                <w:sz w:val="24"/>
              </w:rPr>
            </w:pPr>
            <w:r>
              <w:rPr>
                <w:spacing w:val="-5"/>
                <w:sz w:val="24"/>
              </w:rPr>
              <w:t>49</w:t>
            </w:r>
          </w:p>
        </w:tc>
        <w:tc>
          <w:tcPr>
            <w:tcW w:w="576" w:type="dxa"/>
            <w:shd w:val="clear" w:color="auto" w:fill="C5D9F0"/>
          </w:tcPr>
          <w:p>
            <w:pPr>
              <w:pStyle w:val="TableParagraph"/>
              <w:spacing w:line="256" w:lineRule="exact" w:before="54"/>
              <w:ind w:right="85"/>
              <w:jc w:val="right"/>
              <w:rPr>
                <w:sz w:val="24"/>
              </w:rPr>
            </w:pPr>
            <w:r>
              <w:rPr>
                <w:spacing w:val="-5"/>
                <w:sz w:val="24"/>
              </w:rPr>
              <w:t>47</w:t>
            </w:r>
          </w:p>
        </w:tc>
        <w:tc>
          <w:tcPr>
            <w:tcW w:w="755" w:type="dxa"/>
            <w:shd w:val="clear" w:color="auto" w:fill="C5D9F0"/>
          </w:tcPr>
          <w:p>
            <w:pPr>
              <w:pStyle w:val="TableParagraph"/>
              <w:spacing w:line="256" w:lineRule="exact" w:before="54"/>
              <w:ind w:right="86"/>
              <w:jc w:val="right"/>
              <w:rPr>
                <w:sz w:val="24"/>
              </w:rPr>
            </w:pPr>
            <w:r>
              <w:rPr>
                <w:spacing w:val="-5"/>
                <w:sz w:val="24"/>
              </w:rPr>
              <w:t>96</w:t>
            </w:r>
          </w:p>
        </w:tc>
        <w:tc>
          <w:tcPr>
            <w:tcW w:w="455" w:type="dxa"/>
            <w:shd w:val="clear" w:color="auto" w:fill="F1DBDB"/>
          </w:tcPr>
          <w:p>
            <w:pPr>
              <w:pStyle w:val="TableParagraph"/>
              <w:spacing w:line="256" w:lineRule="exact" w:before="54"/>
              <w:ind w:left="140"/>
              <w:jc w:val="center"/>
              <w:rPr>
                <w:sz w:val="24"/>
              </w:rPr>
            </w:pPr>
            <w:r>
              <w:rPr>
                <w:sz w:val="24"/>
              </w:rPr>
              <w:t>3</w:t>
            </w:r>
          </w:p>
        </w:tc>
        <w:tc>
          <w:tcPr>
            <w:tcW w:w="455" w:type="dxa"/>
            <w:shd w:val="clear" w:color="auto" w:fill="F1DBDB"/>
          </w:tcPr>
          <w:p>
            <w:pPr>
              <w:pStyle w:val="TableParagraph"/>
              <w:spacing w:line="256" w:lineRule="exact" w:before="54"/>
              <w:ind w:right="84"/>
              <w:jc w:val="right"/>
              <w:rPr>
                <w:sz w:val="24"/>
              </w:rPr>
            </w:pPr>
            <w:r>
              <w:rPr>
                <w:sz w:val="24"/>
              </w:rPr>
              <w:t>1</w:t>
            </w:r>
          </w:p>
        </w:tc>
        <w:tc>
          <w:tcPr>
            <w:tcW w:w="575" w:type="dxa"/>
            <w:shd w:val="clear" w:color="auto" w:fill="F1DBDB"/>
          </w:tcPr>
          <w:p>
            <w:pPr>
              <w:pStyle w:val="TableParagraph"/>
              <w:spacing w:line="256" w:lineRule="exact" w:before="54"/>
              <w:ind w:right="83"/>
              <w:jc w:val="right"/>
              <w:rPr>
                <w:sz w:val="24"/>
              </w:rPr>
            </w:pPr>
            <w:r>
              <w:rPr>
                <w:sz w:val="24"/>
              </w:rPr>
              <w:t>4</w:t>
            </w:r>
          </w:p>
        </w:tc>
        <w:tc>
          <w:tcPr>
            <w:tcW w:w="574" w:type="dxa"/>
            <w:gridSpan w:val="2"/>
            <w:shd w:val="clear" w:color="auto" w:fill="CCC0D9"/>
          </w:tcPr>
          <w:p>
            <w:pPr>
              <w:pStyle w:val="TableParagraph"/>
              <w:spacing w:line="256" w:lineRule="exact" w:before="54"/>
              <w:ind w:left="233"/>
              <w:rPr>
                <w:sz w:val="24"/>
              </w:rPr>
            </w:pPr>
            <w:r>
              <w:rPr>
                <w:spacing w:val="-5"/>
                <w:sz w:val="24"/>
              </w:rPr>
              <w:t>52</w:t>
            </w:r>
          </w:p>
        </w:tc>
        <w:tc>
          <w:tcPr>
            <w:tcW w:w="576" w:type="dxa"/>
            <w:gridSpan w:val="2"/>
            <w:shd w:val="clear" w:color="auto" w:fill="CCC0D9"/>
          </w:tcPr>
          <w:p>
            <w:pPr>
              <w:pStyle w:val="TableParagraph"/>
              <w:spacing w:line="256" w:lineRule="exact" w:before="54"/>
              <w:ind w:left="235"/>
              <w:rPr>
                <w:sz w:val="24"/>
              </w:rPr>
            </w:pPr>
            <w:r>
              <w:rPr>
                <w:spacing w:val="-5"/>
                <w:sz w:val="24"/>
              </w:rPr>
              <w:t>48</w:t>
            </w:r>
          </w:p>
        </w:tc>
        <w:tc>
          <w:tcPr>
            <w:tcW w:w="1622" w:type="dxa"/>
            <w:gridSpan w:val="3"/>
            <w:shd w:val="clear" w:color="auto" w:fill="CCC0D9"/>
          </w:tcPr>
          <w:p>
            <w:pPr>
              <w:pStyle w:val="TableParagraph"/>
              <w:spacing w:line="256" w:lineRule="exact" w:before="54"/>
              <w:ind w:right="70"/>
              <w:jc w:val="right"/>
              <w:rPr>
                <w:sz w:val="24"/>
              </w:rPr>
            </w:pPr>
            <w:r>
              <w:rPr>
                <w:spacing w:val="-5"/>
                <w:sz w:val="24"/>
              </w:rPr>
              <w:t>100</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6</w:t>
            </w:r>
          </w:p>
        </w:tc>
        <w:tc>
          <w:tcPr>
            <w:tcW w:w="572" w:type="dxa"/>
            <w:shd w:val="clear" w:color="auto" w:fill="C5D9F0"/>
          </w:tcPr>
          <w:p>
            <w:pPr>
              <w:pStyle w:val="TableParagraph"/>
              <w:spacing w:line="256" w:lineRule="exact" w:before="54"/>
              <w:ind w:right="87"/>
              <w:jc w:val="right"/>
              <w:rPr>
                <w:sz w:val="24"/>
              </w:rPr>
            </w:pPr>
            <w:r>
              <w:rPr>
                <w:spacing w:val="-5"/>
                <w:sz w:val="24"/>
              </w:rPr>
              <w:t>55</w:t>
            </w:r>
          </w:p>
        </w:tc>
        <w:tc>
          <w:tcPr>
            <w:tcW w:w="576" w:type="dxa"/>
            <w:shd w:val="clear" w:color="auto" w:fill="C5D9F0"/>
          </w:tcPr>
          <w:p>
            <w:pPr>
              <w:pStyle w:val="TableParagraph"/>
              <w:spacing w:line="256" w:lineRule="exact" w:before="54"/>
              <w:ind w:right="85"/>
              <w:jc w:val="right"/>
              <w:rPr>
                <w:sz w:val="24"/>
              </w:rPr>
            </w:pPr>
            <w:r>
              <w:rPr>
                <w:spacing w:val="-5"/>
                <w:sz w:val="24"/>
              </w:rPr>
              <w:t>49</w:t>
            </w:r>
          </w:p>
        </w:tc>
        <w:tc>
          <w:tcPr>
            <w:tcW w:w="755" w:type="dxa"/>
            <w:shd w:val="clear" w:color="auto" w:fill="C5D9F0"/>
          </w:tcPr>
          <w:p>
            <w:pPr>
              <w:pStyle w:val="TableParagraph"/>
              <w:spacing w:line="256" w:lineRule="exact" w:before="54"/>
              <w:ind w:right="86"/>
              <w:jc w:val="right"/>
              <w:rPr>
                <w:sz w:val="24"/>
              </w:rPr>
            </w:pPr>
            <w:r>
              <w:rPr>
                <w:spacing w:val="-5"/>
                <w:sz w:val="24"/>
              </w:rPr>
              <w:t>104</w:t>
            </w:r>
          </w:p>
        </w:tc>
        <w:tc>
          <w:tcPr>
            <w:tcW w:w="455"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574" w:type="dxa"/>
            <w:gridSpan w:val="2"/>
            <w:shd w:val="clear" w:color="auto" w:fill="CCC0D9"/>
          </w:tcPr>
          <w:p>
            <w:pPr>
              <w:pStyle w:val="TableParagraph"/>
              <w:spacing w:line="256" w:lineRule="exact" w:before="54"/>
              <w:ind w:left="233"/>
              <w:rPr>
                <w:sz w:val="24"/>
              </w:rPr>
            </w:pPr>
            <w:r>
              <w:rPr>
                <w:spacing w:val="-5"/>
                <w:sz w:val="24"/>
              </w:rPr>
              <w:t>55</w:t>
            </w:r>
          </w:p>
        </w:tc>
        <w:tc>
          <w:tcPr>
            <w:tcW w:w="576" w:type="dxa"/>
            <w:gridSpan w:val="2"/>
            <w:shd w:val="clear" w:color="auto" w:fill="CCC0D9"/>
          </w:tcPr>
          <w:p>
            <w:pPr>
              <w:pStyle w:val="TableParagraph"/>
              <w:spacing w:line="256" w:lineRule="exact" w:before="54"/>
              <w:ind w:left="235"/>
              <w:rPr>
                <w:sz w:val="24"/>
              </w:rPr>
            </w:pPr>
            <w:r>
              <w:rPr>
                <w:spacing w:val="-5"/>
                <w:sz w:val="24"/>
              </w:rPr>
              <w:t>49</w:t>
            </w:r>
          </w:p>
        </w:tc>
        <w:tc>
          <w:tcPr>
            <w:tcW w:w="1622" w:type="dxa"/>
            <w:gridSpan w:val="3"/>
            <w:shd w:val="clear" w:color="auto" w:fill="CCC0D9"/>
          </w:tcPr>
          <w:p>
            <w:pPr>
              <w:pStyle w:val="TableParagraph"/>
              <w:spacing w:line="256" w:lineRule="exact" w:before="54"/>
              <w:ind w:right="70"/>
              <w:jc w:val="right"/>
              <w:rPr>
                <w:sz w:val="24"/>
              </w:rPr>
            </w:pPr>
            <w:r>
              <w:rPr>
                <w:spacing w:val="-5"/>
                <w:sz w:val="24"/>
              </w:rPr>
              <w:t>104</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7" w:lineRule="exact" w:before="54"/>
              <w:ind w:left="108"/>
              <w:rPr>
                <w:sz w:val="24"/>
              </w:rPr>
            </w:pPr>
            <w:r>
              <w:rPr>
                <w:sz w:val="24"/>
              </w:rPr>
              <w:t>Klasa</w:t>
            </w:r>
            <w:r>
              <w:rPr>
                <w:spacing w:val="-8"/>
                <w:sz w:val="24"/>
              </w:rPr>
              <w:t> </w:t>
            </w:r>
            <w:r>
              <w:rPr>
                <w:spacing w:val="-10"/>
                <w:sz w:val="24"/>
              </w:rPr>
              <w:t>7</w:t>
            </w:r>
          </w:p>
        </w:tc>
        <w:tc>
          <w:tcPr>
            <w:tcW w:w="572" w:type="dxa"/>
            <w:shd w:val="clear" w:color="auto" w:fill="C5D9F0"/>
          </w:tcPr>
          <w:p>
            <w:pPr>
              <w:pStyle w:val="TableParagraph"/>
              <w:spacing w:line="257" w:lineRule="exact" w:before="54"/>
              <w:ind w:right="87"/>
              <w:jc w:val="right"/>
              <w:rPr>
                <w:sz w:val="24"/>
              </w:rPr>
            </w:pPr>
            <w:r>
              <w:rPr>
                <w:spacing w:val="-5"/>
                <w:sz w:val="24"/>
              </w:rPr>
              <w:t>60</w:t>
            </w:r>
          </w:p>
        </w:tc>
        <w:tc>
          <w:tcPr>
            <w:tcW w:w="576" w:type="dxa"/>
            <w:shd w:val="clear" w:color="auto" w:fill="C5D9F0"/>
          </w:tcPr>
          <w:p>
            <w:pPr>
              <w:pStyle w:val="TableParagraph"/>
              <w:spacing w:line="257" w:lineRule="exact" w:before="54"/>
              <w:ind w:right="85"/>
              <w:jc w:val="right"/>
              <w:rPr>
                <w:sz w:val="24"/>
              </w:rPr>
            </w:pPr>
            <w:r>
              <w:rPr>
                <w:spacing w:val="-5"/>
                <w:sz w:val="24"/>
              </w:rPr>
              <w:t>46</w:t>
            </w:r>
          </w:p>
        </w:tc>
        <w:tc>
          <w:tcPr>
            <w:tcW w:w="755" w:type="dxa"/>
            <w:shd w:val="clear" w:color="auto" w:fill="C5D9F0"/>
          </w:tcPr>
          <w:p>
            <w:pPr>
              <w:pStyle w:val="TableParagraph"/>
              <w:spacing w:line="257" w:lineRule="exact" w:before="54"/>
              <w:ind w:right="86"/>
              <w:jc w:val="right"/>
              <w:rPr>
                <w:sz w:val="24"/>
              </w:rPr>
            </w:pPr>
            <w:r>
              <w:rPr>
                <w:spacing w:val="-5"/>
                <w:sz w:val="24"/>
              </w:rPr>
              <w:t>106</w:t>
            </w:r>
          </w:p>
        </w:tc>
        <w:tc>
          <w:tcPr>
            <w:tcW w:w="455"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574" w:type="dxa"/>
            <w:gridSpan w:val="2"/>
            <w:shd w:val="clear" w:color="auto" w:fill="CCC0D9"/>
          </w:tcPr>
          <w:p>
            <w:pPr>
              <w:pStyle w:val="TableParagraph"/>
              <w:spacing w:line="257" w:lineRule="exact" w:before="54"/>
              <w:ind w:left="233"/>
              <w:rPr>
                <w:sz w:val="24"/>
              </w:rPr>
            </w:pPr>
            <w:r>
              <w:rPr>
                <w:spacing w:val="-5"/>
                <w:sz w:val="24"/>
              </w:rPr>
              <w:t>60</w:t>
            </w:r>
          </w:p>
        </w:tc>
        <w:tc>
          <w:tcPr>
            <w:tcW w:w="576" w:type="dxa"/>
            <w:gridSpan w:val="2"/>
            <w:shd w:val="clear" w:color="auto" w:fill="CCC0D9"/>
          </w:tcPr>
          <w:p>
            <w:pPr>
              <w:pStyle w:val="TableParagraph"/>
              <w:spacing w:line="257" w:lineRule="exact" w:before="54"/>
              <w:ind w:left="235"/>
              <w:rPr>
                <w:sz w:val="24"/>
              </w:rPr>
            </w:pPr>
            <w:r>
              <w:rPr>
                <w:spacing w:val="-5"/>
                <w:sz w:val="24"/>
              </w:rPr>
              <w:t>46</w:t>
            </w:r>
          </w:p>
        </w:tc>
        <w:tc>
          <w:tcPr>
            <w:tcW w:w="1622" w:type="dxa"/>
            <w:gridSpan w:val="3"/>
            <w:shd w:val="clear" w:color="auto" w:fill="CCC0D9"/>
          </w:tcPr>
          <w:p>
            <w:pPr>
              <w:pStyle w:val="TableParagraph"/>
              <w:spacing w:line="257" w:lineRule="exact" w:before="54"/>
              <w:ind w:right="70"/>
              <w:jc w:val="right"/>
              <w:rPr>
                <w:sz w:val="24"/>
              </w:rPr>
            </w:pPr>
            <w:r>
              <w:rPr>
                <w:spacing w:val="-5"/>
                <w:sz w:val="24"/>
              </w:rPr>
              <w:t>106</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8</w:t>
            </w:r>
          </w:p>
        </w:tc>
        <w:tc>
          <w:tcPr>
            <w:tcW w:w="572" w:type="dxa"/>
            <w:shd w:val="clear" w:color="auto" w:fill="C5D9F0"/>
          </w:tcPr>
          <w:p>
            <w:pPr>
              <w:pStyle w:val="TableParagraph"/>
              <w:spacing w:line="256" w:lineRule="exact" w:before="54"/>
              <w:ind w:right="87"/>
              <w:jc w:val="right"/>
              <w:rPr>
                <w:sz w:val="24"/>
              </w:rPr>
            </w:pPr>
            <w:r>
              <w:rPr>
                <w:spacing w:val="-5"/>
                <w:sz w:val="24"/>
              </w:rPr>
              <w:t>57</w:t>
            </w:r>
          </w:p>
        </w:tc>
        <w:tc>
          <w:tcPr>
            <w:tcW w:w="576" w:type="dxa"/>
            <w:shd w:val="clear" w:color="auto" w:fill="C5D9F0"/>
          </w:tcPr>
          <w:p>
            <w:pPr>
              <w:pStyle w:val="TableParagraph"/>
              <w:spacing w:line="256" w:lineRule="exact" w:before="54"/>
              <w:ind w:right="85"/>
              <w:jc w:val="right"/>
              <w:rPr>
                <w:sz w:val="24"/>
              </w:rPr>
            </w:pPr>
            <w:r>
              <w:rPr>
                <w:spacing w:val="-5"/>
                <w:sz w:val="24"/>
              </w:rPr>
              <w:t>50</w:t>
            </w:r>
          </w:p>
        </w:tc>
        <w:tc>
          <w:tcPr>
            <w:tcW w:w="755" w:type="dxa"/>
            <w:shd w:val="clear" w:color="auto" w:fill="C5D9F0"/>
          </w:tcPr>
          <w:p>
            <w:pPr>
              <w:pStyle w:val="TableParagraph"/>
              <w:spacing w:line="256" w:lineRule="exact" w:before="54"/>
              <w:ind w:right="86"/>
              <w:jc w:val="right"/>
              <w:rPr>
                <w:sz w:val="24"/>
              </w:rPr>
            </w:pPr>
            <w:r>
              <w:rPr>
                <w:spacing w:val="-5"/>
                <w:sz w:val="24"/>
              </w:rPr>
              <w:t>107</w:t>
            </w:r>
          </w:p>
        </w:tc>
        <w:tc>
          <w:tcPr>
            <w:tcW w:w="455"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574" w:type="dxa"/>
            <w:gridSpan w:val="2"/>
            <w:shd w:val="clear" w:color="auto" w:fill="CCC0D9"/>
          </w:tcPr>
          <w:p>
            <w:pPr>
              <w:pStyle w:val="TableParagraph"/>
              <w:spacing w:line="256" w:lineRule="exact" w:before="54"/>
              <w:ind w:left="233"/>
              <w:rPr>
                <w:sz w:val="24"/>
              </w:rPr>
            </w:pPr>
            <w:r>
              <w:rPr>
                <w:spacing w:val="-5"/>
                <w:sz w:val="24"/>
              </w:rPr>
              <w:t>57</w:t>
            </w:r>
          </w:p>
        </w:tc>
        <w:tc>
          <w:tcPr>
            <w:tcW w:w="576" w:type="dxa"/>
            <w:gridSpan w:val="2"/>
            <w:shd w:val="clear" w:color="auto" w:fill="CCC0D9"/>
          </w:tcPr>
          <w:p>
            <w:pPr>
              <w:pStyle w:val="TableParagraph"/>
              <w:spacing w:line="256" w:lineRule="exact" w:before="54"/>
              <w:ind w:left="235"/>
              <w:rPr>
                <w:sz w:val="24"/>
              </w:rPr>
            </w:pPr>
            <w:r>
              <w:rPr>
                <w:spacing w:val="-5"/>
                <w:sz w:val="24"/>
              </w:rPr>
              <w:t>50</w:t>
            </w:r>
          </w:p>
        </w:tc>
        <w:tc>
          <w:tcPr>
            <w:tcW w:w="1622" w:type="dxa"/>
            <w:gridSpan w:val="3"/>
            <w:shd w:val="clear" w:color="auto" w:fill="CCC0D9"/>
          </w:tcPr>
          <w:p>
            <w:pPr>
              <w:pStyle w:val="TableParagraph"/>
              <w:spacing w:line="256" w:lineRule="exact" w:before="54"/>
              <w:ind w:right="70"/>
              <w:jc w:val="right"/>
              <w:rPr>
                <w:sz w:val="24"/>
              </w:rPr>
            </w:pPr>
            <w:r>
              <w:rPr>
                <w:spacing w:val="-5"/>
                <w:sz w:val="24"/>
              </w:rPr>
              <w:t>107</w:t>
            </w:r>
          </w:p>
        </w:tc>
        <w:tc>
          <w:tcPr>
            <w:tcW w:w="3221" w:type="dxa"/>
            <w:gridSpan w:val="5"/>
            <w:vMerge/>
            <w:tcBorders>
              <w:top w:val="nil"/>
              <w:bottom w:val="nil"/>
              <w:right w:val="nil"/>
            </w:tcBorders>
          </w:tcPr>
          <w:p>
            <w:pPr>
              <w:rPr>
                <w:sz w:val="2"/>
                <w:szCs w:val="2"/>
              </w:rPr>
            </w:pPr>
          </w:p>
        </w:tc>
      </w:tr>
      <w:tr>
        <w:trPr>
          <w:trHeight w:val="330" w:hRule="atLeast"/>
        </w:trPr>
        <w:tc>
          <w:tcPr>
            <w:tcW w:w="1585" w:type="dxa"/>
            <w:gridSpan w:val="2"/>
            <w:shd w:val="clear" w:color="auto" w:fill="D9D9D9"/>
          </w:tcPr>
          <w:p>
            <w:pPr>
              <w:pStyle w:val="TableParagraph"/>
              <w:spacing w:line="256" w:lineRule="exact" w:before="54"/>
              <w:ind w:left="108"/>
              <w:rPr>
                <w:sz w:val="24"/>
              </w:rPr>
            </w:pPr>
            <w:r>
              <w:rPr>
                <w:sz w:val="24"/>
              </w:rPr>
              <w:t>Klasa</w:t>
            </w:r>
            <w:r>
              <w:rPr>
                <w:spacing w:val="-8"/>
                <w:sz w:val="24"/>
              </w:rPr>
              <w:t> </w:t>
            </w:r>
            <w:r>
              <w:rPr>
                <w:spacing w:val="-10"/>
                <w:sz w:val="24"/>
              </w:rPr>
              <w:t>9</w:t>
            </w:r>
          </w:p>
        </w:tc>
        <w:tc>
          <w:tcPr>
            <w:tcW w:w="572" w:type="dxa"/>
            <w:shd w:val="clear" w:color="auto" w:fill="C5D9F0"/>
          </w:tcPr>
          <w:p>
            <w:pPr>
              <w:pStyle w:val="TableParagraph"/>
              <w:spacing w:line="256" w:lineRule="exact" w:before="54"/>
              <w:ind w:right="87"/>
              <w:jc w:val="right"/>
              <w:rPr>
                <w:sz w:val="24"/>
              </w:rPr>
            </w:pPr>
            <w:r>
              <w:rPr>
                <w:spacing w:val="-5"/>
                <w:sz w:val="24"/>
              </w:rPr>
              <w:t>53</w:t>
            </w:r>
          </w:p>
        </w:tc>
        <w:tc>
          <w:tcPr>
            <w:tcW w:w="576" w:type="dxa"/>
            <w:shd w:val="clear" w:color="auto" w:fill="C5D9F0"/>
          </w:tcPr>
          <w:p>
            <w:pPr>
              <w:pStyle w:val="TableParagraph"/>
              <w:spacing w:line="256" w:lineRule="exact" w:before="54"/>
              <w:ind w:right="85"/>
              <w:jc w:val="right"/>
              <w:rPr>
                <w:sz w:val="24"/>
              </w:rPr>
            </w:pPr>
            <w:r>
              <w:rPr>
                <w:spacing w:val="-5"/>
                <w:sz w:val="24"/>
              </w:rPr>
              <w:t>54</w:t>
            </w:r>
          </w:p>
        </w:tc>
        <w:tc>
          <w:tcPr>
            <w:tcW w:w="755" w:type="dxa"/>
            <w:shd w:val="clear" w:color="auto" w:fill="C5D9F0"/>
          </w:tcPr>
          <w:p>
            <w:pPr>
              <w:pStyle w:val="TableParagraph"/>
              <w:spacing w:line="256" w:lineRule="exact" w:before="54"/>
              <w:ind w:right="86"/>
              <w:jc w:val="right"/>
              <w:rPr>
                <w:sz w:val="24"/>
              </w:rPr>
            </w:pPr>
            <w:r>
              <w:rPr>
                <w:spacing w:val="-5"/>
                <w:sz w:val="24"/>
              </w:rPr>
              <w:t>107</w:t>
            </w:r>
          </w:p>
        </w:tc>
        <w:tc>
          <w:tcPr>
            <w:tcW w:w="455" w:type="dxa"/>
            <w:shd w:val="clear" w:color="auto" w:fill="F1DBDB"/>
          </w:tcPr>
          <w:p>
            <w:pPr>
              <w:pStyle w:val="TableParagraph"/>
              <w:rPr>
                <w:sz w:val="24"/>
              </w:rPr>
            </w:pPr>
          </w:p>
        </w:tc>
        <w:tc>
          <w:tcPr>
            <w:tcW w:w="455" w:type="dxa"/>
            <w:shd w:val="clear" w:color="auto" w:fill="F1DBDB"/>
          </w:tcPr>
          <w:p>
            <w:pPr>
              <w:pStyle w:val="TableParagraph"/>
              <w:rPr>
                <w:sz w:val="24"/>
              </w:rPr>
            </w:pPr>
          </w:p>
        </w:tc>
        <w:tc>
          <w:tcPr>
            <w:tcW w:w="575" w:type="dxa"/>
            <w:shd w:val="clear" w:color="auto" w:fill="F1DBDB"/>
          </w:tcPr>
          <w:p>
            <w:pPr>
              <w:pStyle w:val="TableParagraph"/>
              <w:rPr>
                <w:sz w:val="24"/>
              </w:rPr>
            </w:pPr>
          </w:p>
        </w:tc>
        <w:tc>
          <w:tcPr>
            <w:tcW w:w="574" w:type="dxa"/>
            <w:gridSpan w:val="2"/>
            <w:shd w:val="clear" w:color="auto" w:fill="CCC0D9"/>
          </w:tcPr>
          <w:p>
            <w:pPr>
              <w:pStyle w:val="TableParagraph"/>
              <w:spacing w:line="256" w:lineRule="exact" w:before="54"/>
              <w:ind w:left="233"/>
              <w:rPr>
                <w:sz w:val="24"/>
              </w:rPr>
            </w:pPr>
            <w:r>
              <w:rPr>
                <w:spacing w:val="-5"/>
                <w:sz w:val="24"/>
              </w:rPr>
              <w:t>53</w:t>
            </w:r>
          </w:p>
        </w:tc>
        <w:tc>
          <w:tcPr>
            <w:tcW w:w="576" w:type="dxa"/>
            <w:gridSpan w:val="2"/>
            <w:shd w:val="clear" w:color="auto" w:fill="CCC0D9"/>
          </w:tcPr>
          <w:p>
            <w:pPr>
              <w:pStyle w:val="TableParagraph"/>
              <w:spacing w:line="256" w:lineRule="exact" w:before="54"/>
              <w:ind w:left="235"/>
              <w:rPr>
                <w:sz w:val="24"/>
              </w:rPr>
            </w:pPr>
            <w:r>
              <w:rPr>
                <w:spacing w:val="-5"/>
                <w:sz w:val="24"/>
              </w:rPr>
              <w:t>54</w:t>
            </w:r>
          </w:p>
        </w:tc>
        <w:tc>
          <w:tcPr>
            <w:tcW w:w="1622" w:type="dxa"/>
            <w:gridSpan w:val="3"/>
            <w:shd w:val="clear" w:color="auto" w:fill="CCC0D9"/>
          </w:tcPr>
          <w:p>
            <w:pPr>
              <w:pStyle w:val="TableParagraph"/>
              <w:spacing w:line="256" w:lineRule="exact" w:before="54"/>
              <w:ind w:right="70"/>
              <w:jc w:val="right"/>
              <w:rPr>
                <w:sz w:val="24"/>
              </w:rPr>
            </w:pPr>
            <w:r>
              <w:rPr>
                <w:spacing w:val="-5"/>
                <w:sz w:val="24"/>
              </w:rPr>
              <w:t>107</w:t>
            </w:r>
          </w:p>
        </w:tc>
        <w:tc>
          <w:tcPr>
            <w:tcW w:w="3221" w:type="dxa"/>
            <w:gridSpan w:val="5"/>
            <w:vMerge/>
            <w:tcBorders>
              <w:top w:val="nil"/>
              <w:bottom w:val="nil"/>
              <w:right w:val="nil"/>
            </w:tcBorders>
          </w:tcPr>
          <w:p>
            <w:pPr>
              <w:rPr>
                <w:sz w:val="2"/>
                <w:szCs w:val="2"/>
              </w:rPr>
            </w:pPr>
          </w:p>
        </w:tc>
      </w:tr>
      <w:tr>
        <w:trPr>
          <w:trHeight w:val="584" w:hRule="atLeast"/>
        </w:trPr>
        <w:tc>
          <w:tcPr>
            <w:tcW w:w="1585" w:type="dxa"/>
            <w:gridSpan w:val="2"/>
            <w:shd w:val="clear" w:color="auto" w:fill="D9D9D9"/>
          </w:tcPr>
          <w:p>
            <w:pPr>
              <w:pStyle w:val="TableParagraph"/>
              <w:spacing w:before="9"/>
              <w:rPr>
                <w:sz w:val="26"/>
              </w:rPr>
            </w:pPr>
          </w:p>
          <w:p>
            <w:pPr>
              <w:pStyle w:val="TableParagraph"/>
              <w:spacing w:line="256" w:lineRule="exact"/>
              <w:ind w:left="108"/>
              <w:rPr>
                <w:sz w:val="24"/>
              </w:rPr>
            </w:pPr>
            <w:r>
              <w:rPr>
                <w:spacing w:val="-2"/>
                <w:sz w:val="24"/>
              </w:rPr>
              <w:t>Gjithsejt</w:t>
            </w:r>
          </w:p>
        </w:tc>
        <w:tc>
          <w:tcPr>
            <w:tcW w:w="572" w:type="dxa"/>
            <w:shd w:val="clear" w:color="auto" w:fill="C5D9F0"/>
          </w:tcPr>
          <w:p>
            <w:pPr>
              <w:pStyle w:val="TableParagraph"/>
              <w:spacing w:before="9"/>
              <w:rPr>
                <w:sz w:val="26"/>
              </w:rPr>
            </w:pPr>
          </w:p>
          <w:p>
            <w:pPr>
              <w:pStyle w:val="TableParagraph"/>
              <w:spacing w:line="256" w:lineRule="exact"/>
              <w:ind w:left="102"/>
              <w:rPr>
                <w:sz w:val="24"/>
              </w:rPr>
            </w:pPr>
            <w:r>
              <w:rPr>
                <w:spacing w:val="-5"/>
                <w:sz w:val="24"/>
              </w:rPr>
              <w:t>505</w:t>
            </w:r>
          </w:p>
        </w:tc>
        <w:tc>
          <w:tcPr>
            <w:tcW w:w="576" w:type="dxa"/>
            <w:shd w:val="clear" w:color="auto" w:fill="C5D9F0"/>
          </w:tcPr>
          <w:p>
            <w:pPr>
              <w:pStyle w:val="TableParagraph"/>
              <w:spacing w:before="9"/>
              <w:rPr>
                <w:sz w:val="26"/>
              </w:rPr>
            </w:pPr>
          </w:p>
          <w:p>
            <w:pPr>
              <w:pStyle w:val="TableParagraph"/>
              <w:spacing w:line="256" w:lineRule="exact"/>
              <w:ind w:left="108"/>
              <w:rPr>
                <w:sz w:val="24"/>
              </w:rPr>
            </w:pPr>
            <w:r>
              <w:rPr>
                <w:spacing w:val="-5"/>
                <w:sz w:val="24"/>
              </w:rPr>
              <w:t>461</w:t>
            </w:r>
          </w:p>
        </w:tc>
        <w:tc>
          <w:tcPr>
            <w:tcW w:w="755" w:type="dxa"/>
            <w:shd w:val="clear" w:color="auto" w:fill="C5D9F0"/>
          </w:tcPr>
          <w:p>
            <w:pPr>
              <w:pStyle w:val="TableParagraph"/>
              <w:spacing w:before="9"/>
              <w:rPr>
                <w:sz w:val="26"/>
              </w:rPr>
            </w:pPr>
          </w:p>
          <w:p>
            <w:pPr>
              <w:pStyle w:val="TableParagraph"/>
              <w:spacing w:line="256" w:lineRule="exact"/>
              <w:ind w:right="86"/>
              <w:jc w:val="right"/>
              <w:rPr>
                <w:sz w:val="24"/>
              </w:rPr>
            </w:pPr>
            <w:r>
              <w:rPr>
                <w:spacing w:val="-5"/>
                <w:sz w:val="24"/>
              </w:rPr>
              <w:t>966</w:t>
            </w:r>
          </w:p>
        </w:tc>
        <w:tc>
          <w:tcPr>
            <w:tcW w:w="455" w:type="dxa"/>
            <w:shd w:val="clear" w:color="auto" w:fill="F1DBDB"/>
          </w:tcPr>
          <w:p>
            <w:pPr>
              <w:pStyle w:val="TableParagraph"/>
              <w:spacing w:before="9"/>
              <w:rPr>
                <w:sz w:val="26"/>
              </w:rPr>
            </w:pPr>
          </w:p>
          <w:p>
            <w:pPr>
              <w:pStyle w:val="TableParagraph"/>
              <w:spacing w:line="256" w:lineRule="exact"/>
              <w:ind w:left="92" w:right="72"/>
              <w:jc w:val="center"/>
              <w:rPr>
                <w:sz w:val="24"/>
              </w:rPr>
            </w:pPr>
            <w:r>
              <w:rPr>
                <w:spacing w:val="-5"/>
                <w:sz w:val="24"/>
              </w:rPr>
              <w:t>32</w:t>
            </w:r>
          </w:p>
        </w:tc>
        <w:tc>
          <w:tcPr>
            <w:tcW w:w="455" w:type="dxa"/>
            <w:shd w:val="clear" w:color="auto" w:fill="F1DBDB"/>
          </w:tcPr>
          <w:p>
            <w:pPr>
              <w:pStyle w:val="TableParagraph"/>
              <w:spacing w:before="9"/>
              <w:rPr>
                <w:sz w:val="26"/>
              </w:rPr>
            </w:pPr>
          </w:p>
          <w:p>
            <w:pPr>
              <w:pStyle w:val="TableParagraph"/>
              <w:spacing w:line="256" w:lineRule="exact"/>
              <w:ind w:left="108"/>
              <w:rPr>
                <w:sz w:val="24"/>
              </w:rPr>
            </w:pPr>
            <w:r>
              <w:rPr>
                <w:spacing w:val="-5"/>
                <w:sz w:val="24"/>
              </w:rPr>
              <w:t>25</w:t>
            </w:r>
          </w:p>
        </w:tc>
        <w:tc>
          <w:tcPr>
            <w:tcW w:w="575" w:type="dxa"/>
            <w:shd w:val="clear" w:color="auto" w:fill="F1DBDB"/>
          </w:tcPr>
          <w:p>
            <w:pPr>
              <w:pStyle w:val="TableParagraph"/>
              <w:spacing w:before="9"/>
              <w:rPr>
                <w:sz w:val="26"/>
              </w:rPr>
            </w:pPr>
          </w:p>
          <w:p>
            <w:pPr>
              <w:pStyle w:val="TableParagraph"/>
              <w:spacing w:line="256" w:lineRule="exact"/>
              <w:ind w:right="83"/>
              <w:jc w:val="right"/>
              <w:rPr>
                <w:sz w:val="24"/>
              </w:rPr>
            </w:pPr>
            <w:r>
              <w:rPr>
                <w:spacing w:val="-5"/>
                <w:sz w:val="24"/>
              </w:rPr>
              <w:t>57</w:t>
            </w:r>
          </w:p>
        </w:tc>
        <w:tc>
          <w:tcPr>
            <w:tcW w:w="574" w:type="dxa"/>
            <w:gridSpan w:val="2"/>
            <w:shd w:val="clear" w:color="auto" w:fill="CCC0D9"/>
          </w:tcPr>
          <w:p>
            <w:pPr>
              <w:pStyle w:val="TableParagraph"/>
              <w:spacing w:before="9"/>
              <w:rPr>
                <w:sz w:val="26"/>
              </w:rPr>
            </w:pPr>
          </w:p>
          <w:p>
            <w:pPr>
              <w:pStyle w:val="TableParagraph"/>
              <w:spacing w:line="256" w:lineRule="exact"/>
              <w:ind w:left="113"/>
              <w:rPr>
                <w:sz w:val="24"/>
              </w:rPr>
            </w:pPr>
            <w:r>
              <w:rPr>
                <w:spacing w:val="-5"/>
                <w:sz w:val="24"/>
              </w:rPr>
              <w:t>537</w:t>
            </w:r>
          </w:p>
        </w:tc>
        <w:tc>
          <w:tcPr>
            <w:tcW w:w="576" w:type="dxa"/>
            <w:gridSpan w:val="2"/>
            <w:shd w:val="clear" w:color="auto" w:fill="CCC0D9"/>
          </w:tcPr>
          <w:p>
            <w:pPr>
              <w:pStyle w:val="TableParagraph"/>
              <w:spacing w:before="9"/>
              <w:rPr>
                <w:sz w:val="26"/>
              </w:rPr>
            </w:pPr>
          </w:p>
          <w:p>
            <w:pPr>
              <w:pStyle w:val="TableParagraph"/>
              <w:spacing w:line="256" w:lineRule="exact"/>
              <w:ind w:left="115"/>
              <w:rPr>
                <w:sz w:val="24"/>
              </w:rPr>
            </w:pPr>
            <w:r>
              <w:rPr>
                <w:spacing w:val="-5"/>
                <w:sz w:val="24"/>
              </w:rPr>
              <w:t>487</w:t>
            </w:r>
          </w:p>
        </w:tc>
        <w:tc>
          <w:tcPr>
            <w:tcW w:w="1622" w:type="dxa"/>
            <w:gridSpan w:val="3"/>
            <w:shd w:val="clear" w:color="auto" w:fill="CCC0D9"/>
          </w:tcPr>
          <w:p>
            <w:pPr>
              <w:pStyle w:val="TableParagraph"/>
              <w:spacing w:before="9"/>
              <w:rPr>
                <w:sz w:val="26"/>
              </w:rPr>
            </w:pPr>
          </w:p>
          <w:p>
            <w:pPr>
              <w:pStyle w:val="TableParagraph"/>
              <w:spacing w:line="256" w:lineRule="exact"/>
              <w:ind w:left="1049"/>
              <w:rPr>
                <w:sz w:val="24"/>
              </w:rPr>
            </w:pPr>
            <w:r>
              <w:rPr>
                <w:spacing w:val="-4"/>
                <w:sz w:val="24"/>
              </w:rPr>
              <w:t>1024</w:t>
            </w:r>
          </w:p>
        </w:tc>
        <w:tc>
          <w:tcPr>
            <w:tcW w:w="3221" w:type="dxa"/>
            <w:gridSpan w:val="5"/>
            <w:vMerge/>
            <w:tcBorders>
              <w:top w:val="nil"/>
              <w:bottom w:val="nil"/>
              <w:right w:val="nil"/>
            </w:tcBorders>
          </w:tcPr>
          <w:p>
            <w:pPr>
              <w:rPr>
                <w:sz w:val="2"/>
                <w:szCs w:val="2"/>
              </w:rPr>
            </w:pPr>
          </w:p>
        </w:tc>
      </w:tr>
      <w:tr>
        <w:trPr>
          <w:trHeight w:val="1880" w:hRule="atLeast"/>
        </w:trPr>
        <w:tc>
          <w:tcPr>
            <w:tcW w:w="10966" w:type="dxa"/>
            <w:gridSpan w:val="20"/>
            <w:tcBorders>
              <w:top w:val="nil"/>
              <w:left w:val="nil"/>
              <w:right w:val="nil"/>
            </w:tcBorders>
          </w:tcPr>
          <w:p>
            <w:pPr>
              <w:pStyle w:val="TableParagraph"/>
              <w:rPr>
                <w:sz w:val="24"/>
              </w:rPr>
            </w:pPr>
          </w:p>
        </w:tc>
      </w:tr>
      <w:tr>
        <w:trPr>
          <w:trHeight w:val="374" w:hRule="atLeast"/>
        </w:trPr>
        <w:tc>
          <w:tcPr>
            <w:tcW w:w="10966" w:type="dxa"/>
            <w:gridSpan w:val="20"/>
            <w:tcBorders>
              <w:bottom w:val="single" w:sz="4" w:space="0" w:color="000000"/>
            </w:tcBorders>
          </w:tcPr>
          <w:p>
            <w:pPr>
              <w:pStyle w:val="TableParagraph"/>
              <w:spacing w:line="301" w:lineRule="exact" w:before="53"/>
              <w:ind w:left="1245"/>
              <w:rPr>
                <w:b/>
                <w:sz w:val="28"/>
              </w:rPr>
            </w:pPr>
            <w:r>
              <w:rPr>
                <w:b/>
                <w:sz w:val="28"/>
              </w:rPr>
              <w:t>NUMRI</w:t>
            </w:r>
            <w:r>
              <w:rPr>
                <w:b/>
                <w:spacing w:val="-6"/>
                <w:sz w:val="28"/>
              </w:rPr>
              <w:t> </w:t>
            </w:r>
            <w:r>
              <w:rPr>
                <w:b/>
                <w:sz w:val="28"/>
              </w:rPr>
              <w:t>I</w:t>
            </w:r>
            <w:r>
              <w:rPr>
                <w:b/>
                <w:spacing w:val="-4"/>
                <w:sz w:val="28"/>
              </w:rPr>
              <w:t> </w:t>
            </w:r>
            <w:r>
              <w:rPr>
                <w:b/>
                <w:sz w:val="28"/>
              </w:rPr>
              <w:t>NXËNËSVE</w:t>
            </w:r>
            <w:r>
              <w:rPr>
                <w:b/>
                <w:spacing w:val="-4"/>
                <w:sz w:val="28"/>
              </w:rPr>
              <w:t> </w:t>
            </w:r>
            <w:r>
              <w:rPr>
                <w:b/>
                <w:sz w:val="28"/>
              </w:rPr>
              <w:t>NË</w:t>
            </w:r>
            <w:r>
              <w:rPr>
                <w:b/>
                <w:spacing w:val="-4"/>
                <w:sz w:val="28"/>
              </w:rPr>
              <w:t> </w:t>
            </w:r>
            <w:r>
              <w:rPr>
                <w:b/>
                <w:sz w:val="28"/>
              </w:rPr>
              <w:t>FILLIM</w:t>
            </w:r>
            <w:r>
              <w:rPr>
                <w:b/>
                <w:spacing w:val="-5"/>
                <w:sz w:val="28"/>
              </w:rPr>
              <w:t> </w:t>
            </w:r>
            <w:r>
              <w:rPr>
                <w:b/>
                <w:sz w:val="28"/>
              </w:rPr>
              <w:t>Të</w:t>
            </w:r>
            <w:r>
              <w:rPr>
                <w:b/>
                <w:spacing w:val="-7"/>
                <w:sz w:val="28"/>
              </w:rPr>
              <w:t> </w:t>
            </w:r>
            <w:r>
              <w:rPr>
                <w:b/>
                <w:sz w:val="28"/>
              </w:rPr>
              <w:t>VITIT</w:t>
            </w:r>
            <w:r>
              <w:rPr>
                <w:b/>
                <w:spacing w:val="-5"/>
                <w:sz w:val="28"/>
              </w:rPr>
              <w:t> </w:t>
            </w:r>
            <w:r>
              <w:rPr>
                <w:b/>
                <w:sz w:val="28"/>
              </w:rPr>
              <w:t>SHKOLLOR</w:t>
            </w:r>
            <w:r>
              <w:rPr>
                <w:b/>
                <w:spacing w:val="-4"/>
                <w:sz w:val="28"/>
              </w:rPr>
              <w:t> </w:t>
            </w:r>
            <w:r>
              <w:rPr>
                <w:b/>
                <w:spacing w:val="-2"/>
                <w:sz w:val="28"/>
              </w:rPr>
              <w:t>2023/2024</w:t>
            </w:r>
          </w:p>
        </w:tc>
      </w:tr>
      <w:tr>
        <w:trPr>
          <w:trHeight w:val="311" w:hRule="atLeast"/>
        </w:trPr>
        <w:tc>
          <w:tcPr>
            <w:tcW w:w="1458" w:type="dxa"/>
            <w:vMerge w:val="restart"/>
            <w:tcBorders>
              <w:top w:val="single" w:sz="4" w:space="0" w:color="000000"/>
              <w:left w:val="single" w:sz="4" w:space="0" w:color="000000"/>
              <w:right w:val="single" w:sz="4" w:space="0" w:color="000000"/>
            </w:tcBorders>
          </w:tcPr>
          <w:p>
            <w:pPr>
              <w:pStyle w:val="TableParagraph"/>
              <w:rPr>
                <w:sz w:val="26"/>
              </w:rPr>
            </w:pPr>
          </w:p>
          <w:p>
            <w:pPr>
              <w:pStyle w:val="TableParagraph"/>
              <w:rPr>
                <w:sz w:val="26"/>
              </w:rPr>
            </w:pPr>
          </w:p>
          <w:p>
            <w:pPr>
              <w:pStyle w:val="TableParagraph"/>
              <w:rPr>
                <w:sz w:val="26"/>
              </w:rPr>
            </w:pPr>
          </w:p>
          <w:p>
            <w:pPr>
              <w:pStyle w:val="TableParagraph"/>
              <w:spacing w:before="9"/>
              <w:rPr>
                <w:sz w:val="35"/>
              </w:rPr>
            </w:pPr>
          </w:p>
          <w:p>
            <w:pPr>
              <w:pStyle w:val="TableParagraph"/>
              <w:spacing w:line="256" w:lineRule="exact" w:before="1"/>
              <w:ind w:left="230"/>
              <w:rPr>
                <w:sz w:val="24"/>
              </w:rPr>
            </w:pPr>
            <w:r>
              <w:rPr>
                <w:spacing w:val="-2"/>
                <w:sz w:val="24"/>
              </w:rPr>
              <w:t>Krahasimi</w:t>
            </w:r>
          </w:p>
        </w:tc>
        <w:tc>
          <w:tcPr>
            <w:tcW w:w="9508" w:type="dxa"/>
            <w:gridSpan w:val="19"/>
            <w:tcBorders>
              <w:top w:val="single" w:sz="4" w:space="0" w:color="000000"/>
              <w:left w:val="single" w:sz="4" w:space="0" w:color="000000"/>
              <w:bottom w:val="single" w:sz="4" w:space="0" w:color="000000"/>
            </w:tcBorders>
          </w:tcPr>
          <w:p>
            <w:pPr>
              <w:pStyle w:val="TableParagraph"/>
              <w:spacing w:line="252" w:lineRule="exact" w:before="39"/>
              <w:ind w:left="4116" w:right="4085"/>
              <w:jc w:val="center"/>
              <w:rPr>
                <w:sz w:val="24"/>
              </w:rPr>
            </w:pPr>
            <w:r>
              <w:rPr>
                <w:spacing w:val="-2"/>
                <w:sz w:val="24"/>
              </w:rPr>
              <w:t>SHKOLLAT</w:t>
            </w:r>
          </w:p>
        </w:tc>
      </w:tr>
      <w:tr>
        <w:trPr>
          <w:trHeight w:val="899" w:hRule="atLeast"/>
        </w:trPr>
        <w:tc>
          <w:tcPr>
            <w:tcW w:w="1458" w:type="dxa"/>
            <w:vMerge/>
            <w:tcBorders>
              <w:top w:val="nil"/>
              <w:left w:val="single" w:sz="4" w:space="0" w:color="000000"/>
              <w:right w:val="single" w:sz="4" w:space="0" w:color="000000"/>
            </w:tcBorders>
          </w:tcPr>
          <w:p>
            <w:pPr>
              <w:rPr>
                <w:sz w:val="2"/>
                <w:szCs w:val="2"/>
              </w:rPr>
            </w:pPr>
          </w:p>
        </w:tc>
        <w:tc>
          <w:tcPr>
            <w:tcW w:w="2030" w:type="dxa"/>
            <w:gridSpan w:val="4"/>
            <w:tcBorders>
              <w:top w:val="single" w:sz="4" w:space="0" w:color="000000"/>
              <w:left w:val="single" w:sz="4" w:space="0" w:color="000000"/>
              <w:bottom w:val="single" w:sz="4" w:space="0" w:color="000000"/>
              <w:right w:val="single" w:sz="4" w:space="0" w:color="000000"/>
            </w:tcBorders>
          </w:tcPr>
          <w:p>
            <w:pPr>
              <w:pStyle w:val="TableParagraph"/>
              <w:spacing w:before="7"/>
              <w:rPr>
                <w:sz w:val="27"/>
              </w:rPr>
            </w:pPr>
          </w:p>
          <w:p>
            <w:pPr>
              <w:pStyle w:val="TableParagraph"/>
              <w:spacing w:before="1"/>
              <w:ind w:left="457" w:right="444"/>
              <w:jc w:val="center"/>
              <w:rPr>
                <w:rFonts w:ascii="Calibri"/>
                <w:sz w:val="24"/>
              </w:rPr>
            </w:pPr>
            <w:r>
              <w:rPr>
                <w:rFonts w:ascii="Calibri"/>
                <w:spacing w:val="-2"/>
                <w:sz w:val="24"/>
              </w:rPr>
              <w:t>SHFMU</w:t>
            </w:r>
          </w:p>
          <w:p>
            <w:pPr>
              <w:pStyle w:val="TableParagraph"/>
              <w:spacing w:line="268" w:lineRule="exact"/>
              <w:ind w:left="459" w:right="444"/>
              <w:jc w:val="center"/>
              <w:rPr>
                <w:rFonts w:ascii="Calibri" w:hAnsi="Calibri"/>
                <w:sz w:val="24"/>
              </w:rPr>
            </w:pPr>
            <w:r>
              <w:rPr>
                <w:rFonts w:ascii="Calibri" w:hAnsi="Calibri"/>
                <w:sz w:val="24"/>
              </w:rPr>
              <w:t>"Ilaz</w:t>
            </w:r>
            <w:r>
              <w:rPr>
                <w:rFonts w:ascii="Calibri" w:hAnsi="Calibri"/>
                <w:spacing w:val="1"/>
                <w:sz w:val="24"/>
              </w:rPr>
              <w:t> </w:t>
            </w:r>
            <w:r>
              <w:rPr>
                <w:rFonts w:ascii="Calibri" w:hAnsi="Calibri"/>
                <w:spacing w:val="-2"/>
                <w:sz w:val="24"/>
              </w:rPr>
              <w:t>Thaçi"</w:t>
            </w:r>
          </w:p>
        </w:tc>
        <w:tc>
          <w:tcPr>
            <w:tcW w:w="148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5"/>
              <w:ind w:left="520" w:right="352" w:hanging="137"/>
              <w:rPr>
                <w:rFonts w:ascii="Calibri"/>
                <w:sz w:val="24"/>
              </w:rPr>
            </w:pPr>
            <w:r>
              <w:rPr>
                <w:rFonts w:ascii="Calibri"/>
                <w:spacing w:val="-2"/>
                <w:sz w:val="24"/>
              </w:rPr>
              <w:t>SHFMU </w:t>
            </w:r>
            <w:r>
              <w:rPr>
                <w:rFonts w:ascii="Calibri"/>
                <w:sz w:val="24"/>
              </w:rPr>
              <w:t>"K. e</w:t>
            </w:r>
          </w:p>
          <w:p>
            <w:pPr>
              <w:pStyle w:val="TableParagraph"/>
              <w:spacing w:line="268" w:lineRule="exact"/>
              <w:ind w:left="319"/>
              <w:rPr>
                <w:rFonts w:ascii="Calibri" w:hAnsi="Calibri"/>
                <w:sz w:val="24"/>
              </w:rPr>
            </w:pPr>
            <w:r>
              <w:rPr>
                <w:rFonts w:ascii="Calibri" w:hAnsi="Calibri"/>
                <w:spacing w:val="-2"/>
                <w:sz w:val="24"/>
              </w:rPr>
              <w:t>Diturisë"</w:t>
            </w:r>
          </w:p>
        </w:tc>
        <w:tc>
          <w:tcPr>
            <w:tcW w:w="1482" w:type="dxa"/>
            <w:gridSpan w:val="5"/>
            <w:tcBorders>
              <w:top w:val="single" w:sz="4" w:space="0" w:color="000000"/>
              <w:left w:val="single" w:sz="4" w:space="0" w:color="000000"/>
              <w:bottom w:val="single" w:sz="4" w:space="0" w:color="000000"/>
              <w:right w:val="single" w:sz="4" w:space="0" w:color="000000"/>
            </w:tcBorders>
          </w:tcPr>
          <w:p>
            <w:pPr>
              <w:pStyle w:val="TableParagraph"/>
              <w:spacing w:before="7"/>
              <w:rPr>
                <w:sz w:val="27"/>
              </w:rPr>
            </w:pPr>
          </w:p>
          <w:p>
            <w:pPr>
              <w:pStyle w:val="TableParagraph"/>
              <w:spacing w:before="1"/>
              <w:ind w:left="110" w:right="73"/>
              <w:jc w:val="center"/>
              <w:rPr>
                <w:rFonts w:ascii="Calibri"/>
                <w:sz w:val="24"/>
              </w:rPr>
            </w:pPr>
            <w:r>
              <w:rPr>
                <w:rFonts w:ascii="Calibri"/>
                <w:spacing w:val="-2"/>
                <w:sz w:val="24"/>
              </w:rPr>
              <w:t>SHFMU</w:t>
            </w:r>
          </w:p>
          <w:p>
            <w:pPr>
              <w:pStyle w:val="TableParagraph"/>
              <w:spacing w:line="268" w:lineRule="exact"/>
              <w:ind w:left="111" w:right="73"/>
              <w:jc w:val="center"/>
              <w:rPr>
                <w:rFonts w:ascii="Calibri"/>
                <w:sz w:val="24"/>
              </w:rPr>
            </w:pPr>
            <w:r>
              <w:rPr>
                <w:rFonts w:ascii="Calibri"/>
                <w:sz w:val="24"/>
              </w:rPr>
              <w:t>"Veli </w:t>
            </w:r>
            <w:r>
              <w:rPr>
                <w:rFonts w:ascii="Calibri"/>
                <w:spacing w:val="-2"/>
                <w:sz w:val="24"/>
              </w:rPr>
              <w:t>Ballazhi</w:t>
            </w:r>
          </w:p>
        </w:tc>
        <w:tc>
          <w:tcPr>
            <w:tcW w:w="2455" w:type="dxa"/>
            <w:gridSpan w:val="4"/>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1"/>
              <w:rPr>
                <w:sz w:val="29"/>
              </w:rPr>
            </w:pPr>
          </w:p>
          <w:p>
            <w:pPr>
              <w:pStyle w:val="TableParagraph"/>
              <w:spacing w:line="268" w:lineRule="exact"/>
              <w:ind w:left="395"/>
              <w:rPr>
                <w:rFonts w:ascii="Calibri"/>
                <w:sz w:val="24"/>
              </w:rPr>
            </w:pPr>
            <w:r>
              <w:rPr>
                <w:rFonts w:ascii="Calibri"/>
                <w:sz w:val="24"/>
              </w:rPr>
              <w:t>SHML</w:t>
            </w:r>
            <w:r>
              <w:rPr>
                <w:rFonts w:ascii="Calibri"/>
                <w:spacing w:val="-2"/>
                <w:sz w:val="24"/>
              </w:rPr>
              <w:t> "Dardania"</w:t>
            </w:r>
          </w:p>
        </w:tc>
        <w:tc>
          <w:tcPr>
            <w:tcW w:w="2056" w:type="dxa"/>
            <w:gridSpan w:val="3"/>
            <w:tcBorders>
              <w:top w:val="single" w:sz="4" w:space="0" w:color="000000"/>
              <w:left w:val="single" w:sz="4" w:space="0" w:color="000000"/>
              <w:bottom w:val="single" w:sz="4" w:space="0" w:color="000000"/>
            </w:tcBorders>
          </w:tcPr>
          <w:p>
            <w:pPr>
              <w:pStyle w:val="TableParagraph"/>
              <w:rPr>
                <w:sz w:val="24"/>
              </w:rPr>
            </w:pPr>
          </w:p>
          <w:p>
            <w:pPr>
              <w:pStyle w:val="TableParagraph"/>
              <w:spacing w:before="1"/>
              <w:rPr>
                <w:sz w:val="29"/>
              </w:rPr>
            </w:pPr>
          </w:p>
          <w:p>
            <w:pPr>
              <w:pStyle w:val="TableParagraph"/>
              <w:spacing w:line="268" w:lineRule="exact"/>
              <w:ind w:left="633"/>
              <w:rPr>
                <w:rFonts w:ascii="Calibri"/>
                <w:sz w:val="24"/>
              </w:rPr>
            </w:pPr>
            <w:r>
              <w:rPr>
                <w:rFonts w:ascii="Calibri"/>
                <w:spacing w:val="-2"/>
                <w:sz w:val="24"/>
              </w:rPr>
              <w:t>Gjithsejt</w:t>
            </w:r>
          </w:p>
        </w:tc>
      </w:tr>
      <w:tr>
        <w:trPr>
          <w:trHeight w:val="335" w:hRule="atLeast"/>
        </w:trPr>
        <w:tc>
          <w:tcPr>
            <w:tcW w:w="1458" w:type="dxa"/>
            <w:vMerge/>
            <w:tcBorders>
              <w:top w:val="nil"/>
              <w:left w:val="single" w:sz="4" w:space="0" w:color="000000"/>
              <w:right w:val="single" w:sz="4" w:space="0" w:color="000000"/>
            </w:tcBorders>
          </w:tcPr>
          <w:p>
            <w:pPr>
              <w:rPr>
                <w:sz w:val="2"/>
                <w:szCs w:val="2"/>
              </w:rPr>
            </w:pPr>
          </w:p>
        </w:tc>
        <w:tc>
          <w:tcPr>
            <w:tcW w:w="699" w:type="dxa"/>
            <w:gridSpan w:val="2"/>
            <w:tcBorders>
              <w:top w:val="single" w:sz="4" w:space="0" w:color="000000"/>
              <w:left w:val="single" w:sz="4" w:space="0" w:color="000000"/>
              <w:right w:val="single" w:sz="4" w:space="0" w:color="000000"/>
            </w:tcBorders>
          </w:tcPr>
          <w:p>
            <w:pPr>
              <w:pStyle w:val="TableParagraph"/>
              <w:spacing w:line="273" w:lineRule="exact" w:before="42"/>
              <w:ind w:left="109"/>
              <w:rPr>
                <w:rFonts w:ascii="Calibri"/>
                <w:sz w:val="24"/>
              </w:rPr>
            </w:pPr>
            <w:r>
              <w:rPr>
                <w:rFonts w:ascii="Calibri"/>
                <w:sz w:val="24"/>
              </w:rPr>
              <w:t>M</w:t>
            </w:r>
          </w:p>
        </w:tc>
        <w:tc>
          <w:tcPr>
            <w:tcW w:w="576" w:type="dxa"/>
            <w:tcBorders>
              <w:top w:val="single" w:sz="4" w:space="0" w:color="000000"/>
              <w:left w:val="single" w:sz="4" w:space="0" w:color="000000"/>
              <w:right w:val="single" w:sz="4" w:space="0" w:color="000000"/>
            </w:tcBorders>
          </w:tcPr>
          <w:p>
            <w:pPr>
              <w:pStyle w:val="TableParagraph"/>
              <w:spacing w:line="273" w:lineRule="exact" w:before="42"/>
              <w:ind w:left="113"/>
              <w:rPr>
                <w:rFonts w:ascii="Calibri"/>
                <w:sz w:val="24"/>
              </w:rPr>
            </w:pPr>
            <w:r>
              <w:rPr>
                <w:rFonts w:ascii="Calibri"/>
                <w:sz w:val="24"/>
              </w:rPr>
              <w:t>F</w:t>
            </w:r>
          </w:p>
        </w:tc>
        <w:tc>
          <w:tcPr>
            <w:tcW w:w="755" w:type="dxa"/>
            <w:tcBorders>
              <w:top w:val="single" w:sz="4" w:space="0" w:color="000000"/>
              <w:left w:val="single" w:sz="4" w:space="0" w:color="000000"/>
              <w:right w:val="single" w:sz="4" w:space="0" w:color="000000"/>
            </w:tcBorders>
          </w:tcPr>
          <w:p>
            <w:pPr>
              <w:pStyle w:val="TableParagraph"/>
              <w:spacing w:line="273" w:lineRule="exact" w:before="42"/>
              <w:ind w:left="114"/>
              <w:rPr>
                <w:rFonts w:ascii="Calibri"/>
                <w:sz w:val="24"/>
              </w:rPr>
            </w:pPr>
            <w:r>
              <w:rPr>
                <w:rFonts w:ascii="Calibri"/>
                <w:spacing w:val="-5"/>
                <w:sz w:val="24"/>
              </w:rPr>
              <w:t>GJ</w:t>
            </w:r>
          </w:p>
        </w:tc>
        <w:tc>
          <w:tcPr>
            <w:tcW w:w="455" w:type="dxa"/>
            <w:tcBorders>
              <w:top w:val="single" w:sz="4" w:space="0" w:color="000000"/>
              <w:left w:val="single" w:sz="4" w:space="0" w:color="000000"/>
              <w:right w:val="single" w:sz="4" w:space="0" w:color="000000"/>
            </w:tcBorders>
          </w:tcPr>
          <w:p>
            <w:pPr>
              <w:pStyle w:val="TableParagraph"/>
              <w:spacing w:line="273" w:lineRule="exact" w:before="42"/>
              <w:ind w:right="12"/>
              <w:jc w:val="center"/>
              <w:rPr>
                <w:rFonts w:ascii="Calibri"/>
                <w:sz w:val="24"/>
              </w:rPr>
            </w:pPr>
            <w:r>
              <w:rPr>
                <w:rFonts w:ascii="Calibri"/>
                <w:sz w:val="24"/>
              </w:rPr>
              <w:t>M</w:t>
            </w:r>
          </w:p>
        </w:tc>
        <w:tc>
          <w:tcPr>
            <w:tcW w:w="455" w:type="dxa"/>
            <w:tcBorders>
              <w:top w:val="single" w:sz="4" w:space="0" w:color="000000"/>
              <w:left w:val="single" w:sz="4" w:space="0" w:color="000000"/>
              <w:right w:val="single" w:sz="4" w:space="0" w:color="000000"/>
            </w:tcBorders>
          </w:tcPr>
          <w:p>
            <w:pPr>
              <w:pStyle w:val="TableParagraph"/>
              <w:spacing w:line="273" w:lineRule="exact" w:before="42"/>
              <w:ind w:left="113"/>
              <w:rPr>
                <w:rFonts w:ascii="Calibri"/>
                <w:sz w:val="24"/>
              </w:rPr>
            </w:pPr>
            <w:r>
              <w:rPr>
                <w:rFonts w:ascii="Calibri"/>
                <w:sz w:val="24"/>
              </w:rPr>
              <w:t>F</w:t>
            </w:r>
          </w:p>
        </w:tc>
        <w:tc>
          <w:tcPr>
            <w:tcW w:w="575" w:type="dxa"/>
            <w:tcBorders>
              <w:top w:val="single" w:sz="4" w:space="0" w:color="000000"/>
              <w:left w:val="single" w:sz="4" w:space="0" w:color="000000"/>
              <w:right w:val="single" w:sz="4" w:space="0" w:color="000000"/>
            </w:tcBorders>
          </w:tcPr>
          <w:p>
            <w:pPr>
              <w:pStyle w:val="TableParagraph"/>
              <w:spacing w:line="273" w:lineRule="exact" w:before="42"/>
              <w:ind w:left="114"/>
              <w:rPr>
                <w:rFonts w:ascii="Calibri"/>
                <w:sz w:val="24"/>
              </w:rPr>
            </w:pPr>
            <w:r>
              <w:rPr>
                <w:rFonts w:ascii="Calibri"/>
                <w:spacing w:val="-5"/>
                <w:sz w:val="24"/>
              </w:rPr>
              <w:t>GJ</w:t>
            </w:r>
          </w:p>
        </w:tc>
        <w:tc>
          <w:tcPr>
            <w:tcW w:w="455" w:type="dxa"/>
            <w:tcBorders>
              <w:top w:val="single" w:sz="4" w:space="0" w:color="000000"/>
              <w:left w:val="single" w:sz="4" w:space="0" w:color="000000"/>
              <w:right w:val="single" w:sz="4" w:space="0" w:color="000000"/>
            </w:tcBorders>
          </w:tcPr>
          <w:p>
            <w:pPr>
              <w:pStyle w:val="TableParagraph"/>
              <w:spacing w:line="273" w:lineRule="exact" w:before="42"/>
              <w:ind w:left="118"/>
              <w:rPr>
                <w:rFonts w:ascii="Calibri"/>
                <w:sz w:val="24"/>
              </w:rPr>
            </w:pPr>
            <w:r>
              <w:rPr>
                <w:rFonts w:ascii="Calibri"/>
                <w:sz w:val="24"/>
              </w:rPr>
              <w:t>M</w:t>
            </w:r>
          </w:p>
        </w:tc>
        <w:tc>
          <w:tcPr>
            <w:tcW w:w="454" w:type="dxa"/>
            <w:gridSpan w:val="2"/>
            <w:tcBorders>
              <w:top w:val="single" w:sz="4" w:space="0" w:color="000000"/>
              <w:left w:val="single" w:sz="4" w:space="0" w:color="000000"/>
              <w:right w:val="single" w:sz="4" w:space="0" w:color="000000"/>
            </w:tcBorders>
          </w:tcPr>
          <w:p>
            <w:pPr>
              <w:pStyle w:val="TableParagraph"/>
              <w:spacing w:line="273" w:lineRule="exact" w:before="42"/>
              <w:ind w:left="119"/>
              <w:rPr>
                <w:rFonts w:ascii="Calibri"/>
                <w:sz w:val="24"/>
              </w:rPr>
            </w:pPr>
            <w:r>
              <w:rPr>
                <w:rFonts w:ascii="Calibri"/>
                <w:sz w:val="24"/>
              </w:rPr>
              <w:t>F</w:t>
            </w:r>
          </w:p>
        </w:tc>
        <w:tc>
          <w:tcPr>
            <w:tcW w:w="573" w:type="dxa"/>
            <w:gridSpan w:val="2"/>
            <w:tcBorders>
              <w:top w:val="single" w:sz="4" w:space="0" w:color="000000"/>
              <w:left w:val="single" w:sz="4" w:space="0" w:color="000000"/>
              <w:right w:val="single" w:sz="4" w:space="0" w:color="000000"/>
            </w:tcBorders>
          </w:tcPr>
          <w:p>
            <w:pPr>
              <w:pStyle w:val="TableParagraph"/>
              <w:spacing w:line="273" w:lineRule="exact" w:before="42"/>
              <w:ind w:left="121"/>
              <w:rPr>
                <w:rFonts w:ascii="Calibri"/>
                <w:sz w:val="24"/>
              </w:rPr>
            </w:pPr>
            <w:r>
              <w:rPr>
                <w:rFonts w:ascii="Calibri"/>
                <w:spacing w:val="-5"/>
                <w:sz w:val="24"/>
              </w:rPr>
              <w:t>GJ</w:t>
            </w:r>
          </w:p>
        </w:tc>
        <w:tc>
          <w:tcPr>
            <w:tcW w:w="1006" w:type="dxa"/>
            <w:tcBorders>
              <w:top w:val="single" w:sz="4" w:space="0" w:color="000000"/>
              <w:left w:val="single" w:sz="4" w:space="0" w:color="000000"/>
              <w:right w:val="single" w:sz="4" w:space="0" w:color="000000"/>
            </w:tcBorders>
          </w:tcPr>
          <w:p>
            <w:pPr>
              <w:pStyle w:val="TableParagraph"/>
              <w:spacing w:line="273" w:lineRule="exact" w:before="42"/>
              <w:ind w:left="124"/>
              <w:rPr>
                <w:rFonts w:ascii="Calibri"/>
                <w:sz w:val="24"/>
              </w:rPr>
            </w:pPr>
            <w:r>
              <w:rPr>
                <w:rFonts w:ascii="Calibri"/>
                <w:sz w:val="24"/>
              </w:rPr>
              <w:t>M</w:t>
            </w:r>
          </w:p>
        </w:tc>
        <w:tc>
          <w:tcPr>
            <w:tcW w:w="677" w:type="dxa"/>
            <w:gridSpan w:val="2"/>
            <w:tcBorders>
              <w:top w:val="single" w:sz="4" w:space="0" w:color="000000"/>
              <w:left w:val="single" w:sz="4" w:space="0" w:color="000000"/>
              <w:right w:val="single" w:sz="4" w:space="0" w:color="000000"/>
            </w:tcBorders>
          </w:tcPr>
          <w:p>
            <w:pPr>
              <w:pStyle w:val="TableParagraph"/>
              <w:spacing w:line="273" w:lineRule="exact" w:before="42"/>
              <w:ind w:left="126"/>
              <w:rPr>
                <w:rFonts w:ascii="Calibri"/>
                <w:sz w:val="24"/>
              </w:rPr>
            </w:pPr>
            <w:r>
              <w:rPr>
                <w:rFonts w:ascii="Calibri"/>
                <w:sz w:val="24"/>
              </w:rPr>
              <w:t>F</w:t>
            </w:r>
          </w:p>
        </w:tc>
        <w:tc>
          <w:tcPr>
            <w:tcW w:w="772" w:type="dxa"/>
            <w:tcBorders>
              <w:top w:val="single" w:sz="4" w:space="0" w:color="000000"/>
              <w:left w:val="single" w:sz="4" w:space="0" w:color="000000"/>
              <w:right w:val="single" w:sz="4" w:space="0" w:color="000000"/>
            </w:tcBorders>
          </w:tcPr>
          <w:p>
            <w:pPr>
              <w:pStyle w:val="TableParagraph"/>
              <w:spacing w:line="273" w:lineRule="exact" w:before="42"/>
              <w:ind w:left="129"/>
              <w:rPr>
                <w:rFonts w:ascii="Calibri"/>
                <w:sz w:val="24"/>
              </w:rPr>
            </w:pPr>
            <w:r>
              <w:rPr>
                <w:rFonts w:ascii="Calibri"/>
                <w:spacing w:val="-5"/>
                <w:sz w:val="24"/>
              </w:rPr>
              <w:t>GJ</w:t>
            </w:r>
          </w:p>
        </w:tc>
        <w:tc>
          <w:tcPr>
            <w:tcW w:w="772" w:type="dxa"/>
            <w:tcBorders>
              <w:top w:val="single" w:sz="4" w:space="0" w:color="000000"/>
              <w:left w:val="single" w:sz="4" w:space="0" w:color="000000"/>
              <w:right w:val="single" w:sz="4" w:space="0" w:color="000000"/>
            </w:tcBorders>
          </w:tcPr>
          <w:p>
            <w:pPr>
              <w:pStyle w:val="TableParagraph"/>
              <w:spacing w:line="273" w:lineRule="exact" w:before="42"/>
              <w:ind w:left="127"/>
              <w:rPr>
                <w:rFonts w:ascii="Calibri"/>
                <w:sz w:val="24"/>
              </w:rPr>
            </w:pPr>
            <w:r>
              <w:rPr>
                <w:rFonts w:ascii="Calibri"/>
                <w:sz w:val="24"/>
              </w:rPr>
              <w:t>M</w:t>
            </w:r>
          </w:p>
        </w:tc>
        <w:tc>
          <w:tcPr>
            <w:tcW w:w="582" w:type="dxa"/>
            <w:tcBorders>
              <w:top w:val="single" w:sz="4" w:space="0" w:color="000000"/>
              <w:left w:val="single" w:sz="4" w:space="0" w:color="000000"/>
              <w:right w:val="single" w:sz="4" w:space="0" w:color="000000"/>
            </w:tcBorders>
          </w:tcPr>
          <w:p>
            <w:pPr>
              <w:pStyle w:val="TableParagraph"/>
              <w:spacing w:line="273" w:lineRule="exact" w:before="42"/>
              <w:ind w:left="131"/>
              <w:rPr>
                <w:rFonts w:ascii="Calibri"/>
                <w:sz w:val="24"/>
              </w:rPr>
            </w:pPr>
            <w:r>
              <w:rPr>
                <w:rFonts w:ascii="Calibri"/>
                <w:sz w:val="24"/>
              </w:rPr>
              <w:t>F</w:t>
            </w:r>
          </w:p>
        </w:tc>
        <w:tc>
          <w:tcPr>
            <w:tcW w:w="702" w:type="dxa"/>
            <w:tcBorders>
              <w:top w:val="single" w:sz="4" w:space="0" w:color="000000"/>
              <w:left w:val="single" w:sz="4" w:space="0" w:color="000000"/>
            </w:tcBorders>
          </w:tcPr>
          <w:p>
            <w:pPr>
              <w:pStyle w:val="TableParagraph"/>
              <w:spacing w:line="273" w:lineRule="exact" w:before="42"/>
              <w:ind w:left="127"/>
              <w:rPr>
                <w:rFonts w:ascii="Calibri"/>
                <w:sz w:val="24"/>
              </w:rPr>
            </w:pPr>
            <w:r>
              <w:rPr>
                <w:rFonts w:ascii="Calibri"/>
                <w:spacing w:val="-5"/>
                <w:sz w:val="24"/>
              </w:rPr>
              <w:t>GJ</w:t>
            </w:r>
          </w:p>
        </w:tc>
      </w:tr>
      <w:tr>
        <w:trPr>
          <w:trHeight w:val="330" w:hRule="atLeast"/>
        </w:trPr>
        <w:tc>
          <w:tcPr>
            <w:tcW w:w="1458" w:type="dxa"/>
            <w:shd w:val="clear" w:color="auto" w:fill="D9D9D9"/>
          </w:tcPr>
          <w:p>
            <w:pPr>
              <w:pStyle w:val="TableParagraph"/>
              <w:spacing w:line="256" w:lineRule="exact" w:before="54"/>
              <w:ind w:left="108"/>
              <w:rPr>
                <w:sz w:val="24"/>
              </w:rPr>
            </w:pPr>
            <w:r>
              <w:rPr>
                <w:spacing w:val="-2"/>
                <w:sz w:val="24"/>
              </w:rPr>
              <w:t>2022/2023</w:t>
            </w:r>
          </w:p>
        </w:tc>
        <w:tc>
          <w:tcPr>
            <w:tcW w:w="699" w:type="dxa"/>
            <w:gridSpan w:val="2"/>
            <w:shd w:val="clear" w:color="auto" w:fill="C5D9F0"/>
          </w:tcPr>
          <w:p>
            <w:pPr>
              <w:pStyle w:val="TableParagraph"/>
              <w:spacing w:line="256" w:lineRule="exact" w:before="54"/>
              <w:ind w:left="231"/>
              <w:rPr>
                <w:sz w:val="24"/>
              </w:rPr>
            </w:pPr>
            <w:r>
              <w:rPr>
                <w:spacing w:val="-5"/>
                <w:sz w:val="24"/>
              </w:rPr>
              <w:t>559</w:t>
            </w:r>
          </w:p>
        </w:tc>
        <w:tc>
          <w:tcPr>
            <w:tcW w:w="576" w:type="dxa"/>
            <w:shd w:val="clear" w:color="auto" w:fill="C5D9F0"/>
          </w:tcPr>
          <w:p>
            <w:pPr>
              <w:pStyle w:val="TableParagraph"/>
              <w:spacing w:line="256" w:lineRule="exact" w:before="54"/>
              <w:ind w:left="108"/>
              <w:rPr>
                <w:sz w:val="24"/>
              </w:rPr>
            </w:pPr>
            <w:r>
              <w:rPr>
                <w:spacing w:val="-5"/>
                <w:sz w:val="24"/>
              </w:rPr>
              <w:t>505</w:t>
            </w:r>
          </w:p>
        </w:tc>
        <w:tc>
          <w:tcPr>
            <w:tcW w:w="755" w:type="dxa"/>
            <w:shd w:val="clear" w:color="auto" w:fill="C5D9F0"/>
          </w:tcPr>
          <w:p>
            <w:pPr>
              <w:pStyle w:val="TableParagraph"/>
              <w:spacing w:line="256" w:lineRule="exact" w:before="54"/>
              <w:ind w:left="166"/>
              <w:rPr>
                <w:sz w:val="24"/>
              </w:rPr>
            </w:pPr>
            <w:r>
              <w:rPr>
                <w:spacing w:val="-4"/>
                <w:sz w:val="24"/>
              </w:rPr>
              <w:t>1064</w:t>
            </w:r>
          </w:p>
        </w:tc>
        <w:tc>
          <w:tcPr>
            <w:tcW w:w="455" w:type="dxa"/>
            <w:shd w:val="clear" w:color="auto" w:fill="F1DBDB"/>
          </w:tcPr>
          <w:p>
            <w:pPr>
              <w:pStyle w:val="TableParagraph"/>
              <w:spacing w:line="256" w:lineRule="exact" w:before="54"/>
              <w:ind w:left="92" w:right="72"/>
              <w:jc w:val="center"/>
              <w:rPr>
                <w:sz w:val="24"/>
              </w:rPr>
            </w:pPr>
            <w:r>
              <w:rPr>
                <w:spacing w:val="-5"/>
                <w:sz w:val="24"/>
              </w:rPr>
              <w:t>95</w:t>
            </w:r>
          </w:p>
        </w:tc>
        <w:tc>
          <w:tcPr>
            <w:tcW w:w="455" w:type="dxa"/>
            <w:shd w:val="clear" w:color="auto" w:fill="F1DBDB"/>
          </w:tcPr>
          <w:p>
            <w:pPr>
              <w:pStyle w:val="TableParagraph"/>
              <w:spacing w:line="256" w:lineRule="exact" w:before="54"/>
              <w:ind w:left="108"/>
              <w:rPr>
                <w:sz w:val="24"/>
              </w:rPr>
            </w:pPr>
            <w:r>
              <w:rPr>
                <w:spacing w:val="-5"/>
                <w:sz w:val="24"/>
              </w:rPr>
              <w:t>89</w:t>
            </w:r>
          </w:p>
        </w:tc>
        <w:tc>
          <w:tcPr>
            <w:tcW w:w="575" w:type="dxa"/>
            <w:shd w:val="clear" w:color="auto" w:fill="F1DBDB"/>
          </w:tcPr>
          <w:p>
            <w:pPr>
              <w:pStyle w:val="TableParagraph"/>
              <w:spacing w:line="256" w:lineRule="exact" w:before="54"/>
              <w:ind w:left="109"/>
              <w:rPr>
                <w:sz w:val="24"/>
              </w:rPr>
            </w:pPr>
            <w:r>
              <w:rPr>
                <w:spacing w:val="-5"/>
                <w:sz w:val="24"/>
              </w:rPr>
              <w:t>184</w:t>
            </w:r>
          </w:p>
        </w:tc>
        <w:tc>
          <w:tcPr>
            <w:tcW w:w="455" w:type="dxa"/>
            <w:shd w:val="clear" w:color="auto" w:fill="D5E2BB"/>
          </w:tcPr>
          <w:p>
            <w:pPr>
              <w:pStyle w:val="TableParagraph"/>
              <w:spacing w:line="275" w:lineRule="exact"/>
              <w:ind w:left="113"/>
              <w:rPr>
                <w:sz w:val="24"/>
              </w:rPr>
            </w:pPr>
            <w:r>
              <w:rPr>
                <w:spacing w:val="-5"/>
                <w:sz w:val="24"/>
              </w:rPr>
              <w:t>78</w:t>
            </w:r>
          </w:p>
        </w:tc>
        <w:tc>
          <w:tcPr>
            <w:tcW w:w="454" w:type="dxa"/>
            <w:gridSpan w:val="2"/>
            <w:shd w:val="clear" w:color="auto" w:fill="D5E2BB"/>
          </w:tcPr>
          <w:p>
            <w:pPr>
              <w:pStyle w:val="TableParagraph"/>
              <w:spacing w:line="275" w:lineRule="exact"/>
              <w:ind w:left="114"/>
              <w:rPr>
                <w:sz w:val="24"/>
              </w:rPr>
            </w:pPr>
            <w:r>
              <w:rPr>
                <w:spacing w:val="-5"/>
                <w:sz w:val="24"/>
              </w:rPr>
              <w:t>61</w:t>
            </w:r>
          </w:p>
        </w:tc>
        <w:tc>
          <w:tcPr>
            <w:tcW w:w="573" w:type="dxa"/>
            <w:gridSpan w:val="2"/>
            <w:shd w:val="clear" w:color="auto" w:fill="D5E2BB"/>
          </w:tcPr>
          <w:p>
            <w:pPr>
              <w:pStyle w:val="TableParagraph"/>
              <w:spacing w:line="275" w:lineRule="exact"/>
              <w:ind w:left="116"/>
              <w:rPr>
                <w:sz w:val="24"/>
              </w:rPr>
            </w:pPr>
            <w:r>
              <w:rPr>
                <w:spacing w:val="-5"/>
                <w:sz w:val="24"/>
              </w:rPr>
              <w:t>139</w:t>
            </w:r>
          </w:p>
        </w:tc>
        <w:tc>
          <w:tcPr>
            <w:tcW w:w="1006" w:type="dxa"/>
            <w:shd w:val="clear" w:color="auto" w:fill="CCC0D9"/>
          </w:tcPr>
          <w:p>
            <w:pPr>
              <w:pStyle w:val="TableParagraph"/>
              <w:spacing w:line="275" w:lineRule="exact"/>
              <w:ind w:right="72"/>
              <w:jc w:val="right"/>
              <w:rPr>
                <w:sz w:val="24"/>
              </w:rPr>
            </w:pPr>
            <w:r>
              <w:rPr>
                <w:spacing w:val="-5"/>
                <w:sz w:val="24"/>
              </w:rPr>
              <w:t>150</w:t>
            </w:r>
          </w:p>
        </w:tc>
        <w:tc>
          <w:tcPr>
            <w:tcW w:w="677" w:type="dxa"/>
            <w:gridSpan w:val="2"/>
            <w:shd w:val="clear" w:color="auto" w:fill="CCC0D9"/>
          </w:tcPr>
          <w:p>
            <w:pPr>
              <w:pStyle w:val="TableParagraph"/>
              <w:spacing w:line="275" w:lineRule="exact"/>
              <w:ind w:left="224"/>
              <w:rPr>
                <w:sz w:val="24"/>
              </w:rPr>
            </w:pPr>
            <w:r>
              <w:rPr>
                <w:spacing w:val="-5"/>
                <w:sz w:val="24"/>
              </w:rPr>
              <w:t>145</w:t>
            </w:r>
          </w:p>
        </w:tc>
        <w:tc>
          <w:tcPr>
            <w:tcW w:w="772" w:type="dxa"/>
            <w:shd w:val="clear" w:color="auto" w:fill="CCC0D9"/>
          </w:tcPr>
          <w:p>
            <w:pPr>
              <w:pStyle w:val="TableParagraph"/>
              <w:spacing w:line="275" w:lineRule="exact"/>
              <w:ind w:right="68"/>
              <w:jc w:val="right"/>
              <w:rPr>
                <w:sz w:val="24"/>
              </w:rPr>
            </w:pPr>
            <w:r>
              <w:rPr>
                <w:spacing w:val="-5"/>
                <w:sz w:val="24"/>
              </w:rPr>
              <w:t>295</w:t>
            </w:r>
          </w:p>
        </w:tc>
        <w:tc>
          <w:tcPr>
            <w:tcW w:w="772" w:type="dxa"/>
            <w:tcBorders>
              <w:right w:val="single" w:sz="4" w:space="0" w:color="000000"/>
            </w:tcBorders>
          </w:tcPr>
          <w:p>
            <w:pPr>
              <w:pStyle w:val="TableParagraph"/>
              <w:spacing w:line="273" w:lineRule="exact" w:before="37"/>
              <w:ind w:right="69"/>
              <w:jc w:val="right"/>
              <w:rPr>
                <w:rFonts w:ascii="Calibri"/>
                <w:sz w:val="24"/>
              </w:rPr>
            </w:pPr>
            <w:r>
              <w:rPr>
                <w:rFonts w:ascii="Calibri"/>
                <w:spacing w:val="-5"/>
                <w:sz w:val="24"/>
              </w:rPr>
              <w:t>882</w:t>
            </w:r>
          </w:p>
        </w:tc>
        <w:tc>
          <w:tcPr>
            <w:tcW w:w="582" w:type="dxa"/>
            <w:tcBorders>
              <w:left w:val="single" w:sz="4" w:space="0" w:color="000000"/>
              <w:right w:val="single" w:sz="4" w:space="0" w:color="000000"/>
            </w:tcBorders>
          </w:tcPr>
          <w:p>
            <w:pPr>
              <w:pStyle w:val="TableParagraph"/>
              <w:spacing w:line="273" w:lineRule="exact" w:before="37"/>
              <w:ind w:left="133"/>
              <w:rPr>
                <w:rFonts w:ascii="Calibri"/>
                <w:sz w:val="24"/>
              </w:rPr>
            </w:pPr>
            <w:r>
              <w:rPr>
                <w:rFonts w:ascii="Calibri"/>
                <w:spacing w:val="-5"/>
                <w:sz w:val="24"/>
              </w:rPr>
              <w:t>800</w:t>
            </w:r>
          </w:p>
        </w:tc>
        <w:tc>
          <w:tcPr>
            <w:tcW w:w="702" w:type="dxa"/>
            <w:tcBorders>
              <w:left w:val="single" w:sz="4" w:space="0" w:color="000000"/>
            </w:tcBorders>
          </w:tcPr>
          <w:p>
            <w:pPr>
              <w:pStyle w:val="TableParagraph"/>
              <w:spacing w:line="273" w:lineRule="exact" w:before="37"/>
              <w:ind w:left="127"/>
              <w:rPr>
                <w:rFonts w:ascii="Calibri"/>
                <w:sz w:val="24"/>
              </w:rPr>
            </w:pPr>
            <w:r>
              <w:rPr>
                <w:rFonts w:ascii="Calibri"/>
                <w:spacing w:val="-4"/>
                <w:sz w:val="24"/>
              </w:rPr>
              <w:t>1682</w:t>
            </w:r>
          </w:p>
        </w:tc>
      </w:tr>
      <w:tr>
        <w:trPr>
          <w:trHeight w:val="328" w:hRule="atLeast"/>
        </w:trPr>
        <w:tc>
          <w:tcPr>
            <w:tcW w:w="1458" w:type="dxa"/>
            <w:shd w:val="clear" w:color="auto" w:fill="D9D9D9"/>
          </w:tcPr>
          <w:p>
            <w:pPr>
              <w:pStyle w:val="TableParagraph"/>
              <w:spacing w:line="256" w:lineRule="exact" w:before="51"/>
              <w:ind w:left="108"/>
              <w:rPr>
                <w:sz w:val="24"/>
              </w:rPr>
            </w:pPr>
            <w:r>
              <w:rPr>
                <w:spacing w:val="-2"/>
                <w:sz w:val="24"/>
              </w:rPr>
              <w:t>2023/2024</w:t>
            </w:r>
          </w:p>
        </w:tc>
        <w:tc>
          <w:tcPr>
            <w:tcW w:w="699" w:type="dxa"/>
            <w:gridSpan w:val="2"/>
            <w:shd w:val="clear" w:color="auto" w:fill="C5D9F0"/>
          </w:tcPr>
          <w:p>
            <w:pPr>
              <w:pStyle w:val="TableParagraph"/>
              <w:spacing w:line="256" w:lineRule="exact" w:before="51"/>
              <w:ind w:left="231"/>
              <w:rPr>
                <w:sz w:val="24"/>
              </w:rPr>
            </w:pPr>
            <w:r>
              <w:rPr>
                <w:spacing w:val="-5"/>
                <w:sz w:val="24"/>
              </w:rPr>
              <w:t>537</w:t>
            </w:r>
          </w:p>
        </w:tc>
        <w:tc>
          <w:tcPr>
            <w:tcW w:w="576" w:type="dxa"/>
            <w:shd w:val="clear" w:color="auto" w:fill="C5D9F0"/>
          </w:tcPr>
          <w:p>
            <w:pPr>
              <w:pStyle w:val="TableParagraph"/>
              <w:spacing w:line="256" w:lineRule="exact" w:before="51"/>
              <w:ind w:left="108"/>
              <w:rPr>
                <w:sz w:val="24"/>
              </w:rPr>
            </w:pPr>
            <w:r>
              <w:rPr>
                <w:spacing w:val="-5"/>
                <w:sz w:val="24"/>
              </w:rPr>
              <w:t>487</w:t>
            </w:r>
          </w:p>
        </w:tc>
        <w:tc>
          <w:tcPr>
            <w:tcW w:w="755" w:type="dxa"/>
            <w:shd w:val="clear" w:color="auto" w:fill="C5D9F0"/>
          </w:tcPr>
          <w:p>
            <w:pPr>
              <w:pStyle w:val="TableParagraph"/>
              <w:spacing w:line="256" w:lineRule="exact" w:before="51"/>
              <w:ind w:left="166"/>
              <w:rPr>
                <w:sz w:val="24"/>
              </w:rPr>
            </w:pPr>
            <w:r>
              <w:rPr>
                <w:spacing w:val="-4"/>
                <w:sz w:val="24"/>
              </w:rPr>
              <w:t>1024</w:t>
            </w:r>
          </w:p>
        </w:tc>
        <w:tc>
          <w:tcPr>
            <w:tcW w:w="455" w:type="dxa"/>
            <w:shd w:val="clear" w:color="auto" w:fill="F1DBDB"/>
          </w:tcPr>
          <w:p>
            <w:pPr>
              <w:pStyle w:val="TableParagraph"/>
              <w:spacing w:line="256" w:lineRule="exact" w:before="51"/>
              <w:ind w:left="92" w:right="72"/>
              <w:jc w:val="center"/>
              <w:rPr>
                <w:sz w:val="24"/>
              </w:rPr>
            </w:pPr>
            <w:r>
              <w:rPr>
                <w:spacing w:val="-5"/>
                <w:sz w:val="24"/>
              </w:rPr>
              <w:t>92</w:t>
            </w:r>
          </w:p>
        </w:tc>
        <w:tc>
          <w:tcPr>
            <w:tcW w:w="455" w:type="dxa"/>
            <w:shd w:val="clear" w:color="auto" w:fill="F1DBDB"/>
          </w:tcPr>
          <w:p>
            <w:pPr>
              <w:pStyle w:val="TableParagraph"/>
              <w:spacing w:line="256" w:lineRule="exact" w:before="51"/>
              <w:ind w:left="108"/>
              <w:rPr>
                <w:sz w:val="24"/>
              </w:rPr>
            </w:pPr>
            <w:r>
              <w:rPr>
                <w:spacing w:val="-5"/>
                <w:sz w:val="24"/>
              </w:rPr>
              <w:t>88</w:t>
            </w:r>
          </w:p>
        </w:tc>
        <w:tc>
          <w:tcPr>
            <w:tcW w:w="575" w:type="dxa"/>
            <w:shd w:val="clear" w:color="auto" w:fill="F1DBDB"/>
          </w:tcPr>
          <w:p>
            <w:pPr>
              <w:pStyle w:val="TableParagraph"/>
              <w:spacing w:line="256" w:lineRule="exact" w:before="51"/>
              <w:ind w:left="109"/>
              <w:rPr>
                <w:sz w:val="24"/>
              </w:rPr>
            </w:pPr>
            <w:r>
              <w:rPr>
                <w:spacing w:val="-5"/>
                <w:sz w:val="24"/>
              </w:rPr>
              <w:t>180</w:t>
            </w:r>
          </w:p>
        </w:tc>
        <w:tc>
          <w:tcPr>
            <w:tcW w:w="455" w:type="dxa"/>
            <w:shd w:val="clear" w:color="auto" w:fill="D5E2BB"/>
          </w:tcPr>
          <w:p>
            <w:pPr>
              <w:pStyle w:val="TableParagraph"/>
              <w:spacing w:line="256" w:lineRule="exact" w:before="51"/>
              <w:ind w:left="113"/>
              <w:rPr>
                <w:sz w:val="24"/>
              </w:rPr>
            </w:pPr>
            <w:r>
              <w:rPr>
                <w:spacing w:val="-5"/>
                <w:sz w:val="24"/>
              </w:rPr>
              <w:t>73</w:t>
            </w:r>
          </w:p>
        </w:tc>
        <w:tc>
          <w:tcPr>
            <w:tcW w:w="454" w:type="dxa"/>
            <w:gridSpan w:val="2"/>
            <w:shd w:val="clear" w:color="auto" w:fill="D5E2BB"/>
          </w:tcPr>
          <w:p>
            <w:pPr>
              <w:pStyle w:val="TableParagraph"/>
              <w:spacing w:line="256" w:lineRule="exact" w:before="51"/>
              <w:ind w:left="114"/>
              <w:rPr>
                <w:sz w:val="24"/>
              </w:rPr>
            </w:pPr>
            <w:r>
              <w:rPr>
                <w:spacing w:val="-5"/>
                <w:sz w:val="24"/>
              </w:rPr>
              <w:t>65</w:t>
            </w:r>
          </w:p>
        </w:tc>
        <w:tc>
          <w:tcPr>
            <w:tcW w:w="573" w:type="dxa"/>
            <w:gridSpan w:val="2"/>
            <w:shd w:val="clear" w:color="auto" w:fill="D5E2BB"/>
          </w:tcPr>
          <w:p>
            <w:pPr>
              <w:pStyle w:val="TableParagraph"/>
              <w:spacing w:line="256" w:lineRule="exact" w:before="51"/>
              <w:ind w:left="116"/>
              <w:rPr>
                <w:sz w:val="24"/>
              </w:rPr>
            </w:pPr>
            <w:r>
              <w:rPr>
                <w:spacing w:val="-5"/>
                <w:sz w:val="24"/>
              </w:rPr>
              <w:t>138</w:t>
            </w:r>
          </w:p>
        </w:tc>
        <w:tc>
          <w:tcPr>
            <w:tcW w:w="1006" w:type="dxa"/>
            <w:shd w:val="clear" w:color="auto" w:fill="CCC0D9"/>
          </w:tcPr>
          <w:p>
            <w:pPr>
              <w:pStyle w:val="TableParagraph"/>
              <w:spacing w:line="275" w:lineRule="exact"/>
              <w:ind w:right="72"/>
              <w:jc w:val="right"/>
              <w:rPr>
                <w:sz w:val="24"/>
              </w:rPr>
            </w:pPr>
            <w:r>
              <w:rPr>
                <w:spacing w:val="-5"/>
                <w:sz w:val="24"/>
              </w:rPr>
              <w:t>126</w:t>
            </w:r>
          </w:p>
        </w:tc>
        <w:tc>
          <w:tcPr>
            <w:tcW w:w="677" w:type="dxa"/>
            <w:gridSpan w:val="2"/>
            <w:shd w:val="clear" w:color="auto" w:fill="CCC0D9"/>
          </w:tcPr>
          <w:p>
            <w:pPr>
              <w:pStyle w:val="TableParagraph"/>
              <w:spacing w:line="275" w:lineRule="exact"/>
              <w:ind w:left="224"/>
              <w:rPr>
                <w:sz w:val="24"/>
              </w:rPr>
            </w:pPr>
            <w:r>
              <w:rPr>
                <w:spacing w:val="-5"/>
                <w:sz w:val="24"/>
              </w:rPr>
              <w:t>132</w:t>
            </w:r>
          </w:p>
        </w:tc>
        <w:tc>
          <w:tcPr>
            <w:tcW w:w="772" w:type="dxa"/>
            <w:shd w:val="clear" w:color="auto" w:fill="CCC0D9"/>
          </w:tcPr>
          <w:p>
            <w:pPr>
              <w:pStyle w:val="TableParagraph"/>
              <w:spacing w:line="275" w:lineRule="exact"/>
              <w:ind w:right="68"/>
              <w:jc w:val="right"/>
              <w:rPr>
                <w:sz w:val="24"/>
              </w:rPr>
            </w:pPr>
            <w:r>
              <w:rPr>
                <w:spacing w:val="-5"/>
                <w:sz w:val="24"/>
              </w:rPr>
              <w:t>258</w:t>
            </w:r>
          </w:p>
        </w:tc>
        <w:tc>
          <w:tcPr>
            <w:tcW w:w="772" w:type="dxa"/>
            <w:tcBorders>
              <w:bottom w:val="single" w:sz="8" w:space="0" w:color="C5D9F0"/>
              <w:right w:val="single" w:sz="4" w:space="0" w:color="000000"/>
            </w:tcBorders>
          </w:tcPr>
          <w:p>
            <w:pPr>
              <w:pStyle w:val="TableParagraph"/>
              <w:spacing w:line="273" w:lineRule="exact" w:before="35"/>
              <w:ind w:right="69"/>
              <w:jc w:val="right"/>
              <w:rPr>
                <w:rFonts w:ascii="Calibri"/>
                <w:sz w:val="24"/>
              </w:rPr>
            </w:pPr>
            <w:r>
              <w:rPr>
                <w:rFonts w:ascii="Calibri"/>
                <w:spacing w:val="-5"/>
                <w:sz w:val="24"/>
              </w:rPr>
              <w:t>828</w:t>
            </w:r>
          </w:p>
        </w:tc>
        <w:tc>
          <w:tcPr>
            <w:tcW w:w="582" w:type="dxa"/>
            <w:tcBorders>
              <w:left w:val="single" w:sz="4" w:space="0" w:color="000000"/>
              <w:bottom w:val="single" w:sz="8" w:space="0" w:color="C5D9F0"/>
              <w:right w:val="single" w:sz="4" w:space="0" w:color="000000"/>
            </w:tcBorders>
          </w:tcPr>
          <w:p>
            <w:pPr>
              <w:pStyle w:val="TableParagraph"/>
              <w:spacing w:line="273" w:lineRule="exact" w:before="35"/>
              <w:ind w:left="133"/>
              <w:rPr>
                <w:rFonts w:ascii="Calibri"/>
                <w:sz w:val="24"/>
              </w:rPr>
            </w:pPr>
            <w:r>
              <w:rPr>
                <w:rFonts w:ascii="Calibri"/>
                <w:spacing w:val="-5"/>
                <w:sz w:val="24"/>
              </w:rPr>
              <w:t>772</w:t>
            </w:r>
          </w:p>
        </w:tc>
        <w:tc>
          <w:tcPr>
            <w:tcW w:w="702" w:type="dxa"/>
            <w:tcBorders>
              <w:left w:val="single" w:sz="4" w:space="0" w:color="000000"/>
              <w:bottom w:val="single" w:sz="8" w:space="0" w:color="C5D9F0"/>
            </w:tcBorders>
          </w:tcPr>
          <w:p>
            <w:pPr>
              <w:pStyle w:val="TableParagraph"/>
              <w:spacing w:line="273" w:lineRule="exact" w:before="35"/>
              <w:ind w:left="127"/>
              <w:rPr>
                <w:rFonts w:ascii="Calibri"/>
                <w:sz w:val="24"/>
              </w:rPr>
            </w:pPr>
            <w:r>
              <w:rPr>
                <w:rFonts w:ascii="Calibri"/>
                <w:spacing w:val="-4"/>
                <w:sz w:val="24"/>
              </w:rPr>
              <w:t>1600</w:t>
            </w:r>
          </w:p>
        </w:tc>
      </w:tr>
      <w:tr>
        <w:trPr>
          <w:trHeight w:val="330" w:hRule="atLeast"/>
        </w:trPr>
        <w:tc>
          <w:tcPr>
            <w:tcW w:w="1458" w:type="dxa"/>
            <w:shd w:val="clear" w:color="auto" w:fill="D9D9D9"/>
          </w:tcPr>
          <w:p>
            <w:pPr>
              <w:pStyle w:val="TableParagraph"/>
              <w:spacing w:line="256" w:lineRule="exact" w:before="54"/>
              <w:ind w:left="108"/>
              <w:rPr>
                <w:sz w:val="24"/>
              </w:rPr>
            </w:pPr>
            <w:r>
              <w:rPr>
                <w:spacing w:val="-2"/>
                <w:sz w:val="24"/>
              </w:rPr>
              <w:t>Krahasimi</w:t>
            </w:r>
          </w:p>
        </w:tc>
        <w:tc>
          <w:tcPr>
            <w:tcW w:w="699" w:type="dxa"/>
            <w:gridSpan w:val="2"/>
            <w:shd w:val="clear" w:color="auto" w:fill="C5D9F0"/>
          </w:tcPr>
          <w:p>
            <w:pPr>
              <w:pStyle w:val="TableParagraph"/>
              <w:spacing w:line="249" w:lineRule="exact" w:before="61"/>
              <w:ind w:left="301"/>
              <w:rPr>
                <w:rFonts w:ascii="Calibri"/>
                <w:sz w:val="22"/>
              </w:rPr>
            </w:pPr>
            <w:r>
              <w:rPr>
                <w:rFonts w:ascii="Calibri"/>
                <w:spacing w:val="-2"/>
                <w:sz w:val="22"/>
              </w:rPr>
              <w:t>-</w:t>
            </w:r>
            <w:r>
              <w:rPr>
                <w:rFonts w:ascii="Calibri"/>
                <w:spacing w:val="-7"/>
                <w:sz w:val="22"/>
              </w:rPr>
              <w:t>22</w:t>
            </w:r>
          </w:p>
        </w:tc>
        <w:tc>
          <w:tcPr>
            <w:tcW w:w="576" w:type="dxa"/>
            <w:shd w:val="clear" w:color="auto" w:fill="C5D9F0"/>
          </w:tcPr>
          <w:p>
            <w:pPr>
              <w:pStyle w:val="TableParagraph"/>
              <w:spacing w:line="249" w:lineRule="exact" w:before="61"/>
              <w:ind w:right="83"/>
              <w:jc w:val="right"/>
              <w:rPr>
                <w:rFonts w:ascii="Calibri"/>
                <w:sz w:val="22"/>
              </w:rPr>
            </w:pPr>
            <w:r>
              <w:rPr>
                <w:rFonts w:ascii="Calibri"/>
                <w:spacing w:val="-2"/>
                <w:sz w:val="22"/>
              </w:rPr>
              <w:t>-</w:t>
            </w:r>
            <w:r>
              <w:rPr>
                <w:rFonts w:ascii="Calibri"/>
                <w:spacing w:val="-7"/>
                <w:sz w:val="22"/>
              </w:rPr>
              <w:t>18</w:t>
            </w:r>
          </w:p>
        </w:tc>
        <w:tc>
          <w:tcPr>
            <w:tcW w:w="755" w:type="dxa"/>
            <w:shd w:val="clear" w:color="auto" w:fill="C5D9F0"/>
          </w:tcPr>
          <w:p>
            <w:pPr>
              <w:pStyle w:val="TableParagraph"/>
              <w:spacing w:line="249" w:lineRule="exact" w:before="61"/>
              <w:ind w:right="84"/>
              <w:jc w:val="right"/>
              <w:rPr>
                <w:rFonts w:ascii="Calibri"/>
                <w:sz w:val="22"/>
              </w:rPr>
            </w:pPr>
            <w:r>
              <w:rPr>
                <w:rFonts w:ascii="Calibri"/>
                <w:spacing w:val="-2"/>
                <w:sz w:val="22"/>
              </w:rPr>
              <w:t>-</w:t>
            </w:r>
            <w:r>
              <w:rPr>
                <w:rFonts w:ascii="Calibri"/>
                <w:spacing w:val="-7"/>
                <w:sz w:val="22"/>
              </w:rPr>
              <w:t>40</w:t>
            </w:r>
          </w:p>
        </w:tc>
        <w:tc>
          <w:tcPr>
            <w:tcW w:w="455" w:type="dxa"/>
            <w:shd w:val="clear" w:color="auto" w:fill="C5D9F0"/>
          </w:tcPr>
          <w:p>
            <w:pPr>
              <w:pStyle w:val="TableParagraph"/>
              <w:spacing w:line="249" w:lineRule="exact" w:before="61"/>
              <w:ind w:left="151"/>
              <w:jc w:val="center"/>
              <w:rPr>
                <w:rFonts w:ascii="Calibri"/>
                <w:sz w:val="22"/>
              </w:rPr>
            </w:pPr>
            <w:r>
              <w:rPr>
                <w:rFonts w:ascii="Calibri"/>
                <w:w w:val="100"/>
                <w:sz w:val="22"/>
              </w:rPr>
              <w:t>3</w:t>
            </w:r>
          </w:p>
        </w:tc>
        <w:tc>
          <w:tcPr>
            <w:tcW w:w="455" w:type="dxa"/>
            <w:shd w:val="clear" w:color="auto" w:fill="C5D9F0"/>
          </w:tcPr>
          <w:p>
            <w:pPr>
              <w:pStyle w:val="TableParagraph"/>
              <w:spacing w:line="249" w:lineRule="exact" w:before="61"/>
              <w:ind w:right="82"/>
              <w:jc w:val="right"/>
              <w:rPr>
                <w:rFonts w:ascii="Calibri"/>
                <w:sz w:val="22"/>
              </w:rPr>
            </w:pPr>
            <w:r>
              <w:rPr>
                <w:rFonts w:ascii="Calibri"/>
                <w:w w:val="100"/>
                <w:sz w:val="22"/>
              </w:rPr>
              <w:t>1</w:t>
            </w:r>
          </w:p>
        </w:tc>
        <w:tc>
          <w:tcPr>
            <w:tcW w:w="575" w:type="dxa"/>
            <w:shd w:val="clear" w:color="auto" w:fill="C5D9F0"/>
          </w:tcPr>
          <w:p>
            <w:pPr>
              <w:pStyle w:val="TableParagraph"/>
              <w:spacing w:line="249" w:lineRule="exact" w:before="61"/>
              <w:ind w:right="84"/>
              <w:jc w:val="right"/>
              <w:rPr>
                <w:rFonts w:ascii="Calibri"/>
                <w:sz w:val="22"/>
              </w:rPr>
            </w:pPr>
            <w:r>
              <w:rPr>
                <w:rFonts w:ascii="Calibri"/>
                <w:spacing w:val="-2"/>
                <w:sz w:val="22"/>
              </w:rPr>
              <w:t>-</w:t>
            </w:r>
            <w:r>
              <w:rPr>
                <w:rFonts w:ascii="Calibri"/>
                <w:spacing w:val="-12"/>
                <w:sz w:val="22"/>
              </w:rPr>
              <w:t>4</w:t>
            </w:r>
          </w:p>
        </w:tc>
        <w:tc>
          <w:tcPr>
            <w:tcW w:w="455" w:type="dxa"/>
            <w:shd w:val="clear" w:color="auto" w:fill="C5D9F0"/>
          </w:tcPr>
          <w:p>
            <w:pPr>
              <w:pStyle w:val="TableParagraph"/>
              <w:spacing w:line="249" w:lineRule="exact" w:before="61"/>
              <w:ind w:left="173"/>
              <w:rPr>
                <w:rFonts w:ascii="Calibri"/>
                <w:sz w:val="22"/>
              </w:rPr>
            </w:pPr>
            <w:r>
              <w:rPr>
                <w:rFonts w:ascii="Calibri"/>
                <w:spacing w:val="-2"/>
                <w:sz w:val="22"/>
              </w:rPr>
              <w:t>-</w:t>
            </w:r>
            <w:r>
              <w:rPr>
                <w:rFonts w:ascii="Calibri"/>
                <w:spacing w:val="-12"/>
                <w:sz w:val="22"/>
              </w:rPr>
              <w:t>4</w:t>
            </w:r>
          </w:p>
        </w:tc>
        <w:tc>
          <w:tcPr>
            <w:tcW w:w="454" w:type="dxa"/>
            <w:gridSpan w:val="2"/>
            <w:shd w:val="clear" w:color="auto" w:fill="C5D9F0"/>
          </w:tcPr>
          <w:p>
            <w:pPr>
              <w:pStyle w:val="TableParagraph"/>
              <w:spacing w:line="249" w:lineRule="exact" w:before="61"/>
              <w:ind w:left="133"/>
              <w:rPr>
                <w:rFonts w:ascii="Calibri"/>
                <w:sz w:val="22"/>
              </w:rPr>
            </w:pPr>
            <w:r>
              <w:rPr>
                <w:rFonts w:ascii="Calibri"/>
                <w:spacing w:val="-5"/>
                <w:sz w:val="22"/>
              </w:rPr>
              <w:t>+4</w:t>
            </w:r>
          </w:p>
        </w:tc>
        <w:tc>
          <w:tcPr>
            <w:tcW w:w="573" w:type="dxa"/>
            <w:gridSpan w:val="2"/>
            <w:shd w:val="clear" w:color="auto" w:fill="C5D9F0"/>
          </w:tcPr>
          <w:p>
            <w:pPr>
              <w:pStyle w:val="TableParagraph"/>
              <w:spacing w:line="249" w:lineRule="exact" w:before="61"/>
              <w:ind w:left="296"/>
              <w:rPr>
                <w:rFonts w:ascii="Calibri"/>
                <w:sz w:val="22"/>
              </w:rPr>
            </w:pPr>
            <w:r>
              <w:rPr>
                <w:rFonts w:ascii="Calibri"/>
                <w:spacing w:val="-2"/>
                <w:sz w:val="22"/>
              </w:rPr>
              <w:t>-</w:t>
            </w:r>
            <w:r>
              <w:rPr>
                <w:rFonts w:ascii="Calibri"/>
                <w:spacing w:val="-12"/>
                <w:sz w:val="22"/>
              </w:rPr>
              <w:t>1</w:t>
            </w:r>
          </w:p>
        </w:tc>
        <w:tc>
          <w:tcPr>
            <w:tcW w:w="1006" w:type="dxa"/>
            <w:shd w:val="clear" w:color="auto" w:fill="C5D9F0"/>
          </w:tcPr>
          <w:p>
            <w:pPr>
              <w:pStyle w:val="TableParagraph"/>
              <w:spacing w:line="249" w:lineRule="exact" w:before="61"/>
              <w:ind w:right="70"/>
              <w:jc w:val="right"/>
              <w:rPr>
                <w:rFonts w:ascii="Calibri"/>
                <w:sz w:val="22"/>
              </w:rPr>
            </w:pPr>
            <w:r>
              <w:rPr>
                <w:rFonts w:ascii="Calibri"/>
                <w:spacing w:val="-2"/>
                <w:sz w:val="22"/>
              </w:rPr>
              <w:t>-</w:t>
            </w:r>
            <w:r>
              <w:rPr>
                <w:rFonts w:ascii="Calibri"/>
                <w:spacing w:val="-7"/>
                <w:sz w:val="22"/>
              </w:rPr>
              <w:t>24</w:t>
            </w:r>
          </w:p>
        </w:tc>
        <w:tc>
          <w:tcPr>
            <w:tcW w:w="677" w:type="dxa"/>
            <w:gridSpan w:val="2"/>
            <w:shd w:val="clear" w:color="auto" w:fill="C5D9F0"/>
          </w:tcPr>
          <w:p>
            <w:pPr>
              <w:pStyle w:val="TableParagraph"/>
              <w:spacing w:line="249" w:lineRule="exact" w:before="61"/>
              <w:ind w:left="294"/>
              <w:rPr>
                <w:rFonts w:ascii="Calibri"/>
                <w:sz w:val="22"/>
              </w:rPr>
            </w:pPr>
            <w:r>
              <w:rPr>
                <w:rFonts w:ascii="Calibri"/>
                <w:spacing w:val="-2"/>
                <w:sz w:val="22"/>
              </w:rPr>
              <w:t>-</w:t>
            </w:r>
            <w:r>
              <w:rPr>
                <w:rFonts w:ascii="Calibri"/>
                <w:spacing w:val="-7"/>
                <w:sz w:val="22"/>
              </w:rPr>
              <w:t>13</w:t>
            </w:r>
          </w:p>
        </w:tc>
        <w:tc>
          <w:tcPr>
            <w:tcW w:w="772" w:type="dxa"/>
            <w:shd w:val="clear" w:color="auto" w:fill="C5D9F0"/>
          </w:tcPr>
          <w:p>
            <w:pPr>
              <w:pStyle w:val="TableParagraph"/>
              <w:spacing w:line="249" w:lineRule="exact" w:before="61"/>
              <w:ind w:right="66"/>
              <w:jc w:val="right"/>
              <w:rPr>
                <w:rFonts w:ascii="Calibri"/>
                <w:sz w:val="22"/>
              </w:rPr>
            </w:pPr>
            <w:r>
              <w:rPr>
                <w:rFonts w:ascii="Calibri"/>
                <w:spacing w:val="-2"/>
                <w:sz w:val="22"/>
              </w:rPr>
              <w:t>-</w:t>
            </w:r>
            <w:r>
              <w:rPr>
                <w:rFonts w:ascii="Calibri"/>
                <w:spacing w:val="-7"/>
                <w:sz w:val="22"/>
              </w:rPr>
              <w:t>37</w:t>
            </w:r>
          </w:p>
        </w:tc>
        <w:tc>
          <w:tcPr>
            <w:tcW w:w="772" w:type="dxa"/>
            <w:tcBorders>
              <w:top w:val="single" w:sz="8" w:space="0" w:color="C5D9F0"/>
            </w:tcBorders>
            <w:shd w:val="clear" w:color="auto" w:fill="C5D9F0"/>
          </w:tcPr>
          <w:p>
            <w:pPr>
              <w:pStyle w:val="TableParagraph"/>
              <w:spacing w:line="249" w:lineRule="exact" w:before="61"/>
              <w:ind w:right="68"/>
              <w:jc w:val="right"/>
              <w:rPr>
                <w:rFonts w:ascii="Calibri"/>
                <w:sz w:val="22"/>
              </w:rPr>
            </w:pPr>
            <w:r>
              <w:rPr>
                <w:rFonts w:ascii="Calibri"/>
                <w:spacing w:val="-2"/>
                <w:sz w:val="22"/>
              </w:rPr>
              <w:t>-</w:t>
            </w:r>
            <w:r>
              <w:rPr>
                <w:rFonts w:ascii="Calibri"/>
                <w:spacing w:val="-7"/>
                <w:sz w:val="22"/>
              </w:rPr>
              <w:t>54</w:t>
            </w:r>
          </w:p>
        </w:tc>
        <w:tc>
          <w:tcPr>
            <w:tcW w:w="582" w:type="dxa"/>
            <w:tcBorders>
              <w:top w:val="single" w:sz="8" w:space="0" w:color="C5D9F0"/>
            </w:tcBorders>
            <w:shd w:val="clear" w:color="auto" w:fill="C5D9F0"/>
          </w:tcPr>
          <w:p>
            <w:pPr>
              <w:pStyle w:val="TableParagraph"/>
              <w:spacing w:line="249" w:lineRule="exact" w:before="61"/>
              <w:ind w:left="202"/>
              <w:rPr>
                <w:rFonts w:ascii="Calibri"/>
                <w:sz w:val="22"/>
              </w:rPr>
            </w:pPr>
            <w:r>
              <w:rPr>
                <w:rFonts w:ascii="Calibri"/>
                <w:spacing w:val="-2"/>
                <w:sz w:val="22"/>
              </w:rPr>
              <w:t>-</w:t>
            </w:r>
            <w:r>
              <w:rPr>
                <w:rFonts w:ascii="Calibri"/>
                <w:spacing w:val="-7"/>
                <w:sz w:val="22"/>
              </w:rPr>
              <w:t>28</w:t>
            </w:r>
          </w:p>
        </w:tc>
        <w:tc>
          <w:tcPr>
            <w:tcW w:w="702" w:type="dxa"/>
            <w:tcBorders>
              <w:top w:val="single" w:sz="8" w:space="0" w:color="C5D9F0"/>
            </w:tcBorders>
            <w:shd w:val="clear" w:color="auto" w:fill="C5D9F0"/>
          </w:tcPr>
          <w:p>
            <w:pPr>
              <w:pStyle w:val="TableParagraph"/>
              <w:spacing w:line="249" w:lineRule="exact" w:before="61"/>
              <w:ind w:left="324"/>
              <w:rPr>
                <w:rFonts w:ascii="Calibri"/>
                <w:sz w:val="22"/>
              </w:rPr>
            </w:pPr>
            <w:r>
              <w:rPr>
                <w:rFonts w:ascii="Calibri"/>
                <w:sz w:val="22"/>
              </w:rPr>
              <w:t>-</w:t>
            </w:r>
            <w:r>
              <w:rPr>
                <w:rFonts w:ascii="Calibri"/>
                <w:spacing w:val="-5"/>
                <w:sz w:val="22"/>
              </w:rPr>
              <w:t>82</w:t>
            </w:r>
          </w:p>
        </w:tc>
      </w:tr>
      <w:tr>
        <w:trPr>
          <w:trHeight w:val="330" w:hRule="atLeast"/>
        </w:trPr>
        <w:tc>
          <w:tcPr>
            <w:tcW w:w="1458" w:type="dxa"/>
            <w:shd w:val="clear" w:color="auto" w:fill="D9D9D9"/>
          </w:tcPr>
          <w:p>
            <w:pPr>
              <w:pStyle w:val="TableParagraph"/>
              <w:rPr>
                <w:sz w:val="24"/>
              </w:rPr>
            </w:pPr>
          </w:p>
        </w:tc>
        <w:tc>
          <w:tcPr>
            <w:tcW w:w="699" w:type="dxa"/>
            <w:gridSpan w:val="2"/>
            <w:shd w:val="clear" w:color="auto" w:fill="C5D9F0"/>
          </w:tcPr>
          <w:p>
            <w:pPr>
              <w:pStyle w:val="TableParagraph"/>
              <w:rPr>
                <w:sz w:val="24"/>
              </w:rPr>
            </w:pPr>
          </w:p>
        </w:tc>
        <w:tc>
          <w:tcPr>
            <w:tcW w:w="576" w:type="dxa"/>
            <w:shd w:val="clear" w:color="auto" w:fill="C5D9F0"/>
          </w:tcPr>
          <w:p>
            <w:pPr>
              <w:pStyle w:val="TableParagraph"/>
              <w:rPr>
                <w:sz w:val="24"/>
              </w:rPr>
            </w:pPr>
          </w:p>
        </w:tc>
        <w:tc>
          <w:tcPr>
            <w:tcW w:w="755" w:type="dxa"/>
            <w:shd w:val="clear" w:color="auto" w:fill="C5D9F0"/>
          </w:tcPr>
          <w:p>
            <w:pPr>
              <w:pStyle w:val="TableParagraph"/>
              <w:rPr>
                <w:sz w:val="24"/>
              </w:rPr>
            </w:pPr>
          </w:p>
        </w:tc>
        <w:tc>
          <w:tcPr>
            <w:tcW w:w="455" w:type="dxa"/>
            <w:shd w:val="clear" w:color="auto" w:fill="C5D9F0"/>
          </w:tcPr>
          <w:p>
            <w:pPr>
              <w:pStyle w:val="TableParagraph"/>
              <w:rPr>
                <w:sz w:val="24"/>
              </w:rPr>
            </w:pPr>
          </w:p>
        </w:tc>
        <w:tc>
          <w:tcPr>
            <w:tcW w:w="455" w:type="dxa"/>
            <w:shd w:val="clear" w:color="auto" w:fill="C5D9F0"/>
          </w:tcPr>
          <w:p>
            <w:pPr>
              <w:pStyle w:val="TableParagraph"/>
              <w:rPr>
                <w:sz w:val="24"/>
              </w:rPr>
            </w:pPr>
          </w:p>
        </w:tc>
        <w:tc>
          <w:tcPr>
            <w:tcW w:w="575" w:type="dxa"/>
            <w:shd w:val="clear" w:color="auto" w:fill="C5D9F0"/>
          </w:tcPr>
          <w:p>
            <w:pPr>
              <w:pStyle w:val="TableParagraph"/>
              <w:rPr>
                <w:sz w:val="24"/>
              </w:rPr>
            </w:pPr>
          </w:p>
        </w:tc>
        <w:tc>
          <w:tcPr>
            <w:tcW w:w="455" w:type="dxa"/>
            <w:shd w:val="clear" w:color="auto" w:fill="C5D9F0"/>
          </w:tcPr>
          <w:p>
            <w:pPr>
              <w:pStyle w:val="TableParagraph"/>
              <w:rPr>
                <w:sz w:val="24"/>
              </w:rPr>
            </w:pPr>
          </w:p>
        </w:tc>
        <w:tc>
          <w:tcPr>
            <w:tcW w:w="454" w:type="dxa"/>
            <w:gridSpan w:val="2"/>
            <w:shd w:val="clear" w:color="auto" w:fill="C5D9F0"/>
          </w:tcPr>
          <w:p>
            <w:pPr>
              <w:pStyle w:val="TableParagraph"/>
              <w:rPr>
                <w:sz w:val="24"/>
              </w:rPr>
            </w:pPr>
          </w:p>
        </w:tc>
        <w:tc>
          <w:tcPr>
            <w:tcW w:w="573" w:type="dxa"/>
            <w:gridSpan w:val="2"/>
            <w:shd w:val="clear" w:color="auto" w:fill="C5D9F0"/>
          </w:tcPr>
          <w:p>
            <w:pPr>
              <w:pStyle w:val="TableParagraph"/>
              <w:rPr>
                <w:sz w:val="24"/>
              </w:rPr>
            </w:pPr>
          </w:p>
        </w:tc>
        <w:tc>
          <w:tcPr>
            <w:tcW w:w="1006" w:type="dxa"/>
            <w:shd w:val="clear" w:color="auto" w:fill="C5D9F0"/>
          </w:tcPr>
          <w:p>
            <w:pPr>
              <w:pStyle w:val="TableParagraph"/>
              <w:rPr>
                <w:sz w:val="24"/>
              </w:rPr>
            </w:pPr>
          </w:p>
        </w:tc>
        <w:tc>
          <w:tcPr>
            <w:tcW w:w="677" w:type="dxa"/>
            <w:gridSpan w:val="2"/>
            <w:shd w:val="clear" w:color="auto" w:fill="C5D9F0"/>
          </w:tcPr>
          <w:p>
            <w:pPr>
              <w:pStyle w:val="TableParagraph"/>
              <w:rPr>
                <w:sz w:val="24"/>
              </w:rPr>
            </w:pPr>
          </w:p>
        </w:tc>
        <w:tc>
          <w:tcPr>
            <w:tcW w:w="772" w:type="dxa"/>
            <w:shd w:val="clear" w:color="auto" w:fill="C5D9F0"/>
          </w:tcPr>
          <w:p>
            <w:pPr>
              <w:pStyle w:val="TableParagraph"/>
              <w:rPr>
                <w:sz w:val="24"/>
              </w:rPr>
            </w:pPr>
          </w:p>
        </w:tc>
        <w:tc>
          <w:tcPr>
            <w:tcW w:w="772" w:type="dxa"/>
            <w:shd w:val="clear" w:color="auto" w:fill="C5D9F0"/>
          </w:tcPr>
          <w:p>
            <w:pPr>
              <w:pStyle w:val="TableParagraph"/>
              <w:rPr>
                <w:sz w:val="24"/>
              </w:rPr>
            </w:pPr>
          </w:p>
        </w:tc>
        <w:tc>
          <w:tcPr>
            <w:tcW w:w="582" w:type="dxa"/>
            <w:shd w:val="clear" w:color="auto" w:fill="C5D9F0"/>
          </w:tcPr>
          <w:p>
            <w:pPr>
              <w:pStyle w:val="TableParagraph"/>
              <w:rPr>
                <w:sz w:val="24"/>
              </w:rPr>
            </w:pPr>
          </w:p>
        </w:tc>
        <w:tc>
          <w:tcPr>
            <w:tcW w:w="702" w:type="dxa"/>
            <w:shd w:val="clear" w:color="auto" w:fill="C5D9F0"/>
          </w:tcPr>
          <w:p>
            <w:pPr>
              <w:pStyle w:val="TableParagraph"/>
              <w:rPr>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tabs>
          <w:tab w:pos="7489" w:val="left" w:leader="none"/>
        </w:tabs>
        <w:spacing w:line="322" w:lineRule="exact" w:before="89"/>
        <w:ind w:left="1027" w:right="0" w:firstLine="0"/>
        <w:jc w:val="left"/>
        <w:rPr>
          <w:sz w:val="28"/>
        </w:rPr>
      </w:pPr>
      <w:r>
        <w:rPr>
          <w:sz w:val="28"/>
        </w:rPr>
        <w:t>Data:</w:t>
      </w:r>
      <w:r>
        <w:rPr>
          <w:spacing w:val="-1"/>
          <w:sz w:val="28"/>
        </w:rPr>
        <w:t> </w:t>
      </w:r>
      <w:r>
        <w:rPr>
          <w:spacing w:val="-2"/>
          <w:sz w:val="28"/>
        </w:rPr>
        <w:t>14.09.2023</w:t>
      </w:r>
      <w:r>
        <w:rPr>
          <w:sz w:val="28"/>
        </w:rPr>
        <w:tab/>
        <w:t>Drejtori</w:t>
      </w:r>
      <w:r>
        <w:rPr>
          <w:spacing w:val="-4"/>
          <w:sz w:val="28"/>
        </w:rPr>
        <w:t> </w:t>
      </w:r>
      <w:r>
        <w:rPr>
          <w:sz w:val="28"/>
        </w:rPr>
        <w:t>i</w:t>
      </w:r>
      <w:r>
        <w:rPr>
          <w:spacing w:val="-2"/>
          <w:sz w:val="28"/>
        </w:rPr>
        <w:t> DAKRS</w:t>
      </w:r>
    </w:p>
    <w:p>
      <w:pPr>
        <w:tabs>
          <w:tab w:pos="7700" w:val="left" w:leader="none"/>
        </w:tabs>
        <w:spacing w:before="0"/>
        <w:ind w:left="1027" w:right="0" w:firstLine="0"/>
        <w:jc w:val="left"/>
        <w:rPr>
          <w:sz w:val="28"/>
        </w:rPr>
      </w:pPr>
      <w:r>
        <w:rPr>
          <w:sz w:val="28"/>
        </w:rPr>
        <w:t>Hani i </w:t>
      </w:r>
      <w:r>
        <w:rPr>
          <w:spacing w:val="-2"/>
          <w:sz w:val="28"/>
        </w:rPr>
        <w:t>Elezit</w:t>
      </w:r>
      <w:r>
        <w:rPr>
          <w:sz w:val="28"/>
        </w:rPr>
        <w:tab/>
        <w:t>Hisni</w:t>
      </w:r>
      <w:r>
        <w:rPr>
          <w:spacing w:val="64"/>
          <w:sz w:val="28"/>
        </w:rPr>
        <w:t> </w:t>
      </w:r>
      <w:r>
        <w:rPr>
          <w:spacing w:val="-4"/>
          <w:sz w:val="28"/>
        </w:rPr>
        <w:t>Luri</w:t>
      </w:r>
    </w:p>
    <w:p>
      <w:pPr>
        <w:pStyle w:val="BodyText"/>
        <w:spacing w:before="1"/>
        <w:rPr>
          <w:sz w:val="2"/>
        </w:rPr>
      </w:pPr>
    </w:p>
    <w:p>
      <w:pPr>
        <w:spacing w:before="0"/>
        <w:ind w:left="540" w:right="0" w:firstLine="0"/>
        <w:jc w:val="left"/>
        <w:rPr>
          <w:sz w:val="2"/>
        </w:rPr>
      </w:pPr>
      <w:r>
        <w:rPr>
          <w:w w:val="96"/>
          <w:sz w:val="2"/>
        </w:rPr>
        <w:t>1</w:t>
      </w:r>
    </w:p>
    <w:p>
      <w:pPr>
        <w:spacing w:after="0"/>
        <w:jc w:val="left"/>
        <w:rPr>
          <w:sz w:val="2"/>
        </w:rPr>
        <w:sectPr>
          <w:type w:val="continuous"/>
          <w:pgSz w:w="12240" w:h="15840"/>
          <w:pgMar w:top="520" w:bottom="280" w:left="720" w:right="0"/>
        </w:sectPr>
      </w:pPr>
    </w:p>
    <w:p>
      <w:pPr>
        <w:pStyle w:val="BodyText"/>
        <w:spacing w:before="4"/>
        <w:rPr>
          <w:sz w:val="17"/>
        </w:rPr>
      </w:pPr>
      <w:r>
        <w:rPr/>
        <w:pict>
          <v:group style="position:absolute;margin-left:5.88047pt;margin-top:0pt;width:589.7pt;height:842pt;mso-position-horizontal-relative:page;mso-position-vertical-relative:page;z-index:15730688" id="docshapegroup3" coordorigin="118,0" coordsize="11794,16840">
            <v:shape style="position:absolute;left:117;top:0;width:11794;height:16840" type="#_x0000_t75" id="docshape4" stroked="false">
              <v:imagedata r:id="rId7" o:title=""/>
            </v:shape>
            <v:shape style="position:absolute;left:1096;top:3836;width:9540;height:2679" type="#_x0000_t75" id="docshape5" stroked="false">
              <v:imagedata r:id="rId8" o:title=""/>
            </v:shape>
            <v:shape style="position:absolute;left:1154;top:6889;width:9404;height:2218" type="#_x0000_t75" id="docshape6" stroked="false">
              <v:imagedata r:id="rId9" o:title=""/>
            </v:shape>
            <v:shape style="position:absolute;left:3055;top:1878;width:5292;height:836" type="#_x0000_t75" id="docshape7" stroked="false">
              <v:imagedata r:id="rId10" o:title=""/>
            </v:shape>
            <v:shape style="position:absolute;left:7375;top:733;width:2664;height:1232" type="#_x0000_t75" id="docshape8" stroked="false">
              <v:imagedata r:id="rId11" o:title=""/>
            </v:shape>
            <v:shape style="position:absolute;left:7951;top:647;width:2722;height:2297" type="#_x0000_t75" id="docshape9" stroked="false">
              <v:imagedata r:id="rId12" o:title=""/>
            </v:shape>
            <v:shape style="position:absolute;left:7893;top:1525;width:1548;height:785" type="#_x0000_t75" id="docshape10" stroked="false">
              <v:imagedata r:id="rId13" o:title=""/>
            </v:shape>
            <v:shape style="position:absolute;left:6799;top:676;width:987;height:1232" type="#_x0000_t75" id="docshape11" stroked="false">
              <v:imagedata r:id="rId14" o:title=""/>
            </v:shape>
            <v:shape style="position:absolute;left:1154;top:11324;width:1109;height:260" type="#_x0000_t75" id="docshape12" stroked="false">
              <v:imagedata r:id="rId15" o:title=""/>
            </v:shape>
            <v:shape style="position:absolute;left:1154;top:1374;width:1138;height:360" type="#_x0000_t75" id="docshape13" stroked="false">
              <v:imagedata r:id="rId16" o:title=""/>
            </v:shape>
            <v:shape style="position:absolute;left:8642;top:1662;width:1181;height:591" type="#_x0000_t75" id="docshape14" stroked="false">
              <v:imagedata r:id="rId17" o:title=""/>
            </v:shape>
            <v:shape style="position:absolute;left:3055;top:16098;width:2780;height:36" type="#_x0000_t75" id="docshape15" stroked="false">
              <v:imagedata r:id="rId18" o:title=""/>
            </v:shape>
            <v:shape style="position:absolute;left:9794;top:1669;width:720;height:123" type="#_x0000_t75" id="docshape16" stroked="false">
              <v:imagedata r:id="rId19" o:title=""/>
            </v:shape>
            <w10:wrap type="none"/>
          </v:group>
        </w:pict>
      </w:r>
    </w:p>
    <w:p>
      <w:pPr>
        <w:spacing w:after="0"/>
        <w:rPr>
          <w:sz w:val="17"/>
        </w:rPr>
        <w:sectPr>
          <w:pgSz w:w="11920" w:h="16840"/>
          <w:pgMar w:top="1940" w:bottom="280" w:left="1680" w:right="1680"/>
        </w:sectPr>
      </w:pPr>
    </w:p>
    <w:p>
      <w:pPr>
        <w:pStyle w:val="BodyText"/>
        <w:spacing w:before="4"/>
        <w:rPr>
          <w:sz w:val="17"/>
        </w:rPr>
      </w:pPr>
      <w:r>
        <w:rPr/>
        <w:pict>
          <v:group style="position:absolute;margin-left:5.88047pt;margin-top:0pt;width:589.7pt;height:842pt;mso-position-horizontal-relative:page;mso-position-vertical-relative:page;z-index:15731200" id="docshapegroup17" coordorigin="118,0" coordsize="11794,16840">
            <v:shape style="position:absolute;left:117;top:0;width:11794;height:16840" type="#_x0000_t75" id="docshape18" stroked="false">
              <v:imagedata r:id="rId20" o:title=""/>
            </v:shape>
            <v:shape style="position:absolute;left:1672;top:3563;width:9310;height:12053" type="#_x0000_t75" id="docshape19" stroked="false">
              <v:imagedata r:id="rId21" o:title=""/>
            </v:shape>
            <v:shape style="position:absolute;left:1672;top:4751;width:8324;height:1880" type="#_x0000_t75" id="docshape20" stroked="false">
              <v:imagedata r:id="rId22" o:title=""/>
            </v:shape>
            <v:shape style="position:absolute;left:1730;top:3448;width:836;height:994" type="#_x0000_t75" id="docshape21" stroked="false">
              <v:imagedata r:id="rId23" o:title=""/>
            </v:shape>
            <v:shape style="position:absolute;left:7605;top:16098;width:4104;height:36" type="#_x0000_t75" id="docshape22" stroked="false">
              <v:imagedata r:id="rId24" o:title=""/>
            </v:shape>
            <w10:wrap type="none"/>
          </v:group>
        </w:pict>
      </w:r>
    </w:p>
    <w:p>
      <w:pPr>
        <w:spacing w:after="0"/>
        <w:rPr>
          <w:sz w:val="17"/>
        </w:rPr>
        <w:sectPr>
          <w:pgSz w:w="11920" w:h="16840"/>
          <w:pgMar w:top="1940" w:bottom="280" w:left="1680" w:right="1680"/>
        </w:sectPr>
      </w:pPr>
    </w:p>
    <w:p>
      <w:pPr>
        <w:pStyle w:val="BodyText"/>
        <w:rPr>
          <w:sz w:val="20"/>
        </w:rPr>
      </w:pPr>
    </w:p>
    <w:p>
      <w:pPr>
        <w:pStyle w:val="BodyText"/>
        <w:rPr>
          <w:sz w:val="20"/>
        </w:rPr>
      </w:pPr>
    </w:p>
    <w:p>
      <w:pPr>
        <w:pStyle w:val="BodyText"/>
        <w:rPr>
          <w:sz w:val="20"/>
        </w:rPr>
      </w:pPr>
    </w:p>
    <w:p>
      <w:pPr>
        <w:pStyle w:val="BodyText"/>
        <w:spacing w:before="1" w:after="1"/>
        <w:rPr>
          <w:sz w:val="14"/>
        </w:rPr>
      </w:pPr>
    </w:p>
    <w:p>
      <w:pPr>
        <w:pStyle w:val="BodyText"/>
        <w:ind w:left="2023"/>
        <w:rPr>
          <w:sz w:val="20"/>
        </w:rPr>
      </w:pPr>
      <w:r>
        <w:rPr>
          <w:sz w:val="20"/>
        </w:rPr>
        <w:drawing>
          <wp:inline distT="0" distB="0" distL="0" distR="0">
            <wp:extent cx="4523423" cy="6355080"/>
            <wp:effectExtent l="0" t="0" r="0" b="0"/>
            <wp:docPr id="5" name="image21.jpeg"/>
            <wp:cNvGraphicFramePr>
              <a:graphicFrameLocks noChangeAspect="1"/>
            </wp:cNvGraphicFramePr>
            <a:graphic>
              <a:graphicData uri="http://schemas.openxmlformats.org/drawingml/2006/picture">
                <pic:pic>
                  <pic:nvPicPr>
                    <pic:cNvPr id="6" name="image21.jpeg"/>
                    <pic:cNvPicPr/>
                  </pic:nvPicPr>
                  <pic:blipFill>
                    <a:blip r:embed="rId25" cstate="print"/>
                    <a:stretch>
                      <a:fillRect/>
                    </a:stretch>
                  </pic:blipFill>
                  <pic:spPr>
                    <a:xfrm>
                      <a:off x="0" y="0"/>
                      <a:ext cx="4523423" cy="6355080"/>
                    </a:xfrm>
                    <a:prstGeom prst="rect">
                      <a:avLst/>
                    </a:prstGeom>
                  </pic:spPr>
                </pic:pic>
              </a:graphicData>
            </a:graphic>
          </wp:inline>
        </w:drawing>
      </w:r>
      <w:r>
        <w:rPr>
          <w:sz w:val="20"/>
        </w:rPr>
      </w:r>
    </w:p>
    <w:p>
      <w:pPr>
        <w:spacing w:after="0"/>
        <w:rPr>
          <w:sz w:val="20"/>
        </w:rPr>
        <w:sectPr>
          <w:pgSz w:w="12240" w:h="15840"/>
          <w:pgMar w:top="1820" w:bottom="280" w:left="700" w:right="0"/>
        </w:sectPr>
      </w:pPr>
    </w:p>
    <w:p>
      <w:pPr>
        <w:pStyle w:val="BodyText"/>
        <w:ind w:left="4218"/>
        <w:rPr>
          <w:sz w:val="20"/>
        </w:rPr>
      </w:pPr>
      <w:r>
        <w:rPr>
          <w:sz w:val="20"/>
        </w:rPr>
        <w:drawing>
          <wp:inline distT="0" distB="0" distL="0" distR="0">
            <wp:extent cx="1304725" cy="1317498"/>
            <wp:effectExtent l="0" t="0" r="0" b="0"/>
            <wp:docPr id="7" name="image22.png" descr="STEMA 1"/>
            <wp:cNvGraphicFramePr>
              <a:graphicFrameLocks noChangeAspect="1"/>
            </wp:cNvGraphicFramePr>
            <a:graphic>
              <a:graphicData uri="http://schemas.openxmlformats.org/drawingml/2006/picture">
                <pic:pic>
                  <pic:nvPicPr>
                    <pic:cNvPr id="8" name="image22.png"/>
                    <pic:cNvPicPr/>
                  </pic:nvPicPr>
                  <pic:blipFill>
                    <a:blip r:embed="rId27" cstate="print"/>
                    <a:stretch>
                      <a:fillRect/>
                    </a:stretch>
                  </pic:blipFill>
                  <pic:spPr>
                    <a:xfrm>
                      <a:off x="0" y="0"/>
                      <a:ext cx="1304725" cy="131749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tabs>
          <w:tab w:pos="3167" w:val="left" w:leader="none"/>
        </w:tabs>
        <w:spacing w:before="100"/>
        <w:ind w:left="0" w:right="429" w:firstLine="0"/>
        <w:jc w:val="center"/>
        <w:rPr>
          <w:rFonts w:ascii="Cambria" w:hAnsi="Cambria"/>
          <w:sz w:val="42"/>
        </w:rPr>
      </w:pPr>
      <w:r>
        <w:rPr>
          <w:rFonts w:ascii="Cambria" w:hAnsi="Cambria"/>
          <w:spacing w:val="-2"/>
          <w:sz w:val="40"/>
        </w:rPr>
        <w:t>STRATEGJIA</w:t>
      </w:r>
      <w:r>
        <w:rPr>
          <w:rFonts w:ascii="Cambria" w:hAnsi="Cambria"/>
          <w:spacing w:val="-7"/>
          <w:sz w:val="40"/>
        </w:rPr>
        <w:t> </w:t>
      </w:r>
      <w:r>
        <w:rPr>
          <w:rFonts w:ascii="Cambria" w:hAnsi="Cambria"/>
          <w:spacing w:val="-5"/>
          <w:sz w:val="40"/>
        </w:rPr>
        <w:t>PËR</w:t>
      </w:r>
      <w:r>
        <w:rPr>
          <w:rFonts w:ascii="Cambria" w:hAnsi="Cambria"/>
          <w:sz w:val="40"/>
        </w:rPr>
        <w:tab/>
      </w:r>
      <w:r>
        <w:rPr>
          <w:rFonts w:ascii="Cambria" w:hAnsi="Cambria"/>
          <w:sz w:val="42"/>
        </w:rPr>
        <w:t>ZHVILLIM</w:t>
      </w:r>
      <w:r>
        <w:rPr>
          <w:rFonts w:ascii="Cambria" w:hAnsi="Cambria"/>
          <w:spacing w:val="-9"/>
          <w:sz w:val="42"/>
        </w:rPr>
        <w:t> </w:t>
      </w:r>
      <w:r>
        <w:rPr>
          <w:rFonts w:ascii="Cambria" w:hAnsi="Cambria"/>
          <w:spacing w:val="-2"/>
          <w:sz w:val="42"/>
        </w:rPr>
        <w:t>EKONOMIK</w:t>
      </w:r>
    </w:p>
    <w:p>
      <w:pPr>
        <w:spacing w:before="99"/>
        <w:ind w:left="0" w:right="697" w:firstLine="0"/>
        <w:jc w:val="center"/>
        <w:rPr>
          <w:i/>
          <w:sz w:val="40"/>
        </w:rPr>
      </w:pPr>
      <w:r>
        <w:rPr>
          <w:i/>
          <w:sz w:val="40"/>
        </w:rPr>
        <w:t>2023</w:t>
      </w:r>
      <w:r>
        <w:rPr>
          <w:i/>
          <w:spacing w:val="-6"/>
          <w:sz w:val="40"/>
        </w:rPr>
        <w:t> </w:t>
      </w:r>
      <w:r>
        <w:rPr>
          <w:i/>
          <w:sz w:val="40"/>
        </w:rPr>
        <w:t>–</w:t>
      </w:r>
      <w:r>
        <w:rPr>
          <w:i/>
          <w:spacing w:val="-5"/>
          <w:sz w:val="40"/>
        </w:rPr>
        <w:t> </w:t>
      </w:r>
      <w:r>
        <w:rPr>
          <w:i/>
          <w:spacing w:val="-4"/>
          <w:sz w:val="40"/>
        </w:rPr>
        <w:t>2027</w:t>
      </w:r>
    </w:p>
    <w:p>
      <w:pPr>
        <w:spacing w:before="292"/>
        <w:ind w:left="0" w:right="699" w:firstLine="0"/>
        <w:jc w:val="center"/>
        <w:rPr>
          <w:i/>
          <w:sz w:val="40"/>
        </w:rPr>
      </w:pPr>
      <w:r>
        <w:rPr>
          <w:i/>
          <w:sz w:val="40"/>
        </w:rPr>
        <w:t>HANI</w:t>
      </w:r>
      <w:r>
        <w:rPr>
          <w:i/>
          <w:spacing w:val="-7"/>
          <w:sz w:val="40"/>
        </w:rPr>
        <w:t> </w:t>
      </w:r>
      <w:r>
        <w:rPr>
          <w:i/>
          <w:sz w:val="40"/>
        </w:rPr>
        <w:t>I</w:t>
      </w:r>
      <w:r>
        <w:rPr>
          <w:i/>
          <w:spacing w:val="-6"/>
          <w:sz w:val="40"/>
        </w:rPr>
        <w:t> </w:t>
      </w:r>
      <w:r>
        <w:rPr>
          <w:i/>
          <w:spacing w:val="-2"/>
          <w:sz w:val="40"/>
        </w:rPr>
        <w:t>ELEZIT</w:t>
      </w:r>
    </w:p>
    <w:p>
      <w:pPr>
        <w:pStyle w:val="BodyText"/>
        <w:rPr>
          <w:i/>
          <w:sz w:val="44"/>
        </w:rPr>
      </w:pPr>
    </w:p>
    <w:p>
      <w:pPr>
        <w:pStyle w:val="BodyText"/>
        <w:rPr>
          <w:i/>
          <w:sz w:val="44"/>
        </w:rPr>
      </w:pPr>
    </w:p>
    <w:p>
      <w:pPr>
        <w:pStyle w:val="BodyText"/>
        <w:rPr>
          <w:i/>
          <w:sz w:val="44"/>
        </w:rPr>
      </w:pPr>
    </w:p>
    <w:p>
      <w:pPr>
        <w:pStyle w:val="BodyText"/>
        <w:rPr>
          <w:i/>
          <w:sz w:val="44"/>
        </w:rPr>
      </w:pPr>
    </w:p>
    <w:p>
      <w:pPr>
        <w:pStyle w:val="BodyText"/>
        <w:rPr>
          <w:i/>
          <w:sz w:val="44"/>
        </w:rPr>
      </w:pPr>
    </w:p>
    <w:p>
      <w:pPr>
        <w:pStyle w:val="BodyText"/>
        <w:rPr>
          <w:i/>
          <w:sz w:val="44"/>
        </w:rPr>
      </w:pPr>
    </w:p>
    <w:p>
      <w:pPr>
        <w:pStyle w:val="BodyText"/>
        <w:rPr>
          <w:i/>
          <w:sz w:val="44"/>
        </w:rPr>
      </w:pPr>
    </w:p>
    <w:p>
      <w:pPr>
        <w:pStyle w:val="BodyText"/>
        <w:rPr>
          <w:i/>
          <w:sz w:val="44"/>
        </w:rPr>
      </w:pPr>
    </w:p>
    <w:p>
      <w:pPr>
        <w:pStyle w:val="BodyText"/>
        <w:spacing w:before="5"/>
        <w:rPr>
          <w:i/>
          <w:sz w:val="50"/>
        </w:rPr>
      </w:pPr>
    </w:p>
    <w:p>
      <w:pPr>
        <w:pStyle w:val="BodyText"/>
        <w:ind w:left="740" w:right="1438"/>
        <w:jc w:val="both"/>
      </w:pPr>
      <w:r>
        <w:rPr/>
        <w:t>Ky dokument është përgatitur nga Komuna e Hanit të Elezit, respektivisht nga Drejtoria për Zhvillim Ekonomik dhe Turizëm. Përmbajtja e këtij publikimi është përgjegjësi e vetme e Komunës së Hanit të Elezi</w:t>
      </w:r>
    </w:p>
    <w:p>
      <w:pPr>
        <w:pStyle w:val="BodyText"/>
        <w:rPr>
          <w:sz w:val="26"/>
        </w:rPr>
      </w:pPr>
    </w:p>
    <w:p>
      <w:pPr>
        <w:pStyle w:val="BodyText"/>
        <w:spacing w:before="2"/>
        <w:rPr>
          <w:sz w:val="32"/>
        </w:rPr>
      </w:pPr>
    </w:p>
    <w:p>
      <w:pPr>
        <w:spacing w:before="0"/>
        <w:ind w:left="0" w:right="698" w:firstLine="0"/>
        <w:jc w:val="center"/>
        <w:rPr>
          <w:rFonts w:ascii="Arial MT"/>
          <w:sz w:val="21"/>
        </w:rPr>
      </w:pPr>
      <w:r>
        <w:rPr>
          <w:rFonts w:ascii="Arial MT"/>
          <w:sz w:val="21"/>
        </w:rPr>
        <w:t>Hani</w:t>
      </w:r>
      <w:r>
        <w:rPr>
          <w:rFonts w:ascii="Arial MT"/>
          <w:spacing w:val="-4"/>
          <w:sz w:val="21"/>
        </w:rPr>
        <w:t> </w:t>
      </w:r>
      <w:r>
        <w:rPr>
          <w:rFonts w:ascii="Arial MT"/>
          <w:sz w:val="21"/>
        </w:rPr>
        <w:t>i</w:t>
      </w:r>
      <w:r>
        <w:rPr>
          <w:rFonts w:ascii="Arial MT"/>
          <w:spacing w:val="-2"/>
          <w:sz w:val="21"/>
        </w:rPr>
        <w:t> </w:t>
      </w:r>
      <w:r>
        <w:rPr>
          <w:rFonts w:ascii="Arial MT"/>
          <w:sz w:val="21"/>
        </w:rPr>
        <w:t>Elezit,</w:t>
      </w:r>
      <w:r>
        <w:rPr>
          <w:rFonts w:ascii="Arial MT"/>
          <w:spacing w:val="-4"/>
          <w:sz w:val="21"/>
        </w:rPr>
        <w:t> 2023</w:t>
      </w:r>
    </w:p>
    <w:p>
      <w:pPr>
        <w:spacing w:after="0"/>
        <w:jc w:val="center"/>
        <w:rPr>
          <w:rFonts w:ascii="Arial MT"/>
          <w:sz w:val="21"/>
        </w:rPr>
        <w:sectPr>
          <w:footerReference w:type="default" r:id="rId26"/>
          <w:pgSz w:w="12240" w:h="15840"/>
          <w:pgMar w:footer="990" w:header="0" w:top="1500" w:bottom="1180" w:left="700" w:right="0"/>
          <w:pgNumType w:start="2"/>
        </w:sectPr>
      </w:pPr>
    </w:p>
    <w:p>
      <w:pPr>
        <w:pStyle w:val="Heading2"/>
        <w:tabs>
          <w:tab w:pos="10131" w:val="left" w:leader="none"/>
        </w:tabs>
        <w:spacing w:before="80"/>
        <w:jc w:val="both"/>
        <w:rPr>
          <w:rFonts w:ascii="Cambria" w:hAnsi="Cambria"/>
        </w:rPr>
      </w:pPr>
      <w:r>
        <w:rPr>
          <w:rFonts w:ascii="Cambria" w:hAnsi="Cambria"/>
          <w:color w:val="000000"/>
          <w:spacing w:val="-23"/>
          <w:shd w:fill="EAB8A3" w:color="auto" w:val="clear"/>
        </w:rPr>
        <w:t> </w:t>
      </w:r>
      <w:r>
        <w:rPr>
          <w:rFonts w:ascii="Cambria" w:hAnsi="Cambria"/>
          <w:color w:val="000000"/>
          <w:shd w:fill="EAB8A3" w:color="auto" w:val="clear"/>
        </w:rPr>
        <w:t>Fjala</w:t>
      </w:r>
      <w:r>
        <w:rPr>
          <w:rFonts w:ascii="Cambria" w:hAnsi="Cambria"/>
          <w:color w:val="000000"/>
          <w:spacing w:val="-3"/>
          <w:shd w:fill="EAB8A3" w:color="auto" w:val="clear"/>
        </w:rPr>
        <w:t> </w:t>
      </w:r>
      <w:r>
        <w:rPr>
          <w:rFonts w:ascii="Cambria" w:hAnsi="Cambria"/>
          <w:color w:val="000000"/>
          <w:shd w:fill="EAB8A3" w:color="auto" w:val="clear"/>
        </w:rPr>
        <w:t>e</w:t>
      </w:r>
      <w:r>
        <w:rPr>
          <w:rFonts w:ascii="Cambria" w:hAnsi="Cambria"/>
          <w:color w:val="000000"/>
          <w:spacing w:val="-1"/>
          <w:shd w:fill="EAB8A3" w:color="auto" w:val="clear"/>
        </w:rPr>
        <w:t> </w:t>
      </w:r>
      <w:r>
        <w:rPr>
          <w:rFonts w:ascii="Cambria" w:hAnsi="Cambria"/>
          <w:color w:val="000000"/>
          <w:shd w:fill="EAB8A3" w:color="auto" w:val="clear"/>
        </w:rPr>
        <w:t>Kryetarit</w:t>
      </w:r>
      <w:r>
        <w:rPr>
          <w:rFonts w:ascii="Cambria" w:hAnsi="Cambria"/>
          <w:color w:val="000000"/>
          <w:spacing w:val="-1"/>
          <w:shd w:fill="EAB8A3" w:color="auto" w:val="clear"/>
        </w:rPr>
        <w:t> </w:t>
      </w:r>
      <w:r>
        <w:rPr>
          <w:rFonts w:ascii="Cambria" w:hAnsi="Cambria"/>
          <w:color w:val="000000"/>
          <w:shd w:fill="EAB8A3" w:color="auto" w:val="clear"/>
        </w:rPr>
        <w:t>të</w:t>
      </w:r>
      <w:r>
        <w:rPr>
          <w:rFonts w:ascii="Cambria" w:hAnsi="Cambria"/>
          <w:color w:val="000000"/>
          <w:spacing w:val="-2"/>
          <w:shd w:fill="EAB8A3" w:color="auto" w:val="clear"/>
        </w:rPr>
        <w:t> Komunës</w:t>
      </w:r>
      <w:r>
        <w:rPr>
          <w:rFonts w:ascii="Cambria" w:hAnsi="Cambria"/>
          <w:color w:val="000000"/>
          <w:shd w:fill="EAB8A3" w:color="auto" w:val="clear"/>
        </w:rPr>
        <w:tab/>
      </w:r>
    </w:p>
    <w:p>
      <w:pPr>
        <w:pStyle w:val="BodyText"/>
        <w:spacing w:before="242"/>
        <w:ind w:left="740"/>
        <w:jc w:val="both"/>
      </w:pPr>
      <w:r>
        <w:rPr/>
        <w:t>Të</w:t>
      </w:r>
      <w:r>
        <w:rPr>
          <w:spacing w:val="-1"/>
        </w:rPr>
        <w:t> </w:t>
      </w:r>
      <w:r>
        <w:rPr/>
        <w:t>nderuar </w:t>
      </w:r>
      <w:r>
        <w:rPr>
          <w:spacing w:val="-2"/>
        </w:rPr>
        <w:t>bashkëvendas,</w:t>
      </w:r>
    </w:p>
    <w:p>
      <w:pPr>
        <w:pStyle w:val="BodyText"/>
        <w:ind w:left="740" w:right="1438"/>
        <w:jc w:val="both"/>
      </w:pPr>
      <w:r>
        <w:rPr/>
        <w:t>Strategjia për Zhvillim Ekonomik 2023-2027 është një nga dokumentet kyçe që posedon institucioni komunal, përmes së cilit identifikohet potenciali zhvillimor ekonomik që posedon Komuna e Hanit të Elezit.</w:t>
      </w:r>
    </w:p>
    <w:p>
      <w:pPr>
        <w:pStyle w:val="BodyText"/>
      </w:pPr>
    </w:p>
    <w:p>
      <w:pPr>
        <w:pStyle w:val="BodyText"/>
        <w:ind w:left="740" w:right="1437"/>
        <w:jc w:val="both"/>
      </w:pPr>
      <w:r>
        <w:rPr/>
        <w:t>Në kohët e tashme, është e rëndësishme të kemi një vizion të qartë për të ardhmen ekonomike të komunës</w:t>
      </w:r>
      <w:r>
        <w:rPr>
          <w:spacing w:val="-14"/>
        </w:rPr>
        <w:t> </w:t>
      </w:r>
      <w:r>
        <w:rPr/>
        <w:t>sonë.</w:t>
      </w:r>
      <w:r>
        <w:rPr>
          <w:spacing w:val="-14"/>
        </w:rPr>
        <w:t> </w:t>
      </w:r>
      <w:r>
        <w:rPr/>
        <w:t>Një</w:t>
      </w:r>
      <w:r>
        <w:rPr>
          <w:spacing w:val="-14"/>
        </w:rPr>
        <w:t> </w:t>
      </w:r>
      <w:r>
        <w:rPr/>
        <w:t>strategji</w:t>
      </w:r>
      <w:r>
        <w:rPr>
          <w:spacing w:val="-14"/>
        </w:rPr>
        <w:t> </w:t>
      </w:r>
      <w:r>
        <w:rPr/>
        <w:t>e</w:t>
      </w:r>
      <w:r>
        <w:rPr>
          <w:spacing w:val="-15"/>
        </w:rPr>
        <w:t> </w:t>
      </w:r>
      <w:r>
        <w:rPr/>
        <w:t>mirëplanifikuar</w:t>
      </w:r>
      <w:r>
        <w:rPr>
          <w:spacing w:val="-14"/>
        </w:rPr>
        <w:t> </w:t>
      </w:r>
      <w:r>
        <w:rPr/>
        <w:t>dhe</w:t>
      </w:r>
      <w:r>
        <w:rPr>
          <w:spacing w:val="-14"/>
        </w:rPr>
        <w:t> </w:t>
      </w:r>
      <w:r>
        <w:rPr/>
        <w:t>e</w:t>
      </w:r>
      <w:r>
        <w:rPr>
          <w:spacing w:val="-14"/>
        </w:rPr>
        <w:t> </w:t>
      </w:r>
      <w:r>
        <w:rPr/>
        <w:t>mirëhartuar</w:t>
      </w:r>
      <w:r>
        <w:rPr>
          <w:spacing w:val="-14"/>
        </w:rPr>
        <w:t> </w:t>
      </w:r>
      <w:r>
        <w:rPr/>
        <w:t>do</w:t>
      </w:r>
      <w:r>
        <w:rPr>
          <w:spacing w:val="-14"/>
        </w:rPr>
        <w:t> </w:t>
      </w:r>
      <w:r>
        <w:rPr/>
        <w:t>të</w:t>
      </w:r>
      <w:r>
        <w:rPr>
          <w:spacing w:val="-13"/>
        </w:rPr>
        <w:t> </w:t>
      </w:r>
      <w:r>
        <w:rPr/>
        <w:t>na</w:t>
      </w:r>
      <w:r>
        <w:rPr>
          <w:spacing w:val="-15"/>
        </w:rPr>
        <w:t> </w:t>
      </w:r>
      <w:r>
        <w:rPr/>
        <w:t>ndihmojë</w:t>
      </w:r>
      <w:r>
        <w:rPr>
          <w:spacing w:val="-14"/>
        </w:rPr>
        <w:t> </w:t>
      </w:r>
      <w:r>
        <w:rPr/>
        <w:t>të</w:t>
      </w:r>
      <w:r>
        <w:rPr>
          <w:spacing w:val="-15"/>
        </w:rPr>
        <w:t> </w:t>
      </w:r>
      <w:r>
        <w:rPr/>
        <w:t>identifikojmë sfidat, të përcaktojmë objektivat dhe të zhvillojmë veprime të qëndrueshme për të forcuar zhvillimin ekonomik.</w:t>
      </w:r>
    </w:p>
    <w:p>
      <w:pPr>
        <w:pStyle w:val="BodyText"/>
      </w:pPr>
    </w:p>
    <w:p>
      <w:pPr>
        <w:pStyle w:val="BodyText"/>
        <w:spacing w:before="1"/>
        <w:ind w:left="740" w:right="1438"/>
        <w:jc w:val="both"/>
      </w:pPr>
      <w:r>
        <w:rPr/>
        <w:t>Qëllimi i kësaj strategjie është të krijojmë një mjedis të favorshëm për investime, inovacion dhe rritje</w:t>
      </w:r>
      <w:r>
        <w:rPr>
          <w:spacing w:val="-4"/>
        </w:rPr>
        <w:t> </w:t>
      </w:r>
      <w:r>
        <w:rPr/>
        <w:t>të</w:t>
      </w:r>
      <w:r>
        <w:rPr>
          <w:spacing w:val="-4"/>
        </w:rPr>
        <w:t> </w:t>
      </w:r>
      <w:r>
        <w:rPr/>
        <w:t>qëndrueshme.</w:t>
      </w:r>
      <w:r>
        <w:rPr>
          <w:spacing w:val="-4"/>
        </w:rPr>
        <w:t> </w:t>
      </w:r>
      <w:r>
        <w:rPr/>
        <w:t>Nëpërmjet</w:t>
      </w:r>
      <w:r>
        <w:rPr>
          <w:spacing w:val="-3"/>
        </w:rPr>
        <w:t> </w:t>
      </w:r>
      <w:r>
        <w:rPr/>
        <w:t>studimeve</w:t>
      </w:r>
      <w:r>
        <w:rPr>
          <w:spacing w:val="-4"/>
        </w:rPr>
        <w:t> </w:t>
      </w:r>
      <w:r>
        <w:rPr/>
        <w:t>të</w:t>
      </w:r>
      <w:r>
        <w:rPr>
          <w:spacing w:val="-4"/>
        </w:rPr>
        <w:t> </w:t>
      </w:r>
      <w:r>
        <w:rPr/>
        <w:t>hollësishme</w:t>
      </w:r>
      <w:r>
        <w:rPr>
          <w:spacing w:val="-4"/>
        </w:rPr>
        <w:t> </w:t>
      </w:r>
      <w:r>
        <w:rPr/>
        <w:t>dhe</w:t>
      </w:r>
      <w:r>
        <w:rPr>
          <w:spacing w:val="-4"/>
        </w:rPr>
        <w:t> </w:t>
      </w:r>
      <w:r>
        <w:rPr/>
        <w:t>konsultimeve</w:t>
      </w:r>
      <w:r>
        <w:rPr>
          <w:spacing w:val="-4"/>
        </w:rPr>
        <w:t> </w:t>
      </w:r>
      <w:r>
        <w:rPr/>
        <w:t>të</w:t>
      </w:r>
      <w:r>
        <w:rPr>
          <w:spacing w:val="-4"/>
        </w:rPr>
        <w:t> </w:t>
      </w:r>
      <w:r>
        <w:rPr/>
        <w:t>përgjegjshme</w:t>
      </w:r>
      <w:r>
        <w:rPr>
          <w:spacing w:val="-4"/>
        </w:rPr>
        <w:t> </w:t>
      </w:r>
      <w:r>
        <w:rPr/>
        <w:t>me përfaqësuesit e drejtorive komunale, zyreve dhe njësive komunale, shoqërisë civile, komiteteve konsultative komunale dhe bashkëpunëtorët nga agjencionet zhvillimore, kemi identifikuar disa sektorë kyç për ta fokusuar përkushtimin tonë.</w:t>
      </w:r>
    </w:p>
    <w:p>
      <w:pPr>
        <w:pStyle w:val="BodyText"/>
        <w:spacing w:before="11"/>
        <w:rPr>
          <w:sz w:val="23"/>
        </w:rPr>
      </w:pPr>
    </w:p>
    <w:p>
      <w:pPr>
        <w:pStyle w:val="BodyText"/>
        <w:ind w:left="740" w:right="1438"/>
        <w:jc w:val="both"/>
      </w:pPr>
      <w:r>
        <w:rPr/>
        <w:t>Në këtë strategji, fokusohemi në përmirësimin e infrastrukturës së transportit, krijimin e një ambienti</w:t>
      </w:r>
      <w:r>
        <w:rPr>
          <w:spacing w:val="-4"/>
        </w:rPr>
        <w:t> </w:t>
      </w:r>
      <w:r>
        <w:rPr/>
        <w:t>të</w:t>
      </w:r>
      <w:r>
        <w:rPr>
          <w:spacing w:val="-5"/>
        </w:rPr>
        <w:t> </w:t>
      </w:r>
      <w:r>
        <w:rPr/>
        <w:t>favorshëm</w:t>
      </w:r>
      <w:r>
        <w:rPr>
          <w:spacing w:val="-4"/>
        </w:rPr>
        <w:t> </w:t>
      </w:r>
      <w:r>
        <w:rPr/>
        <w:t>biznesor,</w:t>
      </w:r>
      <w:r>
        <w:rPr>
          <w:spacing w:val="-4"/>
        </w:rPr>
        <w:t> </w:t>
      </w:r>
      <w:r>
        <w:rPr/>
        <w:t>mbështetjen</w:t>
      </w:r>
      <w:r>
        <w:rPr>
          <w:spacing w:val="-4"/>
        </w:rPr>
        <w:t> </w:t>
      </w:r>
      <w:r>
        <w:rPr/>
        <w:t>e</w:t>
      </w:r>
      <w:r>
        <w:rPr>
          <w:spacing w:val="-4"/>
        </w:rPr>
        <w:t> </w:t>
      </w:r>
      <w:r>
        <w:rPr/>
        <w:t>sektorit</w:t>
      </w:r>
      <w:r>
        <w:rPr>
          <w:spacing w:val="-5"/>
        </w:rPr>
        <w:t> </w:t>
      </w:r>
      <w:r>
        <w:rPr/>
        <w:t>të</w:t>
      </w:r>
      <w:r>
        <w:rPr>
          <w:spacing w:val="-3"/>
        </w:rPr>
        <w:t> </w:t>
      </w:r>
      <w:r>
        <w:rPr/>
        <w:t>turizmit</w:t>
      </w:r>
      <w:r>
        <w:rPr>
          <w:spacing w:val="-4"/>
        </w:rPr>
        <w:t> </w:t>
      </w:r>
      <w:r>
        <w:rPr/>
        <w:t>dhe</w:t>
      </w:r>
      <w:r>
        <w:rPr>
          <w:spacing w:val="-4"/>
        </w:rPr>
        <w:t> </w:t>
      </w:r>
      <w:r>
        <w:rPr/>
        <w:t>ndërtimit</w:t>
      </w:r>
      <w:r>
        <w:rPr>
          <w:spacing w:val="-5"/>
        </w:rPr>
        <w:t> </w:t>
      </w:r>
      <w:r>
        <w:rPr/>
        <w:t>të</w:t>
      </w:r>
      <w:r>
        <w:rPr>
          <w:spacing w:val="-3"/>
        </w:rPr>
        <w:t> </w:t>
      </w:r>
      <w:r>
        <w:rPr/>
        <w:t>kapaciteteve</w:t>
      </w:r>
      <w:r>
        <w:rPr>
          <w:spacing w:val="-5"/>
        </w:rPr>
        <w:t> </w:t>
      </w:r>
      <w:r>
        <w:rPr/>
        <w:t>të komunitetit lokal. Ne i shikojmë këta sektorë si motorë të zhvillimit ekonomik të komunës sonë dhe</w:t>
      </w:r>
      <w:r>
        <w:rPr>
          <w:spacing w:val="-13"/>
        </w:rPr>
        <w:t> </w:t>
      </w:r>
      <w:r>
        <w:rPr/>
        <w:t>do</w:t>
      </w:r>
      <w:r>
        <w:rPr>
          <w:spacing w:val="-11"/>
        </w:rPr>
        <w:t> </w:t>
      </w:r>
      <w:r>
        <w:rPr/>
        <w:t>të</w:t>
      </w:r>
      <w:r>
        <w:rPr>
          <w:spacing w:val="-10"/>
        </w:rPr>
        <w:t> </w:t>
      </w:r>
      <w:r>
        <w:rPr/>
        <w:t>ndërmarrim</w:t>
      </w:r>
      <w:r>
        <w:rPr>
          <w:spacing w:val="-11"/>
        </w:rPr>
        <w:t> </w:t>
      </w:r>
      <w:r>
        <w:rPr/>
        <w:t>hapa</w:t>
      </w:r>
      <w:r>
        <w:rPr>
          <w:spacing w:val="-11"/>
        </w:rPr>
        <w:t> </w:t>
      </w:r>
      <w:r>
        <w:rPr/>
        <w:t>konkretë</w:t>
      </w:r>
      <w:r>
        <w:rPr>
          <w:spacing w:val="-11"/>
        </w:rPr>
        <w:t> </w:t>
      </w:r>
      <w:r>
        <w:rPr/>
        <w:t>për</w:t>
      </w:r>
      <w:r>
        <w:rPr>
          <w:spacing w:val="-11"/>
        </w:rPr>
        <w:t> </w:t>
      </w:r>
      <w:r>
        <w:rPr/>
        <w:t>të</w:t>
      </w:r>
      <w:r>
        <w:rPr>
          <w:spacing w:val="-11"/>
        </w:rPr>
        <w:t> </w:t>
      </w:r>
      <w:r>
        <w:rPr/>
        <w:t>stimuluar</w:t>
      </w:r>
      <w:r>
        <w:rPr>
          <w:spacing w:val="-9"/>
        </w:rPr>
        <w:t> </w:t>
      </w:r>
      <w:r>
        <w:rPr/>
        <w:t>rritjen</w:t>
      </w:r>
      <w:r>
        <w:rPr>
          <w:spacing w:val="-12"/>
        </w:rPr>
        <w:t> </w:t>
      </w:r>
      <w:r>
        <w:rPr/>
        <w:t>dhe</w:t>
      </w:r>
      <w:r>
        <w:rPr>
          <w:spacing w:val="-11"/>
        </w:rPr>
        <w:t> </w:t>
      </w:r>
      <w:r>
        <w:rPr/>
        <w:t>krijimin</w:t>
      </w:r>
      <w:r>
        <w:rPr>
          <w:spacing w:val="-11"/>
        </w:rPr>
        <w:t> </w:t>
      </w:r>
      <w:r>
        <w:rPr/>
        <w:t>e</w:t>
      </w:r>
      <w:r>
        <w:rPr>
          <w:spacing w:val="-12"/>
        </w:rPr>
        <w:t> </w:t>
      </w:r>
      <w:r>
        <w:rPr/>
        <w:t>vendeve</w:t>
      </w:r>
      <w:r>
        <w:rPr>
          <w:spacing w:val="-12"/>
        </w:rPr>
        <w:t> </w:t>
      </w:r>
      <w:r>
        <w:rPr/>
        <w:t>të</w:t>
      </w:r>
      <w:r>
        <w:rPr>
          <w:spacing w:val="-10"/>
        </w:rPr>
        <w:t> </w:t>
      </w:r>
      <w:r>
        <w:rPr/>
        <w:t>reja</w:t>
      </w:r>
      <w:r>
        <w:rPr>
          <w:spacing w:val="-12"/>
        </w:rPr>
        <w:t> </w:t>
      </w:r>
      <w:r>
        <w:rPr/>
        <w:t>të</w:t>
      </w:r>
      <w:r>
        <w:rPr>
          <w:spacing w:val="-9"/>
        </w:rPr>
        <w:t> </w:t>
      </w:r>
      <w:r>
        <w:rPr>
          <w:spacing w:val="-2"/>
        </w:rPr>
        <w:t>punës.</w:t>
      </w:r>
    </w:p>
    <w:p>
      <w:pPr>
        <w:pStyle w:val="BodyText"/>
      </w:pPr>
    </w:p>
    <w:p>
      <w:pPr>
        <w:pStyle w:val="BodyText"/>
        <w:ind w:left="740" w:right="1441"/>
        <w:jc w:val="both"/>
      </w:pPr>
      <w:r>
        <w:rPr/>
        <w:t>Kam</w:t>
      </w:r>
      <w:r>
        <w:rPr>
          <w:spacing w:val="-1"/>
        </w:rPr>
        <w:t> </w:t>
      </w:r>
      <w:r>
        <w:rPr/>
        <w:t>besim</w:t>
      </w:r>
      <w:r>
        <w:rPr>
          <w:spacing w:val="-2"/>
        </w:rPr>
        <w:t> </w:t>
      </w:r>
      <w:r>
        <w:rPr/>
        <w:t>të</w:t>
      </w:r>
      <w:r>
        <w:rPr>
          <w:spacing w:val="-1"/>
        </w:rPr>
        <w:t> </w:t>
      </w:r>
      <w:r>
        <w:rPr/>
        <w:t>plotë</w:t>
      </w:r>
      <w:r>
        <w:rPr>
          <w:spacing w:val="-1"/>
        </w:rPr>
        <w:t> </w:t>
      </w:r>
      <w:r>
        <w:rPr/>
        <w:t>në</w:t>
      </w:r>
      <w:r>
        <w:rPr>
          <w:spacing w:val="-2"/>
        </w:rPr>
        <w:t> </w:t>
      </w:r>
      <w:r>
        <w:rPr/>
        <w:t>potencialin</w:t>
      </w:r>
      <w:r>
        <w:rPr>
          <w:spacing w:val="-2"/>
        </w:rPr>
        <w:t> </w:t>
      </w:r>
      <w:r>
        <w:rPr/>
        <w:t>e</w:t>
      </w:r>
      <w:r>
        <w:rPr>
          <w:spacing w:val="-2"/>
        </w:rPr>
        <w:t> </w:t>
      </w:r>
      <w:r>
        <w:rPr/>
        <w:t>Komunës</w:t>
      </w:r>
      <w:r>
        <w:rPr>
          <w:spacing w:val="-1"/>
        </w:rPr>
        <w:t> </w:t>
      </w:r>
      <w:r>
        <w:rPr/>
        <w:t>së</w:t>
      </w:r>
      <w:r>
        <w:rPr>
          <w:spacing w:val="-2"/>
        </w:rPr>
        <w:t> </w:t>
      </w:r>
      <w:r>
        <w:rPr/>
        <w:t>Hani</w:t>
      </w:r>
      <w:r>
        <w:rPr>
          <w:spacing w:val="-1"/>
        </w:rPr>
        <w:t> </w:t>
      </w:r>
      <w:r>
        <w:rPr/>
        <w:t>i</w:t>
      </w:r>
      <w:r>
        <w:rPr>
          <w:spacing w:val="-1"/>
        </w:rPr>
        <w:t> </w:t>
      </w:r>
      <w:r>
        <w:rPr/>
        <w:t>Elezit</w:t>
      </w:r>
      <w:r>
        <w:rPr>
          <w:spacing w:val="-1"/>
        </w:rPr>
        <w:t> </w:t>
      </w:r>
      <w:r>
        <w:rPr/>
        <w:t>dhe</w:t>
      </w:r>
      <w:r>
        <w:rPr>
          <w:spacing w:val="-1"/>
        </w:rPr>
        <w:t> </w:t>
      </w:r>
      <w:r>
        <w:rPr/>
        <w:t>në</w:t>
      </w:r>
      <w:r>
        <w:rPr>
          <w:spacing w:val="-2"/>
        </w:rPr>
        <w:t> </w:t>
      </w:r>
      <w:r>
        <w:rPr/>
        <w:t>aftësitë</w:t>
      </w:r>
      <w:r>
        <w:rPr>
          <w:spacing w:val="-2"/>
        </w:rPr>
        <w:t> </w:t>
      </w:r>
      <w:r>
        <w:rPr/>
        <w:t>e</w:t>
      </w:r>
      <w:r>
        <w:rPr>
          <w:spacing w:val="-1"/>
        </w:rPr>
        <w:t> </w:t>
      </w:r>
      <w:r>
        <w:rPr/>
        <w:t>banorëve</w:t>
      </w:r>
      <w:r>
        <w:rPr>
          <w:spacing w:val="-2"/>
        </w:rPr>
        <w:t> </w:t>
      </w:r>
      <w:r>
        <w:rPr/>
        <w:t>tanë</w:t>
      </w:r>
      <w:r>
        <w:rPr>
          <w:spacing w:val="-2"/>
        </w:rPr>
        <w:t> </w:t>
      </w:r>
      <w:r>
        <w:rPr/>
        <w:t>për të krijuar një të ardhme të ndritur. Së bashku, do të ndërtojmë bazën e një ekonomie të qëndrueshme dhe të forcojmë pozicionin tonë në nivel vendi dhe rajoni.</w:t>
      </w:r>
    </w:p>
    <w:p>
      <w:pPr>
        <w:pStyle w:val="BodyText"/>
        <w:spacing w:before="1"/>
      </w:pPr>
    </w:p>
    <w:p>
      <w:pPr>
        <w:pStyle w:val="BodyText"/>
        <w:ind w:left="740" w:right="1440"/>
        <w:jc w:val="both"/>
      </w:pPr>
      <w:r>
        <w:rPr/>
        <w:t>Ju</w:t>
      </w:r>
      <w:r>
        <w:rPr>
          <w:spacing w:val="-5"/>
        </w:rPr>
        <w:t> </w:t>
      </w:r>
      <w:r>
        <w:rPr/>
        <w:t>faleminderit</w:t>
      </w:r>
      <w:r>
        <w:rPr>
          <w:spacing w:val="-4"/>
        </w:rPr>
        <w:t> </w:t>
      </w:r>
      <w:r>
        <w:rPr/>
        <w:t>për</w:t>
      </w:r>
      <w:r>
        <w:rPr>
          <w:spacing w:val="-4"/>
        </w:rPr>
        <w:t> </w:t>
      </w:r>
      <w:r>
        <w:rPr/>
        <w:t>vëmendjen</w:t>
      </w:r>
      <w:r>
        <w:rPr>
          <w:spacing w:val="-5"/>
        </w:rPr>
        <w:t> </w:t>
      </w:r>
      <w:r>
        <w:rPr/>
        <w:t>dhe</w:t>
      </w:r>
      <w:r>
        <w:rPr>
          <w:spacing w:val="-6"/>
        </w:rPr>
        <w:t> </w:t>
      </w:r>
      <w:r>
        <w:rPr/>
        <w:t>mbështetjen</w:t>
      </w:r>
      <w:r>
        <w:rPr>
          <w:spacing w:val="-6"/>
        </w:rPr>
        <w:t> </w:t>
      </w:r>
      <w:r>
        <w:rPr/>
        <w:t>tuaj</w:t>
      </w:r>
      <w:r>
        <w:rPr>
          <w:spacing w:val="-5"/>
        </w:rPr>
        <w:t> </w:t>
      </w:r>
      <w:r>
        <w:rPr/>
        <w:t>në</w:t>
      </w:r>
      <w:r>
        <w:rPr>
          <w:spacing w:val="-4"/>
        </w:rPr>
        <w:t> </w:t>
      </w:r>
      <w:r>
        <w:rPr/>
        <w:t>këtë</w:t>
      </w:r>
      <w:r>
        <w:rPr>
          <w:spacing w:val="-6"/>
        </w:rPr>
        <w:t> </w:t>
      </w:r>
      <w:r>
        <w:rPr/>
        <w:t>dokument.</w:t>
      </w:r>
      <w:r>
        <w:rPr>
          <w:spacing w:val="-5"/>
        </w:rPr>
        <w:t> </w:t>
      </w:r>
      <w:r>
        <w:rPr/>
        <w:t>Së</w:t>
      </w:r>
      <w:r>
        <w:rPr>
          <w:spacing w:val="-5"/>
        </w:rPr>
        <w:t> </w:t>
      </w:r>
      <w:r>
        <w:rPr/>
        <w:t>bashku,</w:t>
      </w:r>
      <w:r>
        <w:rPr>
          <w:spacing w:val="-5"/>
        </w:rPr>
        <w:t> </w:t>
      </w:r>
      <w:r>
        <w:rPr/>
        <w:t>mund</w:t>
      </w:r>
      <w:r>
        <w:rPr>
          <w:spacing w:val="-5"/>
        </w:rPr>
        <w:t> </w:t>
      </w:r>
      <w:r>
        <w:rPr/>
        <w:t>të</w:t>
      </w:r>
      <w:r>
        <w:rPr>
          <w:spacing w:val="-5"/>
        </w:rPr>
        <w:t> </w:t>
      </w:r>
      <w:r>
        <w:rPr/>
        <w:t>bëjmë ndryshime reale dhe të krijojmë një qytet vendqëndrues dhe jo vetëm si vendkalues.</w:t>
      </w:r>
    </w:p>
    <w:p>
      <w:pPr>
        <w:pStyle w:val="BodyText"/>
      </w:pPr>
    </w:p>
    <w:p>
      <w:pPr>
        <w:pStyle w:val="BodyText"/>
        <w:ind w:left="740"/>
        <w:jc w:val="both"/>
      </w:pPr>
      <w:r>
        <w:rPr/>
        <w:t>Ju</w:t>
      </w:r>
      <w:r>
        <w:rPr>
          <w:spacing w:val="-2"/>
        </w:rPr>
        <w:t> faleminderit!"</w:t>
      </w:r>
    </w:p>
    <w:p>
      <w:pPr>
        <w:spacing w:after="0"/>
        <w:jc w:val="both"/>
        <w:sectPr>
          <w:pgSz w:w="12240" w:h="15840"/>
          <w:pgMar w:header="0" w:footer="990" w:top="1360" w:bottom="1180" w:left="700" w:right="0"/>
        </w:sectPr>
      </w:pPr>
    </w:p>
    <w:p>
      <w:pPr>
        <w:pStyle w:val="Heading2"/>
        <w:tabs>
          <w:tab w:pos="10131" w:val="left" w:leader="none"/>
        </w:tabs>
        <w:spacing w:before="80"/>
        <w:rPr>
          <w:rFonts w:ascii="Cambria"/>
        </w:rPr>
      </w:pPr>
      <w:r>
        <w:rPr>
          <w:rFonts w:ascii="Cambria"/>
          <w:color w:val="000000"/>
          <w:spacing w:val="-25"/>
          <w:shd w:fill="EAB8A3" w:color="auto" w:val="clear"/>
        </w:rPr>
        <w:t> </w:t>
      </w:r>
      <w:r>
        <w:rPr>
          <w:rFonts w:ascii="Cambria"/>
          <w:color w:val="000000"/>
          <w:shd w:fill="EAB8A3" w:color="auto" w:val="clear"/>
        </w:rPr>
        <w:t>Grupi</w:t>
      </w:r>
      <w:r>
        <w:rPr>
          <w:rFonts w:ascii="Cambria"/>
          <w:color w:val="000000"/>
          <w:spacing w:val="-6"/>
          <w:shd w:fill="EAB8A3" w:color="auto" w:val="clear"/>
        </w:rPr>
        <w:t> </w:t>
      </w:r>
      <w:r>
        <w:rPr>
          <w:rFonts w:ascii="Cambria"/>
          <w:color w:val="000000"/>
          <w:spacing w:val="-2"/>
          <w:shd w:fill="EAB8A3" w:color="auto" w:val="clear"/>
        </w:rPr>
        <w:t>Punues</w:t>
      </w:r>
      <w:r>
        <w:rPr>
          <w:rFonts w:ascii="Cambria"/>
          <w:color w:val="000000"/>
          <w:shd w:fill="EAB8A3" w:color="auto" w:val="clear"/>
        </w:rPr>
        <w:tab/>
      </w:r>
    </w:p>
    <w:p>
      <w:pPr>
        <w:pStyle w:val="ListParagraph"/>
        <w:numPr>
          <w:ilvl w:val="0"/>
          <w:numId w:val="3"/>
        </w:numPr>
        <w:tabs>
          <w:tab w:pos="1461" w:val="left" w:leader="none"/>
        </w:tabs>
        <w:spacing w:line="240" w:lineRule="auto" w:before="242" w:after="0"/>
        <w:ind w:left="1460" w:right="0" w:hanging="361"/>
        <w:jc w:val="left"/>
        <w:rPr>
          <w:sz w:val="24"/>
        </w:rPr>
      </w:pPr>
      <w:r>
        <w:rPr>
          <w:sz w:val="24"/>
        </w:rPr>
        <w:t>Majlinda</w:t>
      </w:r>
      <w:r>
        <w:rPr>
          <w:spacing w:val="-3"/>
          <w:sz w:val="24"/>
        </w:rPr>
        <w:t> </w:t>
      </w:r>
      <w:r>
        <w:rPr>
          <w:sz w:val="24"/>
        </w:rPr>
        <w:t>Kaloshi</w:t>
      </w:r>
      <w:r>
        <w:rPr>
          <w:spacing w:val="-2"/>
          <w:sz w:val="24"/>
        </w:rPr>
        <w:t> </w:t>
      </w:r>
      <w:r>
        <w:rPr>
          <w:sz w:val="24"/>
        </w:rPr>
        <w:t>-</w:t>
      </w:r>
      <w:r>
        <w:rPr>
          <w:spacing w:val="-2"/>
          <w:sz w:val="24"/>
        </w:rPr>
        <w:t> </w:t>
      </w:r>
      <w:r>
        <w:rPr>
          <w:sz w:val="24"/>
        </w:rPr>
        <w:t>Drejtoreshë</w:t>
      </w:r>
      <w:r>
        <w:rPr>
          <w:spacing w:val="-3"/>
          <w:sz w:val="24"/>
        </w:rPr>
        <w:t> </w:t>
      </w:r>
      <w:r>
        <w:rPr>
          <w:sz w:val="24"/>
        </w:rPr>
        <w:t>për</w:t>
      </w:r>
      <w:r>
        <w:rPr>
          <w:spacing w:val="-2"/>
          <w:sz w:val="24"/>
        </w:rPr>
        <w:t> </w:t>
      </w:r>
      <w:r>
        <w:rPr>
          <w:sz w:val="24"/>
        </w:rPr>
        <w:t>Zhvillim</w:t>
      </w:r>
      <w:r>
        <w:rPr>
          <w:spacing w:val="-3"/>
          <w:sz w:val="24"/>
        </w:rPr>
        <w:t> </w:t>
      </w:r>
      <w:r>
        <w:rPr>
          <w:sz w:val="24"/>
        </w:rPr>
        <w:t>Ekonomik,</w:t>
      </w:r>
      <w:r>
        <w:rPr>
          <w:spacing w:val="-2"/>
          <w:sz w:val="24"/>
        </w:rPr>
        <w:t> </w:t>
      </w:r>
      <w:r>
        <w:rPr>
          <w:sz w:val="24"/>
        </w:rPr>
        <w:t>Udhëheqëse</w:t>
      </w:r>
      <w:r>
        <w:rPr>
          <w:spacing w:val="-2"/>
          <w:sz w:val="24"/>
        </w:rPr>
        <w:t> </w:t>
      </w:r>
      <w:r>
        <w:rPr>
          <w:sz w:val="24"/>
        </w:rPr>
        <w:t>e</w:t>
      </w:r>
      <w:r>
        <w:rPr>
          <w:spacing w:val="-3"/>
          <w:sz w:val="24"/>
        </w:rPr>
        <w:t> </w:t>
      </w:r>
      <w:r>
        <w:rPr>
          <w:spacing w:val="-2"/>
          <w:sz w:val="24"/>
        </w:rPr>
        <w:t>grupit</w:t>
      </w:r>
    </w:p>
    <w:p>
      <w:pPr>
        <w:pStyle w:val="ListParagraph"/>
        <w:numPr>
          <w:ilvl w:val="0"/>
          <w:numId w:val="3"/>
        </w:numPr>
        <w:tabs>
          <w:tab w:pos="1461" w:val="left" w:leader="none"/>
        </w:tabs>
        <w:spacing w:line="240" w:lineRule="auto" w:before="55" w:after="0"/>
        <w:ind w:left="1460" w:right="0" w:hanging="361"/>
        <w:jc w:val="left"/>
        <w:rPr>
          <w:sz w:val="24"/>
        </w:rPr>
      </w:pPr>
      <w:r>
        <w:rPr>
          <w:sz w:val="24"/>
        </w:rPr>
        <w:t>Sevdi</w:t>
      </w:r>
      <w:r>
        <w:rPr>
          <w:spacing w:val="-1"/>
          <w:sz w:val="24"/>
        </w:rPr>
        <w:t> </w:t>
      </w:r>
      <w:r>
        <w:rPr>
          <w:sz w:val="24"/>
        </w:rPr>
        <w:t>Dernjani - Nënkryetar</w:t>
      </w:r>
      <w:r>
        <w:rPr>
          <w:spacing w:val="-1"/>
          <w:sz w:val="24"/>
        </w:rPr>
        <w:t> </w:t>
      </w:r>
      <w:r>
        <w:rPr>
          <w:sz w:val="24"/>
        </w:rPr>
        <w:t>i </w:t>
      </w:r>
      <w:r>
        <w:rPr>
          <w:spacing w:val="-2"/>
          <w:sz w:val="24"/>
        </w:rPr>
        <w:t>komunës</w:t>
      </w:r>
    </w:p>
    <w:p>
      <w:pPr>
        <w:pStyle w:val="ListParagraph"/>
        <w:numPr>
          <w:ilvl w:val="0"/>
          <w:numId w:val="3"/>
        </w:numPr>
        <w:tabs>
          <w:tab w:pos="1461" w:val="left" w:leader="none"/>
        </w:tabs>
        <w:spacing w:line="240" w:lineRule="auto" w:before="56" w:after="0"/>
        <w:ind w:left="1460" w:right="0" w:hanging="361"/>
        <w:jc w:val="left"/>
        <w:rPr>
          <w:sz w:val="24"/>
        </w:rPr>
      </w:pPr>
      <w:r>
        <w:rPr>
          <w:sz w:val="24"/>
        </w:rPr>
        <w:t>Kimete</w:t>
      </w:r>
      <w:r>
        <w:rPr>
          <w:spacing w:val="-1"/>
          <w:sz w:val="24"/>
        </w:rPr>
        <w:t> </w:t>
      </w:r>
      <w:r>
        <w:rPr>
          <w:sz w:val="24"/>
        </w:rPr>
        <w:t>Kuka</w:t>
      </w:r>
      <w:r>
        <w:rPr>
          <w:spacing w:val="-1"/>
          <w:sz w:val="24"/>
        </w:rPr>
        <w:t> </w:t>
      </w:r>
      <w:r>
        <w:rPr>
          <w:sz w:val="24"/>
        </w:rPr>
        <w:t>-</w:t>
      </w:r>
      <w:r>
        <w:rPr>
          <w:spacing w:val="-1"/>
          <w:sz w:val="24"/>
        </w:rPr>
        <w:t> </w:t>
      </w:r>
      <w:r>
        <w:rPr>
          <w:sz w:val="24"/>
        </w:rPr>
        <w:t>Drejtoreshë</w:t>
      </w:r>
      <w:r>
        <w:rPr>
          <w:spacing w:val="-1"/>
          <w:sz w:val="24"/>
        </w:rPr>
        <w:t> </w:t>
      </w:r>
      <w:r>
        <w:rPr>
          <w:sz w:val="24"/>
        </w:rPr>
        <w:t>për</w:t>
      </w:r>
      <w:r>
        <w:rPr>
          <w:spacing w:val="-1"/>
          <w:sz w:val="24"/>
        </w:rPr>
        <w:t> </w:t>
      </w:r>
      <w:r>
        <w:rPr>
          <w:sz w:val="24"/>
        </w:rPr>
        <w:t>Shëndetesi</w:t>
      </w:r>
      <w:r>
        <w:rPr>
          <w:spacing w:val="-1"/>
          <w:sz w:val="24"/>
        </w:rPr>
        <w:t> </w:t>
      </w:r>
      <w:r>
        <w:rPr>
          <w:sz w:val="24"/>
        </w:rPr>
        <w:t>dhe</w:t>
      </w:r>
      <w:r>
        <w:rPr>
          <w:spacing w:val="-1"/>
          <w:sz w:val="24"/>
        </w:rPr>
        <w:t> </w:t>
      </w:r>
      <w:r>
        <w:rPr>
          <w:sz w:val="24"/>
        </w:rPr>
        <w:t>Mireëenie </w:t>
      </w:r>
      <w:r>
        <w:rPr>
          <w:spacing w:val="-2"/>
          <w:sz w:val="24"/>
        </w:rPr>
        <w:t>Sociale</w:t>
      </w:r>
    </w:p>
    <w:p>
      <w:pPr>
        <w:pStyle w:val="ListParagraph"/>
        <w:numPr>
          <w:ilvl w:val="0"/>
          <w:numId w:val="3"/>
        </w:numPr>
        <w:tabs>
          <w:tab w:pos="1461" w:val="left" w:leader="none"/>
        </w:tabs>
        <w:spacing w:line="240" w:lineRule="auto" w:before="55" w:after="0"/>
        <w:ind w:left="1460" w:right="0" w:hanging="361"/>
        <w:jc w:val="left"/>
        <w:rPr>
          <w:sz w:val="24"/>
        </w:rPr>
      </w:pPr>
      <w:r>
        <w:rPr>
          <w:sz w:val="24"/>
        </w:rPr>
        <w:t>Hisni</w:t>
      </w:r>
      <w:r>
        <w:rPr>
          <w:spacing w:val="-2"/>
          <w:sz w:val="24"/>
        </w:rPr>
        <w:t> </w:t>
      </w:r>
      <w:r>
        <w:rPr>
          <w:sz w:val="24"/>
        </w:rPr>
        <w:t>Luri</w:t>
      </w:r>
      <w:r>
        <w:rPr>
          <w:spacing w:val="-2"/>
          <w:sz w:val="24"/>
        </w:rPr>
        <w:t> </w:t>
      </w:r>
      <w:r>
        <w:rPr>
          <w:sz w:val="24"/>
        </w:rPr>
        <w:t>-</w:t>
      </w:r>
      <w:r>
        <w:rPr>
          <w:spacing w:val="-3"/>
          <w:sz w:val="24"/>
        </w:rPr>
        <w:t> </w:t>
      </w:r>
      <w:r>
        <w:rPr>
          <w:sz w:val="24"/>
        </w:rPr>
        <w:t>Drejtor</w:t>
      </w:r>
      <w:r>
        <w:rPr>
          <w:spacing w:val="-1"/>
          <w:sz w:val="24"/>
        </w:rPr>
        <w:t> </w:t>
      </w:r>
      <w:r>
        <w:rPr>
          <w:sz w:val="24"/>
        </w:rPr>
        <w:t>për</w:t>
      </w:r>
      <w:r>
        <w:rPr>
          <w:spacing w:val="-2"/>
          <w:sz w:val="24"/>
        </w:rPr>
        <w:t> </w:t>
      </w:r>
      <w:r>
        <w:rPr>
          <w:sz w:val="24"/>
        </w:rPr>
        <w:t>Arsim,</w:t>
      </w:r>
      <w:r>
        <w:rPr>
          <w:spacing w:val="-2"/>
          <w:sz w:val="24"/>
        </w:rPr>
        <w:t> </w:t>
      </w:r>
      <w:r>
        <w:rPr>
          <w:sz w:val="24"/>
        </w:rPr>
        <w:t>Kulturë,</w:t>
      </w:r>
      <w:r>
        <w:rPr>
          <w:spacing w:val="-1"/>
          <w:sz w:val="24"/>
        </w:rPr>
        <w:t> </w:t>
      </w:r>
      <w:r>
        <w:rPr>
          <w:sz w:val="24"/>
        </w:rPr>
        <w:t>Rini</w:t>
      </w:r>
      <w:r>
        <w:rPr>
          <w:spacing w:val="-1"/>
          <w:sz w:val="24"/>
        </w:rPr>
        <w:t> </w:t>
      </w:r>
      <w:r>
        <w:rPr>
          <w:sz w:val="24"/>
        </w:rPr>
        <w:t>dhe</w:t>
      </w:r>
      <w:r>
        <w:rPr>
          <w:spacing w:val="-2"/>
          <w:sz w:val="24"/>
        </w:rPr>
        <w:t> Sport</w:t>
      </w:r>
    </w:p>
    <w:p>
      <w:pPr>
        <w:pStyle w:val="ListParagraph"/>
        <w:numPr>
          <w:ilvl w:val="0"/>
          <w:numId w:val="3"/>
        </w:numPr>
        <w:tabs>
          <w:tab w:pos="1461" w:val="left" w:leader="none"/>
        </w:tabs>
        <w:spacing w:line="240" w:lineRule="auto" w:before="55" w:after="0"/>
        <w:ind w:left="1460" w:right="0" w:hanging="361"/>
        <w:jc w:val="left"/>
        <w:rPr>
          <w:sz w:val="24"/>
        </w:rPr>
      </w:pPr>
      <w:r>
        <w:rPr>
          <w:sz w:val="24"/>
        </w:rPr>
        <w:t>Nexhmedin</w:t>
      </w:r>
      <w:r>
        <w:rPr>
          <w:spacing w:val="-7"/>
          <w:sz w:val="24"/>
        </w:rPr>
        <w:t> </w:t>
      </w:r>
      <w:r>
        <w:rPr>
          <w:sz w:val="24"/>
        </w:rPr>
        <w:t>Daci</w:t>
      </w:r>
      <w:r>
        <w:rPr>
          <w:spacing w:val="-4"/>
          <w:sz w:val="24"/>
        </w:rPr>
        <w:t> </w:t>
      </w:r>
      <w:r>
        <w:rPr>
          <w:sz w:val="24"/>
        </w:rPr>
        <w:t>-</w:t>
      </w:r>
      <w:r>
        <w:rPr>
          <w:spacing w:val="-4"/>
          <w:sz w:val="24"/>
        </w:rPr>
        <w:t> </w:t>
      </w:r>
      <w:r>
        <w:rPr>
          <w:sz w:val="24"/>
        </w:rPr>
        <w:t>Drejtor</w:t>
      </w:r>
      <w:r>
        <w:rPr>
          <w:spacing w:val="-5"/>
          <w:sz w:val="24"/>
        </w:rPr>
        <w:t> </w:t>
      </w:r>
      <w:r>
        <w:rPr>
          <w:sz w:val="24"/>
        </w:rPr>
        <w:t>për</w:t>
      </w:r>
      <w:r>
        <w:rPr>
          <w:spacing w:val="-5"/>
          <w:sz w:val="24"/>
        </w:rPr>
        <w:t> </w:t>
      </w:r>
      <w:r>
        <w:rPr>
          <w:sz w:val="24"/>
        </w:rPr>
        <w:t>Urbanizëm,</w:t>
      </w:r>
      <w:r>
        <w:rPr>
          <w:spacing w:val="-5"/>
          <w:sz w:val="24"/>
        </w:rPr>
        <w:t> </w:t>
      </w:r>
      <w:r>
        <w:rPr>
          <w:sz w:val="24"/>
        </w:rPr>
        <w:t>Kadastër</w:t>
      </w:r>
      <w:r>
        <w:rPr>
          <w:spacing w:val="-5"/>
          <w:sz w:val="24"/>
        </w:rPr>
        <w:t> </w:t>
      </w:r>
      <w:r>
        <w:rPr>
          <w:sz w:val="24"/>
        </w:rPr>
        <w:t>dhe</w:t>
      </w:r>
      <w:r>
        <w:rPr>
          <w:spacing w:val="-4"/>
          <w:sz w:val="24"/>
        </w:rPr>
        <w:t> </w:t>
      </w:r>
      <w:r>
        <w:rPr>
          <w:sz w:val="24"/>
        </w:rPr>
        <w:t>Mbrojtje</w:t>
      </w:r>
      <w:r>
        <w:rPr>
          <w:spacing w:val="-5"/>
          <w:sz w:val="24"/>
        </w:rPr>
        <w:t> </w:t>
      </w:r>
      <w:r>
        <w:rPr>
          <w:sz w:val="24"/>
        </w:rPr>
        <w:t>të</w:t>
      </w:r>
      <w:r>
        <w:rPr>
          <w:spacing w:val="-4"/>
          <w:sz w:val="24"/>
        </w:rPr>
        <w:t> </w:t>
      </w:r>
      <w:r>
        <w:rPr>
          <w:spacing w:val="-2"/>
          <w:sz w:val="24"/>
        </w:rPr>
        <w:t>Mjedisit</w:t>
      </w:r>
    </w:p>
    <w:p>
      <w:pPr>
        <w:pStyle w:val="ListParagraph"/>
        <w:numPr>
          <w:ilvl w:val="0"/>
          <w:numId w:val="3"/>
        </w:numPr>
        <w:tabs>
          <w:tab w:pos="1461" w:val="left" w:leader="none"/>
        </w:tabs>
        <w:spacing w:line="240" w:lineRule="auto" w:before="55" w:after="0"/>
        <w:ind w:left="1460" w:right="0" w:hanging="361"/>
        <w:jc w:val="left"/>
        <w:rPr>
          <w:sz w:val="24"/>
        </w:rPr>
      </w:pPr>
      <w:r>
        <w:rPr>
          <w:sz w:val="24"/>
        </w:rPr>
        <w:t>Lindita</w:t>
      </w:r>
      <w:r>
        <w:rPr>
          <w:spacing w:val="-2"/>
          <w:sz w:val="24"/>
        </w:rPr>
        <w:t> </w:t>
      </w:r>
      <w:r>
        <w:rPr>
          <w:sz w:val="24"/>
        </w:rPr>
        <w:t>Ballazhi</w:t>
      </w:r>
      <w:r>
        <w:rPr>
          <w:spacing w:val="-1"/>
          <w:sz w:val="24"/>
        </w:rPr>
        <w:t> </w:t>
      </w:r>
      <w:r>
        <w:rPr>
          <w:sz w:val="24"/>
        </w:rPr>
        <w:t>-</w:t>
      </w:r>
      <w:r>
        <w:rPr>
          <w:spacing w:val="-1"/>
          <w:sz w:val="24"/>
        </w:rPr>
        <w:t> </w:t>
      </w:r>
      <w:r>
        <w:rPr>
          <w:sz w:val="24"/>
        </w:rPr>
        <w:t>Drejtoreshë</w:t>
      </w:r>
      <w:r>
        <w:rPr>
          <w:spacing w:val="-2"/>
          <w:sz w:val="24"/>
        </w:rPr>
        <w:t> </w:t>
      </w:r>
      <w:r>
        <w:rPr>
          <w:sz w:val="24"/>
        </w:rPr>
        <w:t>për</w:t>
      </w:r>
      <w:r>
        <w:rPr>
          <w:spacing w:val="-2"/>
          <w:sz w:val="24"/>
        </w:rPr>
        <w:t> </w:t>
      </w:r>
      <w:r>
        <w:rPr>
          <w:sz w:val="24"/>
        </w:rPr>
        <w:t>Buxhet</w:t>
      </w:r>
      <w:r>
        <w:rPr>
          <w:spacing w:val="-1"/>
          <w:sz w:val="24"/>
        </w:rPr>
        <w:t> </w:t>
      </w:r>
      <w:r>
        <w:rPr>
          <w:sz w:val="24"/>
        </w:rPr>
        <w:t>dhe</w:t>
      </w:r>
      <w:r>
        <w:rPr>
          <w:spacing w:val="-2"/>
          <w:sz w:val="24"/>
        </w:rPr>
        <w:t> Financa</w:t>
      </w:r>
    </w:p>
    <w:p>
      <w:pPr>
        <w:pStyle w:val="ListParagraph"/>
        <w:numPr>
          <w:ilvl w:val="0"/>
          <w:numId w:val="3"/>
        </w:numPr>
        <w:tabs>
          <w:tab w:pos="1461" w:val="left" w:leader="none"/>
        </w:tabs>
        <w:spacing w:line="240" w:lineRule="auto" w:before="56" w:after="0"/>
        <w:ind w:left="1460" w:right="0" w:hanging="361"/>
        <w:jc w:val="left"/>
        <w:rPr>
          <w:sz w:val="24"/>
        </w:rPr>
      </w:pPr>
      <w:r>
        <w:rPr>
          <w:sz w:val="24"/>
        </w:rPr>
        <w:t>Natyra</w:t>
      </w:r>
      <w:r>
        <w:rPr>
          <w:spacing w:val="-3"/>
          <w:sz w:val="24"/>
        </w:rPr>
        <w:t> </w:t>
      </w:r>
      <w:r>
        <w:rPr>
          <w:sz w:val="24"/>
        </w:rPr>
        <w:t>Kalisi</w:t>
      </w:r>
      <w:r>
        <w:rPr>
          <w:spacing w:val="-2"/>
          <w:sz w:val="24"/>
        </w:rPr>
        <w:t> </w:t>
      </w:r>
      <w:r>
        <w:rPr>
          <w:sz w:val="24"/>
        </w:rPr>
        <w:t>-</w:t>
      </w:r>
      <w:r>
        <w:rPr>
          <w:spacing w:val="-2"/>
          <w:sz w:val="24"/>
        </w:rPr>
        <w:t> </w:t>
      </w:r>
      <w:r>
        <w:rPr>
          <w:sz w:val="24"/>
        </w:rPr>
        <w:t>Drejtoreshë</w:t>
      </w:r>
      <w:r>
        <w:rPr>
          <w:spacing w:val="-2"/>
          <w:sz w:val="24"/>
        </w:rPr>
        <w:t> </w:t>
      </w:r>
      <w:r>
        <w:rPr>
          <w:sz w:val="24"/>
        </w:rPr>
        <w:t>për</w:t>
      </w:r>
      <w:r>
        <w:rPr>
          <w:spacing w:val="-2"/>
          <w:sz w:val="24"/>
        </w:rPr>
        <w:t> Administratë</w:t>
      </w:r>
    </w:p>
    <w:p>
      <w:pPr>
        <w:pStyle w:val="ListParagraph"/>
        <w:numPr>
          <w:ilvl w:val="0"/>
          <w:numId w:val="3"/>
        </w:numPr>
        <w:tabs>
          <w:tab w:pos="1461" w:val="left" w:leader="none"/>
        </w:tabs>
        <w:spacing w:line="240" w:lineRule="auto" w:before="55" w:after="0"/>
        <w:ind w:left="1460" w:right="0" w:hanging="361"/>
        <w:jc w:val="left"/>
        <w:rPr>
          <w:sz w:val="24"/>
        </w:rPr>
      </w:pPr>
      <w:r>
        <w:rPr>
          <w:sz w:val="24"/>
        </w:rPr>
        <w:t>Arsim</w:t>
      </w:r>
      <w:r>
        <w:rPr>
          <w:spacing w:val="-2"/>
          <w:sz w:val="24"/>
        </w:rPr>
        <w:t> </w:t>
      </w:r>
      <w:r>
        <w:rPr>
          <w:sz w:val="24"/>
        </w:rPr>
        <w:t>Dernjani</w:t>
      </w:r>
      <w:r>
        <w:rPr>
          <w:spacing w:val="-2"/>
          <w:sz w:val="24"/>
        </w:rPr>
        <w:t> </w:t>
      </w:r>
      <w:r>
        <w:rPr>
          <w:sz w:val="24"/>
        </w:rPr>
        <w:t>-</w:t>
      </w:r>
      <w:r>
        <w:rPr>
          <w:spacing w:val="-2"/>
          <w:sz w:val="24"/>
        </w:rPr>
        <w:t> </w:t>
      </w:r>
      <w:r>
        <w:rPr>
          <w:sz w:val="24"/>
        </w:rPr>
        <w:t>Drejtor</w:t>
      </w:r>
      <w:r>
        <w:rPr>
          <w:spacing w:val="-2"/>
          <w:sz w:val="24"/>
        </w:rPr>
        <w:t> </w:t>
      </w:r>
      <w:r>
        <w:rPr>
          <w:sz w:val="24"/>
        </w:rPr>
        <w:t>i</w:t>
      </w:r>
      <w:r>
        <w:rPr>
          <w:spacing w:val="-2"/>
          <w:sz w:val="24"/>
        </w:rPr>
        <w:t> </w:t>
      </w:r>
      <w:r>
        <w:rPr>
          <w:sz w:val="24"/>
        </w:rPr>
        <w:t>Shërbimeve</w:t>
      </w:r>
      <w:r>
        <w:rPr>
          <w:spacing w:val="-2"/>
          <w:sz w:val="24"/>
        </w:rPr>
        <w:t> </w:t>
      </w:r>
      <w:r>
        <w:rPr>
          <w:sz w:val="24"/>
        </w:rPr>
        <w:t>Publike</w:t>
      </w:r>
      <w:r>
        <w:rPr>
          <w:spacing w:val="-2"/>
          <w:sz w:val="24"/>
        </w:rPr>
        <w:t> </w:t>
      </w:r>
      <w:r>
        <w:rPr>
          <w:sz w:val="24"/>
        </w:rPr>
        <w:t>dhe</w:t>
      </w:r>
      <w:r>
        <w:rPr>
          <w:spacing w:val="-2"/>
          <w:sz w:val="24"/>
        </w:rPr>
        <w:t> Emergjencë</w:t>
      </w:r>
    </w:p>
    <w:p>
      <w:pPr>
        <w:pStyle w:val="ListParagraph"/>
        <w:numPr>
          <w:ilvl w:val="0"/>
          <w:numId w:val="3"/>
        </w:numPr>
        <w:tabs>
          <w:tab w:pos="1461" w:val="left" w:leader="none"/>
        </w:tabs>
        <w:spacing w:line="240" w:lineRule="auto" w:before="55" w:after="0"/>
        <w:ind w:left="1460" w:right="0" w:hanging="361"/>
        <w:jc w:val="left"/>
        <w:rPr>
          <w:sz w:val="24"/>
        </w:rPr>
      </w:pPr>
      <w:r>
        <w:rPr>
          <w:sz w:val="24"/>
        </w:rPr>
        <w:t>Abduraman</w:t>
      </w:r>
      <w:r>
        <w:rPr>
          <w:spacing w:val="-2"/>
          <w:sz w:val="24"/>
        </w:rPr>
        <w:t> </w:t>
      </w:r>
      <w:r>
        <w:rPr>
          <w:sz w:val="24"/>
        </w:rPr>
        <w:t>Bushi</w:t>
      </w:r>
      <w:r>
        <w:rPr>
          <w:spacing w:val="-1"/>
          <w:sz w:val="24"/>
        </w:rPr>
        <w:t> </w:t>
      </w:r>
      <w:r>
        <w:rPr>
          <w:sz w:val="24"/>
        </w:rPr>
        <w:t>-</w:t>
      </w:r>
      <w:r>
        <w:rPr>
          <w:spacing w:val="-1"/>
          <w:sz w:val="24"/>
        </w:rPr>
        <w:t> </w:t>
      </w:r>
      <w:r>
        <w:rPr>
          <w:sz w:val="24"/>
        </w:rPr>
        <w:t>Drejtor</w:t>
      </w:r>
      <w:r>
        <w:rPr>
          <w:spacing w:val="-1"/>
          <w:sz w:val="24"/>
        </w:rPr>
        <w:t> </w:t>
      </w:r>
      <w:r>
        <w:rPr>
          <w:sz w:val="24"/>
        </w:rPr>
        <w:t>për</w:t>
      </w:r>
      <w:r>
        <w:rPr>
          <w:spacing w:val="-1"/>
          <w:sz w:val="24"/>
        </w:rPr>
        <w:t> </w:t>
      </w:r>
      <w:r>
        <w:rPr>
          <w:sz w:val="24"/>
        </w:rPr>
        <w:t>Buiqësi,</w:t>
      </w:r>
      <w:r>
        <w:rPr>
          <w:spacing w:val="-1"/>
          <w:sz w:val="24"/>
        </w:rPr>
        <w:t> </w:t>
      </w:r>
      <w:r>
        <w:rPr>
          <w:sz w:val="24"/>
        </w:rPr>
        <w:t>Pylltari</w:t>
      </w:r>
      <w:r>
        <w:rPr>
          <w:spacing w:val="-2"/>
          <w:sz w:val="24"/>
        </w:rPr>
        <w:t> </w:t>
      </w:r>
      <w:r>
        <w:rPr>
          <w:sz w:val="24"/>
        </w:rPr>
        <w:t>dhe</w:t>
      </w:r>
      <w:r>
        <w:rPr>
          <w:spacing w:val="-1"/>
          <w:sz w:val="24"/>
        </w:rPr>
        <w:t> </w:t>
      </w:r>
      <w:r>
        <w:rPr>
          <w:sz w:val="24"/>
        </w:rPr>
        <w:t>Zhvillim</w:t>
      </w:r>
      <w:r>
        <w:rPr>
          <w:spacing w:val="-1"/>
          <w:sz w:val="24"/>
        </w:rPr>
        <w:t> </w:t>
      </w:r>
      <w:r>
        <w:rPr>
          <w:spacing w:val="-2"/>
          <w:sz w:val="24"/>
        </w:rPr>
        <w:t>Rural</w:t>
      </w:r>
    </w:p>
    <w:p>
      <w:pPr>
        <w:pStyle w:val="ListParagraph"/>
        <w:numPr>
          <w:ilvl w:val="0"/>
          <w:numId w:val="3"/>
        </w:numPr>
        <w:tabs>
          <w:tab w:pos="1461" w:val="left" w:leader="none"/>
        </w:tabs>
        <w:spacing w:line="240" w:lineRule="auto" w:before="55" w:after="0"/>
        <w:ind w:left="1460" w:right="0" w:hanging="361"/>
        <w:jc w:val="left"/>
        <w:rPr>
          <w:sz w:val="24"/>
        </w:rPr>
      </w:pPr>
      <w:r>
        <w:rPr>
          <w:sz w:val="24"/>
        </w:rPr>
        <w:t>Durim</w:t>
      </w:r>
      <w:r>
        <w:rPr>
          <w:spacing w:val="-1"/>
          <w:sz w:val="24"/>
        </w:rPr>
        <w:t> </w:t>
      </w:r>
      <w:r>
        <w:rPr>
          <w:sz w:val="24"/>
        </w:rPr>
        <w:t>Dernjani</w:t>
      </w:r>
      <w:r>
        <w:rPr>
          <w:spacing w:val="-1"/>
          <w:sz w:val="24"/>
        </w:rPr>
        <w:t> </w:t>
      </w:r>
      <w:r>
        <w:rPr>
          <w:sz w:val="24"/>
        </w:rPr>
        <w:t>- Menaxher</w:t>
      </w:r>
      <w:r>
        <w:rPr>
          <w:spacing w:val="-1"/>
          <w:sz w:val="24"/>
        </w:rPr>
        <w:t> </w:t>
      </w:r>
      <w:r>
        <w:rPr>
          <w:sz w:val="24"/>
        </w:rPr>
        <w:t>i </w:t>
      </w:r>
      <w:r>
        <w:rPr>
          <w:spacing w:val="-2"/>
          <w:sz w:val="24"/>
        </w:rPr>
        <w:t>Projekteve</w:t>
      </w:r>
    </w:p>
    <w:p>
      <w:pPr>
        <w:pStyle w:val="ListParagraph"/>
        <w:numPr>
          <w:ilvl w:val="0"/>
          <w:numId w:val="3"/>
        </w:numPr>
        <w:tabs>
          <w:tab w:pos="1461" w:val="left" w:leader="none"/>
        </w:tabs>
        <w:spacing w:line="240" w:lineRule="auto" w:before="56" w:after="0"/>
        <w:ind w:left="1460" w:right="0" w:hanging="361"/>
        <w:jc w:val="left"/>
        <w:rPr>
          <w:sz w:val="24"/>
        </w:rPr>
      </w:pPr>
      <w:r>
        <w:rPr>
          <w:sz w:val="24"/>
        </w:rPr>
        <w:t>Bajrush</w:t>
      </w:r>
      <w:r>
        <w:rPr>
          <w:spacing w:val="-1"/>
          <w:sz w:val="24"/>
        </w:rPr>
        <w:t> </w:t>
      </w:r>
      <w:r>
        <w:rPr>
          <w:sz w:val="24"/>
        </w:rPr>
        <w:t>Laci</w:t>
      </w:r>
      <w:r>
        <w:rPr>
          <w:spacing w:val="-1"/>
          <w:sz w:val="24"/>
        </w:rPr>
        <w:t> </w:t>
      </w:r>
      <w:r>
        <w:rPr>
          <w:sz w:val="24"/>
        </w:rPr>
        <w:t>- Shef</w:t>
      </w:r>
      <w:r>
        <w:rPr>
          <w:spacing w:val="-2"/>
          <w:sz w:val="24"/>
        </w:rPr>
        <w:t> </w:t>
      </w:r>
      <w:r>
        <w:rPr>
          <w:sz w:val="24"/>
        </w:rPr>
        <w:t>i zyrës</w:t>
      </w:r>
      <w:r>
        <w:rPr>
          <w:spacing w:val="-1"/>
          <w:sz w:val="24"/>
        </w:rPr>
        <w:t> </w:t>
      </w:r>
      <w:r>
        <w:rPr>
          <w:sz w:val="24"/>
        </w:rPr>
        <w:t>ligjore dhe</w:t>
      </w:r>
      <w:r>
        <w:rPr>
          <w:spacing w:val="-1"/>
          <w:sz w:val="24"/>
        </w:rPr>
        <w:t> </w:t>
      </w:r>
      <w:r>
        <w:rPr>
          <w:sz w:val="24"/>
        </w:rPr>
        <w:t>përfaqësues </w:t>
      </w:r>
      <w:r>
        <w:rPr>
          <w:spacing w:val="-2"/>
          <w:sz w:val="24"/>
        </w:rPr>
        <w:t>juridik</w:t>
      </w:r>
    </w:p>
    <w:p>
      <w:pPr>
        <w:pStyle w:val="ListParagraph"/>
        <w:numPr>
          <w:ilvl w:val="0"/>
          <w:numId w:val="3"/>
        </w:numPr>
        <w:tabs>
          <w:tab w:pos="1461" w:val="left" w:leader="none"/>
        </w:tabs>
        <w:spacing w:line="240" w:lineRule="auto" w:before="55" w:after="0"/>
        <w:ind w:left="1460" w:right="0" w:hanging="361"/>
        <w:jc w:val="left"/>
        <w:rPr>
          <w:sz w:val="24"/>
        </w:rPr>
      </w:pPr>
      <w:r>
        <w:rPr>
          <w:sz w:val="24"/>
        </w:rPr>
        <w:t>AZHR</w:t>
      </w:r>
      <w:r>
        <w:rPr>
          <w:spacing w:val="-2"/>
          <w:sz w:val="24"/>
        </w:rPr>
        <w:t> </w:t>
      </w:r>
      <w:r>
        <w:rPr>
          <w:sz w:val="24"/>
        </w:rPr>
        <w:t>Lindje</w:t>
      </w:r>
      <w:r>
        <w:rPr>
          <w:spacing w:val="-2"/>
          <w:sz w:val="24"/>
        </w:rPr>
        <w:t> </w:t>
      </w:r>
      <w:r>
        <w:rPr>
          <w:sz w:val="24"/>
        </w:rPr>
        <w:t>-</w:t>
      </w:r>
      <w:r>
        <w:rPr>
          <w:spacing w:val="-2"/>
          <w:sz w:val="24"/>
        </w:rPr>
        <w:t> </w:t>
      </w:r>
      <w:r>
        <w:rPr>
          <w:sz w:val="24"/>
        </w:rPr>
        <w:t>Agjencion</w:t>
      </w:r>
      <w:r>
        <w:rPr>
          <w:spacing w:val="-2"/>
          <w:sz w:val="24"/>
        </w:rPr>
        <w:t> </w:t>
      </w:r>
      <w:r>
        <w:rPr>
          <w:sz w:val="24"/>
        </w:rPr>
        <w:t>Rajonal</w:t>
      </w:r>
      <w:r>
        <w:rPr>
          <w:spacing w:val="-1"/>
          <w:sz w:val="24"/>
        </w:rPr>
        <w:t> </w:t>
      </w:r>
      <w:r>
        <w:rPr>
          <w:sz w:val="24"/>
        </w:rPr>
        <w:t>për</w:t>
      </w:r>
      <w:r>
        <w:rPr>
          <w:spacing w:val="-2"/>
          <w:sz w:val="24"/>
        </w:rPr>
        <w:t> Zhvillim</w:t>
      </w:r>
    </w:p>
    <w:p>
      <w:pPr>
        <w:pStyle w:val="ListParagraph"/>
        <w:numPr>
          <w:ilvl w:val="0"/>
          <w:numId w:val="3"/>
        </w:numPr>
        <w:tabs>
          <w:tab w:pos="1461" w:val="left" w:leader="none"/>
        </w:tabs>
        <w:spacing w:line="240" w:lineRule="auto" w:before="55" w:after="0"/>
        <w:ind w:left="1460" w:right="0" w:hanging="361"/>
        <w:jc w:val="left"/>
        <w:rPr>
          <w:sz w:val="24"/>
        </w:rPr>
      </w:pPr>
      <w:r>
        <w:rPr>
          <w:sz w:val="24"/>
        </w:rPr>
        <w:t>Nesrina</w:t>
      </w:r>
      <w:r>
        <w:rPr>
          <w:spacing w:val="-2"/>
          <w:sz w:val="24"/>
        </w:rPr>
        <w:t> </w:t>
      </w:r>
      <w:r>
        <w:rPr>
          <w:sz w:val="24"/>
        </w:rPr>
        <w:t>Kalisi</w:t>
      </w:r>
      <w:r>
        <w:rPr>
          <w:spacing w:val="-1"/>
          <w:sz w:val="24"/>
        </w:rPr>
        <w:t> </w:t>
      </w:r>
      <w:r>
        <w:rPr>
          <w:sz w:val="24"/>
        </w:rPr>
        <w:t>-</w:t>
      </w:r>
      <w:r>
        <w:rPr>
          <w:spacing w:val="-1"/>
          <w:sz w:val="24"/>
        </w:rPr>
        <w:t> </w:t>
      </w:r>
      <w:r>
        <w:rPr>
          <w:sz w:val="24"/>
        </w:rPr>
        <w:t>Përfaqësuese</w:t>
      </w:r>
      <w:r>
        <w:rPr>
          <w:spacing w:val="-2"/>
          <w:sz w:val="24"/>
        </w:rPr>
        <w:t> </w:t>
      </w:r>
      <w:r>
        <w:rPr>
          <w:sz w:val="24"/>
        </w:rPr>
        <w:t>e</w:t>
      </w:r>
      <w:r>
        <w:rPr>
          <w:spacing w:val="-1"/>
          <w:sz w:val="24"/>
        </w:rPr>
        <w:t> </w:t>
      </w:r>
      <w:r>
        <w:rPr>
          <w:sz w:val="24"/>
        </w:rPr>
        <w:t>shoqërisë</w:t>
      </w:r>
      <w:r>
        <w:rPr>
          <w:spacing w:val="-1"/>
          <w:sz w:val="24"/>
        </w:rPr>
        <w:t> </w:t>
      </w:r>
      <w:r>
        <w:rPr>
          <w:sz w:val="24"/>
        </w:rPr>
        <w:t>civile</w:t>
      </w:r>
      <w:r>
        <w:rPr>
          <w:spacing w:val="-1"/>
          <w:sz w:val="24"/>
        </w:rPr>
        <w:t> </w:t>
      </w:r>
      <w:r>
        <w:rPr>
          <w:sz w:val="24"/>
        </w:rPr>
        <w:t>dhe</w:t>
      </w:r>
      <w:r>
        <w:rPr>
          <w:spacing w:val="-2"/>
          <w:sz w:val="24"/>
        </w:rPr>
        <w:t> </w:t>
      </w:r>
      <w:r>
        <w:rPr>
          <w:sz w:val="24"/>
        </w:rPr>
        <w:t>komitetit</w:t>
      </w:r>
      <w:r>
        <w:rPr>
          <w:spacing w:val="-2"/>
          <w:sz w:val="24"/>
        </w:rPr>
        <w:t> </w:t>
      </w:r>
      <w:r>
        <w:rPr>
          <w:sz w:val="24"/>
        </w:rPr>
        <w:t>për</w:t>
      </w:r>
      <w:r>
        <w:rPr>
          <w:spacing w:val="-1"/>
          <w:sz w:val="24"/>
        </w:rPr>
        <w:t> </w:t>
      </w:r>
      <w:r>
        <w:rPr>
          <w:sz w:val="24"/>
        </w:rPr>
        <w:t>Zhvlllim</w:t>
      </w:r>
      <w:r>
        <w:rPr>
          <w:spacing w:val="-3"/>
          <w:sz w:val="24"/>
        </w:rPr>
        <w:t> </w:t>
      </w:r>
      <w:r>
        <w:rPr>
          <w:spacing w:val="-2"/>
          <w:sz w:val="24"/>
        </w:rPr>
        <w:t>Ekonomik</w:t>
      </w:r>
    </w:p>
    <w:p>
      <w:pPr>
        <w:pStyle w:val="ListParagraph"/>
        <w:numPr>
          <w:ilvl w:val="0"/>
          <w:numId w:val="3"/>
        </w:numPr>
        <w:tabs>
          <w:tab w:pos="1461" w:val="left" w:leader="none"/>
        </w:tabs>
        <w:spacing w:line="240" w:lineRule="auto" w:before="55" w:after="0"/>
        <w:ind w:left="1460" w:right="0" w:hanging="361"/>
        <w:jc w:val="left"/>
        <w:rPr>
          <w:sz w:val="24"/>
        </w:rPr>
      </w:pPr>
      <w:r>
        <w:rPr>
          <w:sz w:val="24"/>
        </w:rPr>
        <w:t>Anisa</w:t>
      </w:r>
      <w:r>
        <w:rPr>
          <w:spacing w:val="-4"/>
          <w:sz w:val="24"/>
        </w:rPr>
        <w:t> </w:t>
      </w:r>
      <w:r>
        <w:rPr>
          <w:sz w:val="24"/>
        </w:rPr>
        <w:t>Ballazhi</w:t>
      </w:r>
      <w:r>
        <w:rPr>
          <w:spacing w:val="-3"/>
          <w:sz w:val="24"/>
        </w:rPr>
        <w:t> </w:t>
      </w:r>
      <w:r>
        <w:rPr>
          <w:sz w:val="24"/>
        </w:rPr>
        <w:t>-</w:t>
      </w:r>
      <w:r>
        <w:rPr>
          <w:spacing w:val="-3"/>
          <w:sz w:val="24"/>
        </w:rPr>
        <w:t> </w:t>
      </w:r>
      <w:r>
        <w:rPr>
          <w:sz w:val="24"/>
        </w:rPr>
        <w:t>Përfaqësuese</w:t>
      </w:r>
      <w:r>
        <w:rPr>
          <w:spacing w:val="-4"/>
          <w:sz w:val="24"/>
        </w:rPr>
        <w:t> </w:t>
      </w:r>
      <w:r>
        <w:rPr>
          <w:sz w:val="24"/>
        </w:rPr>
        <w:t>e</w:t>
      </w:r>
      <w:r>
        <w:rPr>
          <w:spacing w:val="-3"/>
          <w:sz w:val="24"/>
        </w:rPr>
        <w:t> </w:t>
      </w:r>
      <w:r>
        <w:rPr>
          <w:sz w:val="24"/>
        </w:rPr>
        <w:t>KVRL-</w:t>
      </w:r>
      <w:r>
        <w:rPr>
          <w:spacing w:val="-5"/>
          <w:sz w:val="24"/>
        </w:rPr>
        <w:t>së</w:t>
      </w:r>
    </w:p>
    <w:p>
      <w:pPr>
        <w:pStyle w:val="ListParagraph"/>
        <w:numPr>
          <w:ilvl w:val="0"/>
          <w:numId w:val="3"/>
        </w:numPr>
        <w:tabs>
          <w:tab w:pos="1461" w:val="left" w:leader="none"/>
        </w:tabs>
        <w:spacing w:line="240" w:lineRule="auto" w:before="55" w:after="0"/>
        <w:ind w:left="1460" w:right="0" w:hanging="361"/>
        <w:jc w:val="left"/>
        <w:rPr>
          <w:sz w:val="24"/>
        </w:rPr>
      </w:pPr>
      <w:r>
        <w:rPr>
          <w:sz w:val="24"/>
        </w:rPr>
        <w:t>Amir</w:t>
      </w:r>
      <w:r>
        <w:rPr>
          <w:spacing w:val="-1"/>
          <w:sz w:val="24"/>
        </w:rPr>
        <w:t> </w:t>
      </w:r>
      <w:r>
        <w:rPr>
          <w:sz w:val="24"/>
        </w:rPr>
        <w:t>Qajani</w:t>
      </w:r>
      <w:r>
        <w:rPr>
          <w:spacing w:val="-1"/>
          <w:sz w:val="24"/>
        </w:rPr>
        <w:t> </w:t>
      </w:r>
      <w:r>
        <w:rPr>
          <w:sz w:val="24"/>
        </w:rPr>
        <w:t>- Konsulent i </w:t>
      </w:r>
      <w:r>
        <w:rPr>
          <w:spacing w:val="-2"/>
          <w:sz w:val="24"/>
        </w:rPr>
        <w:t>jashtëm</w:t>
      </w:r>
    </w:p>
    <w:p>
      <w:pPr>
        <w:pStyle w:val="BodyText"/>
        <w:rPr>
          <w:sz w:val="20"/>
        </w:rPr>
      </w:pPr>
    </w:p>
    <w:p>
      <w:pPr>
        <w:pStyle w:val="BodyText"/>
        <w:spacing w:before="11"/>
        <w:rPr>
          <w:sz w:val="29"/>
        </w:rPr>
      </w:pPr>
    </w:p>
    <w:p>
      <w:pPr>
        <w:pStyle w:val="Heading2"/>
        <w:tabs>
          <w:tab w:pos="10131" w:val="left" w:leader="none"/>
        </w:tabs>
        <w:spacing w:before="100"/>
        <w:rPr>
          <w:rFonts w:ascii="Cambria"/>
        </w:rPr>
      </w:pPr>
      <w:r>
        <w:rPr>
          <w:rFonts w:ascii="Cambria"/>
          <w:color w:val="000000"/>
          <w:spacing w:val="-23"/>
          <w:shd w:fill="EAB8A3" w:color="auto" w:val="clear"/>
        </w:rPr>
        <w:t> </w:t>
      </w:r>
      <w:r>
        <w:rPr>
          <w:rFonts w:ascii="Cambria"/>
          <w:color w:val="000000"/>
          <w:shd w:fill="EAB8A3" w:color="auto" w:val="clear"/>
        </w:rPr>
        <w:t>Indeksi</w:t>
      </w:r>
      <w:r>
        <w:rPr>
          <w:rFonts w:ascii="Cambria"/>
          <w:color w:val="000000"/>
          <w:spacing w:val="-2"/>
          <w:shd w:fill="EAB8A3" w:color="auto" w:val="clear"/>
        </w:rPr>
        <w:t> </w:t>
      </w:r>
      <w:r>
        <w:rPr>
          <w:rFonts w:ascii="Cambria"/>
          <w:color w:val="000000"/>
          <w:shd w:fill="EAB8A3" w:color="auto" w:val="clear"/>
        </w:rPr>
        <w:t>i</w:t>
      </w:r>
      <w:r>
        <w:rPr>
          <w:rFonts w:ascii="Cambria"/>
          <w:color w:val="000000"/>
          <w:spacing w:val="-1"/>
          <w:shd w:fill="EAB8A3" w:color="auto" w:val="clear"/>
        </w:rPr>
        <w:t> </w:t>
      </w:r>
      <w:r>
        <w:rPr>
          <w:rFonts w:ascii="Cambria"/>
          <w:color w:val="000000"/>
          <w:spacing w:val="-2"/>
          <w:shd w:fill="EAB8A3" w:color="auto" w:val="clear"/>
        </w:rPr>
        <w:t>shkurtesave</w:t>
      </w:r>
      <w:r>
        <w:rPr>
          <w:rFonts w:ascii="Cambria"/>
          <w:color w:val="000000"/>
          <w:shd w:fill="EAB8A3" w:color="auto" w:val="clear"/>
        </w:rPr>
        <w:tab/>
      </w:r>
    </w:p>
    <w:p>
      <w:pPr>
        <w:pStyle w:val="BodyText"/>
        <w:tabs>
          <w:tab w:pos="2165" w:val="left" w:leader="none"/>
        </w:tabs>
        <w:spacing w:before="243"/>
        <w:ind w:left="740"/>
        <w:rPr>
          <w:rFonts w:ascii="Cambria" w:hAnsi="Cambria"/>
        </w:rPr>
      </w:pPr>
      <w:r>
        <w:rPr>
          <w:rFonts w:ascii="Cambria" w:hAnsi="Cambria"/>
          <w:spacing w:val="-5"/>
        </w:rPr>
        <w:t>AMF</w:t>
      </w:r>
      <w:r>
        <w:rPr>
          <w:rFonts w:ascii="Cambria" w:hAnsi="Cambria"/>
        </w:rPr>
        <w:tab/>
        <w:t>Ambulancës</w:t>
      </w:r>
      <w:r>
        <w:rPr>
          <w:rFonts w:ascii="Cambria" w:hAnsi="Cambria"/>
          <w:spacing w:val="-5"/>
        </w:rPr>
        <w:t> </w:t>
      </w:r>
      <w:r>
        <w:rPr>
          <w:rFonts w:ascii="Cambria" w:hAnsi="Cambria"/>
        </w:rPr>
        <w:t>së</w:t>
      </w:r>
      <w:r>
        <w:rPr>
          <w:rFonts w:ascii="Cambria" w:hAnsi="Cambria"/>
          <w:spacing w:val="-3"/>
        </w:rPr>
        <w:t> </w:t>
      </w:r>
      <w:r>
        <w:rPr>
          <w:rFonts w:ascii="Cambria" w:hAnsi="Cambria"/>
        </w:rPr>
        <w:t>Mjekësisë</w:t>
      </w:r>
      <w:r>
        <w:rPr>
          <w:rFonts w:ascii="Cambria" w:hAnsi="Cambria"/>
          <w:spacing w:val="-3"/>
        </w:rPr>
        <w:t> </w:t>
      </w:r>
      <w:r>
        <w:rPr>
          <w:rFonts w:ascii="Cambria" w:hAnsi="Cambria"/>
          <w:spacing w:val="-2"/>
        </w:rPr>
        <w:t>Familjare</w:t>
      </w:r>
    </w:p>
    <w:p>
      <w:pPr>
        <w:tabs>
          <w:tab w:pos="2180" w:val="left" w:leader="none"/>
        </w:tabs>
        <w:spacing w:before="42"/>
        <w:ind w:left="740" w:right="0" w:firstLine="0"/>
        <w:jc w:val="left"/>
        <w:rPr>
          <w:rFonts w:ascii="Cambria" w:hAnsi="Cambria"/>
          <w:sz w:val="21"/>
        </w:rPr>
      </w:pPr>
      <w:r>
        <w:rPr>
          <w:rFonts w:ascii="Cambria" w:hAnsi="Cambria"/>
          <w:spacing w:val="-5"/>
          <w:sz w:val="21"/>
        </w:rPr>
        <w:t>APK</w:t>
      </w:r>
      <w:r>
        <w:rPr>
          <w:rFonts w:ascii="Cambria" w:hAnsi="Cambria"/>
          <w:sz w:val="21"/>
        </w:rPr>
        <w:tab/>
        <w:t>Agjencia</w:t>
      </w:r>
      <w:r>
        <w:rPr>
          <w:rFonts w:ascii="Cambria" w:hAnsi="Cambria"/>
          <w:spacing w:val="-6"/>
          <w:sz w:val="21"/>
        </w:rPr>
        <w:t> </w:t>
      </w:r>
      <w:r>
        <w:rPr>
          <w:rFonts w:ascii="Cambria" w:hAnsi="Cambria"/>
          <w:sz w:val="21"/>
        </w:rPr>
        <w:t>e</w:t>
      </w:r>
      <w:r>
        <w:rPr>
          <w:rFonts w:ascii="Cambria" w:hAnsi="Cambria"/>
          <w:spacing w:val="-3"/>
          <w:sz w:val="21"/>
        </w:rPr>
        <w:t> </w:t>
      </w:r>
      <w:r>
        <w:rPr>
          <w:rFonts w:ascii="Cambria" w:hAnsi="Cambria"/>
          <w:sz w:val="21"/>
        </w:rPr>
        <w:t>Pyjeve</w:t>
      </w:r>
      <w:r>
        <w:rPr>
          <w:rFonts w:ascii="Cambria" w:hAnsi="Cambria"/>
          <w:spacing w:val="-3"/>
          <w:sz w:val="21"/>
        </w:rPr>
        <w:t> </w:t>
      </w:r>
      <w:r>
        <w:rPr>
          <w:rFonts w:ascii="Cambria" w:hAnsi="Cambria"/>
          <w:sz w:val="21"/>
        </w:rPr>
        <w:t>të</w:t>
      </w:r>
      <w:r>
        <w:rPr>
          <w:rFonts w:ascii="Cambria" w:hAnsi="Cambria"/>
          <w:spacing w:val="-3"/>
          <w:sz w:val="21"/>
        </w:rPr>
        <w:t> </w:t>
      </w:r>
      <w:r>
        <w:rPr>
          <w:rFonts w:ascii="Cambria" w:hAnsi="Cambria"/>
          <w:spacing w:val="-2"/>
          <w:sz w:val="21"/>
        </w:rPr>
        <w:t>Kosovës</w:t>
      </w:r>
    </w:p>
    <w:p>
      <w:pPr>
        <w:tabs>
          <w:tab w:pos="2180" w:val="left" w:leader="none"/>
        </w:tabs>
        <w:spacing w:line="276" w:lineRule="auto" w:before="37"/>
        <w:ind w:left="740" w:right="6194" w:firstLine="0"/>
        <w:jc w:val="left"/>
        <w:rPr>
          <w:rFonts w:ascii="Cambria" w:hAnsi="Cambria"/>
          <w:sz w:val="21"/>
        </w:rPr>
      </w:pPr>
      <w:r>
        <w:rPr>
          <w:rFonts w:ascii="Cambria" w:hAnsi="Cambria"/>
          <w:spacing w:val="-4"/>
          <w:sz w:val="21"/>
        </w:rPr>
        <w:t>ARRU</w:t>
      </w:r>
      <w:r>
        <w:rPr>
          <w:rFonts w:ascii="Cambria" w:hAnsi="Cambria"/>
          <w:sz w:val="21"/>
        </w:rPr>
        <w:tab/>
        <w:t>Autoriteti</w:t>
      </w:r>
      <w:r>
        <w:rPr>
          <w:rFonts w:ascii="Cambria" w:hAnsi="Cambria"/>
          <w:spacing w:val="-12"/>
          <w:sz w:val="21"/>
        </w:rPr>
        <w:t> </w:t>
      </w:r>
      <w:r>
        <w:rPr>
          <w:rFonts w:ascii="Cambria" w:hAnsi="Cambria"/>
          <w:sz w:val="21"/>
        </w:rPr>
        <w:t>Rregullativ</w:t>
      </w:r>
      <w:r>
        <w:rPr>
          <w:rFonts w:ascii="Cambria" w:hAnsi="Cambria"/>
          <w:spacing w:val="-12"/>
          <w:sz w:val="21"/>
        </w:rPr>
        <w:t> </w:t>
      </w:r>
      <w:r>
        <w:rPr>
          <w:rFonts w:ascii="Cambria" w:hAnsi="Cambria"/>
          <w:sz w:val="21"/>
        </w:rPr>
        <w:t>për</w:t>
      </w:r>
      <w:r>
        <w:rPr>
          <w:rFonts w:ascii="Cambria" w:hAnsi="Cambria"/>
          <w:spacing w:val="-11"/>
          <w:sz w:val="21"/>
        </w:rPr>
        <w:t> </w:t>
      </w:r>
      <w:r>
        <w:rPr>
          <w:rFonts w:ascii="Cambria" w:hAnsi="Cambria"/>
          <w:sz w:val="21"/>
        </w:rPr>
        <w:t>Ujësjellës </w:t>
      </w:r>
      <w:r>
        <w:rPr>
          <w:rFonts w:ascii="Cambria" w:hAnsi="Cambria"/>
          <w:spacing w:val="-4"/>
          <w:sz w:val="21"/>
        </w:rPr>
        <w:t>ASK</w:t>
      </w:r>
      <w:r>
        <w:rPr>
          <w:rFonts w:ascii="Cambria" w:hAnsi="Cambria"/>
          <w:sz w:val="21"/>
        </w:rPr>
        <w:tab/>
        <w:t>Agjencia e Statistikave të Kosovës</w:t>
      </w:r>
    </w:p>
    <w:p>
      <w:pPr>
        <w:tabs>
          <w:tab w:pos="2180" w:val="left" w:leader="none"/>
        </w:tabs>
        <w:spacing w:before="0"/>
        <w:ind w:left="740" w:right="0" w:firstLine="0"/>
        <w:jc w:val="left"/>
        <w:rPr>
          <w:rFonts w:ascii="Cambria"/>
          <w:sz w:val="21"/>
        </w:rPr>
      </w:pPr>
      <w:r>
        <w:rPr>
          <w:rFonts w:ascii="Cambria"/>
          <w:spacing w:val="-5"/>
          <w:sz w:val="21"/>
        </w:rPr>
        <w:t>BE</w:t>
      </w:r>
      <w:r>
        <w:rPr>
          <w:rFonts w:ascii="Cambria"/>
          <w:sz w:val="21"/>
        </w:rPr>
        <w:tab/>
        <w:t>Bashkimi</w:t>
      </w:r>
      <w:r>
        <w:rPr>
          <w:rFonts w:ascii="Cambria"/>
          <w:spacing w:val="-4"/>
          <w:sz w:val="21"/>
        </w:rPr>
        <w:t> </w:t>
      </w:r>
      <w:r>
        <w:rPr>
          <w:rFonts w:ascii="Cambria"/>
          <w:spacing w:val="-2"/>
          <w:sz w:val="21"/>
        </w:rPr>
        <w:t>Evropian</w:t>
      </w:r>
    </w:p>
    <w:p>
      <w:pPr>
        <w:pStyle w:val="BodyText"/>
        <w:tabs>
          <w:tab w:pos="2186" w:val="left" w:leader="none"/>
        </w:tabs>
        <w:spacing w:before="38"/>
        <w:ind w:left="740"/>
        <w:rPr>
          <w:rFonts w:ascii="Cambria" w:hAnsi="Cambria"/>
        </w:rPr>
      </w:pPr>
      <w:r>
        <w:rPr>
          <w:rFonts w:ascii="Cambria" w:hAnsi="Cambria"/>
          <w:spacing w:val="-4"/>
        </w:rPr>
        <w:t>EAMS</w:t>
      </w:r>
      <w:r>
        <w:rPr>
          <w:rFonts w:ascii="Cambria" w:hAnsi="Cambria"/>
        </w:rPr>
        <w:tab/>
        <w:t>Sistemin</w:t>
      </w:r>
      <w:r>
        <w:rPr>
          <w:rFonts w:ascii="Cambria" w:hAnsi="Cambria"/>
          <w:spacing w:val="-6"/>
        </w:rPr>
        <w:t> </w:t>
      </w:r>
      <w:r>
        <w:rPr>
          <w:rFonts w:ascii="Cambria" w:hAnsi="Cambria"/>
        </w:rPr>
        <w:t>e</w:t>
      </w:r>
      <w:r>
        <w:rPr>
          <w:rFonts w:ascii="Cambria" w:hAnsi="Cambria"/>
          <w:spacing w:val="-3"/>
        </w:rPr>
        <w:t> </w:t>
      </w:r>
      <w:r>
        <w:rPr>
          <w:rFonts w:ascii="Cambria" w:hAnsi="Cambria"/>
        </w:rPr>
        <w:t>Menaxhimit</w:t>
      </w:r>
      <w:r>
        <w:rPr>
          <w:rFonts w:ascii="Cambria" w:hAnsi="Cambria"/>
          <w:spacing w:val="-4"/>
        </w:rPr>
        <w:t> </w:t>
      </w:r>
      <w:r>
        <w:rPr>
          <w:rFonts w:ascii="Cambria" w:hAnsi="Cambria"/>
        </w:rPr>
        <w:t>të</w:t>
      </w:r>
      <w:r>
        <w:rPr>
          <w:rFonts w:ascii="Cambria" w:hAnsi="Cambria"/>
          <w:spacing w:val="-3"/>
        </w:rPr>
        <w:t> </w:t>
      </w:r>
      <w:r>
        <w:rPr>
          <w:rFonts w:ascii="Cambria" w:hAnsi="Cambria"/>
        </w:rPr>
        <w:t>Aseteve</w:t>
      </w:r>
      <w:r>
        <w:rPr>
          <w:rFonts w:ascii="Cambria" w:hAnsi="Cambria"/>
          <w:spacing w:val="-3"/>
        </w:rPr>
        <w:t> </w:t>
      </w:r>
      <w:r>
        <w:rPr>
          <w:rFonts w:ascii="Cambria" w:hAnsi="Cambria"/>
        </w:rPr>
        <w:t>të</w:t>
      </w:r>
      <w:r>
        <w:rPr>
          <w:rFonts w:ascii="Cambria" w:hAnsi="Cambria"/>
          <w:spacing w:val="-2"/>
        </w:rPr>
        <w:t> Ndërmarrjes</w:t>
      </w:r>
    </w:p>
    <w:p>
      <w:pPr>
        <w:tabs>
          <w:tab w:pos="2180" w:val="left" w:leader="none"/>
        </w:tabs>
        <w:spacing w:line="276" w:lineRule="auto" w:before="40"/>
        <w:ind w:left="740" w:right="5463" w:firstLine="0"/>
        <w:jc w:val="left"/>
        <w:rPr>
          <w:rFonts w:ascii="Cambria" w:hAnsi="Cambria"/>
          <w:sz w:val="21"/>
        </w:rPr>
      </w:pPr>
      <w:r>
        <w:rPr>
          <w:rFonts w:ascii="Cambria" w:hAnsi="Cambria"/>
          <w:spacing w:val="-2"/>
          <w:sz w:val="21"/>
        </w:rPr>
        <w:t>DAKRS</w:t>
      </w:r>
      <w:r>
        <w:rPr>
          <w:rFonts w:ascii="Cambria" w:hAnsi="Cambria"/>
          <w:sz w:val="21"/>
        </w:rPr>
        <w:tab/>
        <w:t>Drejtoria</w:t>
      </w:r>
      <w:r>
        <w:rPr>
          <w:rFonts w:ascii="Cambria" w:hAnsi="Cambria"/>
          <w:spacing w:val="-7"/>
          <w:sz w:val="21"/>
        </w:rPr>
        <w:t> </w:t>
      </w:r>
      <w:r>
        <w:rPr>
          <w:rFonts w:ascii="Cambria" w:hAnsi="Cambria"/>
          <w:sz w:val="21"/>
        </w:rPr>
        <w:t>për</w:t>
      </w:r>
      <w:r>
        <w:rPr>
          <w:rFonts w:ascii="Cambria" w:hAnsi="Cambria"/>
          <w:spacing w:val="-6"/>
          <w:sz w:val="21"/>
        </w:rPr>
        <w:t> </w:t>
      </w:r>
      <w:r>
        <w:rPr>
          <w:rFonts w:ascii="Cambria" w:hAnsi="Cambria"/>
          <w:sz w:val="21"/>
        </w:rPr>
        <w:t>Arsim,</w:t>
      </w:r>
      <w:r>
        <w:rPr>
          <w:rFonts w:ascii="Cambria" w:hAnsi="Cambria"/>
          <w:spacing w:val="-6"/>
          <w:sz w:val="21"/>
        </w:rPr>
        <w:t> </w:t>
      </w:r>
      <w:r>
        <w:rPr>
          <w:rFonts w:ascii="Cambria" w:hAnsi="Cambria"/>
          <w:sz w:val="21"/>
        </w:rPr>
        <w:t>Kulturë,</w:t>
      </w:r>
      <w:r>
        <w:rPr>
          <w:rFonts w:ascii="Cambria" w:hAnsi="Cambria"/>
          <w:spacing w:val="-7"/>
          <w:sz w:val="21"/>
        </w:rPr>
        <w:t> </w:t>
      </w:r>
      <w:r>
        <w:rPr>
          <w:rFonts w:ascii="Cambria" w:hAnsi="Cambria"/>
          <w:sz w:val="21"/>
        </w:rPr>
        <w:t>Rini</w:t>
      </w:r>
      <w:r>
        <w:rPr>
          <w:rFonts w:ascii="Cambria" w:hAnsi="Cambria"/>
          <w:spacing w:val="-6"/>
          <w:sz w:val="21"/>
        </w:rPr>
        <w:t> </w:t>
      </w:r>
      <w:r>
        <w:rPr>
          <w:rFonts w:ascii="Cambria" w:hAnsi="Cambria"/>
          <w:sz w:val="21"/>
        </w:rPr>
        <w:t>dhe</w:t>
      </w:r>
      <w:r>
        <w:rPr>
          <w:rFonts w:ascii="Cambria" w:hAnsi="Cambria"/>
          <w:spacing w:val="-8"/>
          <w:sz w:val="21"/>
        </w:rPr>
        <w:t> </w:t>
      </w:r>
      <w:r>
        <w:rPr>
          <w:rFonts w:ascii="Cambria" w:hAnsi="Cambria"/>
          <w:sz w:val="21"/>
        </w:rPr>
        <w:t>Sport </w:t>
      </w:r>
      <w:r>
        <w:rPr>
          <w:rFonts w:ascii="Cambria" w:hAnsi="Cambria"/>
          <w:spacing w:val="-4"/>
          <w:sz w:val="21"/>
        </w:rPr>
        <w:t>DZHE</w:t>
      </w:r>
      <w:r>
        <w:rPr>
          <w:rFonts w:ascii="Cambria" w:hAnsi="Cambria"/>
          <w:sz w:val="21"/>
        </w:rPr>
        <w:tab/>
        <w:t>Drejtoria për Zhvillim Ekonomik</w:t>
      </w:r>
    </w:p>
    <w:p>
      <w:pPr>
        <w:tabs>
          <w:tab w:pos="2180" w:val="left" w:leader="none"/>
        </w:tabs>
        <w:spacing w:line="276" w:lineRule="auto" w:before="0"/>
        <w:ind w:left="740" w:right="5147" w:firstLine="0"/>
        <w:jc w:val="left"/>
        <w:rPr>
          <w:rFonts w:ascii="Cambria" w:hAnsi="Cambria"/>
          <w:sz w:val="21"/>
        </w:rPr>
      </w:pPr>
      <w:r>
        <w:rPr>
          <w:rFonts w:ascii="Cambria" w:hAnsi="Cambria"/>
          <w:spacing w:val="-2"/>
          <w:sz w:val="21"/>
        </w:rPr>
        <w:t>DSHMS</w:t>
      </w:r>
      <w:r>
        <w:rPr>
          <w:rFonts w:ascii="Cambria" w:hAnsi="Cambria"/>
          <w:sz w:val="21"/>
        </w:rPr>
        <w:tab/>
        <w:t>Drejtoria</w:t>
      </w:r>
      <w:r>
        <w:rPr>
          <w:rFonts w:ascii="Cambria" w:hAnsi="Cambria"/>
          <w:spacing w:val="-9"/>
          <w:sz w:val="21"/>
        </w:rPr>
        <w:t> </w:t>
      </w:r>
      <w:r>
        <w:rPr>
          <w:rFonts w:ascii="Cambria" w:hAnsi="Cambria"/>
          <w:sz w:val="21"/>
        </w:rPr>
        <w:t>për</w:t>
      </w:r>
      <w:r>
        <w:rPr>
          <w:rFonts w:ascii="Cambria" w:hAnsi="Cambria"/>
          <w:spacing w:val="-8"/>
          <w:sz w:val="21"/>
        </w:rPr>
        <w:t> </w:t>
      </w:r>
      <w:r>
        <w:rPr>
          <w:rFonts w:ascii="Cambria" w:hAnsi="Cambria"/>
          <w:sz w:val="21"/>
        </w:rPr>
        <w:t>Shëndetësi</w:t>
      </w:r>
      <w:r>
        <w:rPr>
          <w:rFonts w:ascii="Cambria" w:hAnsi="Cambria"/>
          <w:spacing w:val="-8"/>
          <w:sz w:val="21"/>
        </w:rPr>
        <w:t> </w:t>
      </w:r>
      <w:r>
        <w:rPr>
          <w:rFonts w:ascii="Cambria" w:hAnsi="Cambria"/>
          <w:sz w:val="21"/>
        </w:rPr>
        <w:t>dhe</w:t>
      </w:r>
      <w:r>
        <w:rPr>
          <w:rFonts w:ascii="Cambria" w:hAnsi="Cambria"/>
          <w:spacing w:val="-7"/>
          <w:sz w:val="21"/>
        </w:rPr>
        <w:t> </w:t>
      </w:r>
      <w:r>
        <w:rPr>
          <w:rFonts w:ascii="Cambria" w:hAnsi="Cambria"/>
          <w:sz w:val="21"/>
        </w:rPr>
        <w:t>Mirëqenie</w:t>
      </w:r>
      <w:r>
        <w:rPr>
          <w:rFonts w:ascii="Cambria" w:hAnsi="Cambria"/>
          <w:spacing w:val="-9"/>
          <w:sz w:val="21"/>
        </w:rPr>
        <w:t> </w:t>
      </w:r>
      <w:r>
        <w:rPr>
          <w:rFonts w:ascii="Cambria" w:hAnsi="Cambria"/>
          <w:sz w:val="21"/>
        </w:rPr>
        <w:t>Sociale </w:t>
      </w:r>
      <w:r>
        <w:rPr>
          <w:rFonts w:ascii="Cambria" w:hAnsi="Cambria"/>
          <w:spacing w:val="-2"/>
          <w:sz w:val="21"/>
        </w:rPr>
        <w:t>DSHPE</w:t>
      </w:r>
      <w:r>
        <w:rPr>
          <w:rFonts w:ascii="Cambria" w:hAnsi="Cambria"/>
          <w:sz w:val="21"/>
        </w:rPr>
        <w:tab/>
        <w:t>Drejtoria</w:t>
      </w:r>
      <w:r>
        <w:rPr>
          <w:rFonts w:ascii="Cambria" w:hAnsi="Cambria"/>
          <w:spacing w:val="-4"/>
          <w:sz w:val="21"/>
        </w:rPr>
        <w:t> </w:t>
      </w:r>
      <w:r>
        <w:rPr>
          <w:rFonts w:ascii="Cambria" w:hAnsi="Cambria"/>
          <w:sz w:val="21"/>
        </w:rPr>
        <w:t>për</w:t>
      </w:r>
      <w:r>
        <w:rPr>
          <w:rFonts w:ascii="Cambria" w:hAnsi="Cambria"/>
          <w:spacing w:val="-3"/>
          <w:sz w:val="21"/>
        </w:rPr>
        <w:t> </w:t>
      </w:r>
      <w:r>
        <w:rPr>
          <w:rFonts w:ascii="Cambria" w:hAnsi="Cambria"/>
          <w:sz w:val="21"/>
        </w:rPr>
        <w:t>Shërbime</w:t>
      </w:r>
      <w:r>
        <w:rPr>
          <w:rFonts w:ascii="Cambria" w:hAnsi="Cambria"/>
          <w:spacing w:val="-4"/>
          <w:sz w:val="21"/>
        </w:rPr>
        <w:t> </w:t>
      </w:r>
      <w:r>
        <w:rPr>
          <w:rFonts w:ascii="Cambria" w:hAnsi="Cambria"/>
          <w:sz w:val="21"/>
        </w:rPr>
        <w:t>Publike</w:t>
      </w:r>
      <w:r>
        <w:rPr>
          <w:rFonts w:ascii="Cambria" w:hAnsi="Cambria"/>
          <w:spacing w:val="-4"/>
          <w:sz w:val="21"/>
        </w:rPr>
        <w:t> </w:t>
      </w:r>
      <w:r>
        <w:rPr>
          <w:rFonts w:ascii="Cambria" w:hAnsi="Cambria"/>
          <w:sz w:val="21"/>
        </w:rPr>
        <w:t>dhe</w:t>
      </w:r>
      <w:r>
        <w:rPr>
          <w:rFonts w:ascii="Cambria" w:hAnsi="Cambria"/>
          <w:spacing w:val="-2"/>
          <w:sz w:val="21"/>
        </w:rPr>
        <w:t> Emergjenc</w:t>
      </w:r>
    </w:p>
    <w:p>
      <w:pPr>
        <w:tabs>
          <w:tab w:pos="2180" w:val="left" w:leader="none"/>
        </w:tabs>
        <w:spacing w:before="0"/>
        <w:ind w:left="740" w:right="4079" w:firstLine="0"/>
        <w:jc w:val="left"/>
        <w:rPr>
          <w:rFonts w:ascii="Cambria" w:hAnsi="Cambria"/>
          <w:sz w:val="21"/>
        </w:rPr>
      </w:pPr>
      <w:r>
        <w:rPr>
          <w:rFonts w:ascii="Cambria" w:hAnsi="Cambria"/>
          <w:spacing w:val="-2"/>
          <w:sz w:val="21"/>
        </w:rPr>
        <w:t>DUKMM</w:t>
      </w:r>
      <w:r>
        <w:rPr>
          <w:rFonts w:ascii="Cambria" w:hAnsi="Cambria"/>
          <w:sz w:val="21"/>
        </w:rPr>
        <w:tab/>
        <w:t>Drejtoria</w:t>
      </w:r>
      <w:r>
        <w:rPr>
          <w:rFonts w:ascii="Cambria" w:hAnsi="Cambria"/>
          <w:spacing w:val="-9"/>
          <w:sz w:val="21"/>
        </w:rPr>
        <w:t> </w:t>
      </w:r>
      <w:r>
        <w:rPr>
          <w:rFonts w:ascii="Cambria" w:hAnsi="Cambria"/>
          <w:sz w:val="21"/>
        </w:rPr>
        <w:t>për</w:t>
      </w:r>
      <w:r>
        <w:rPr>
          <w:rFonts w:ascii="Cambria" w:hAnsi="Cambria"/>
          <w:spacing w:val="-8"/>
          <w:sz w:val="21"/>
        </w:rPr>
        <w:t> </w:t>
      </w:r>
      <w:r>
        <w:rPr>
          <w:rFonts w:ascii="Cambria" w:hAnsi="Cambria"/>
          <w:sz w:val="21"/>
        </w:rPr>
        <w:t>Urbanizëm,</w:t>
      </w:r>
      <w:r>
        <w:rPr>
          <w:rFonts w:ascii="Cambria" w:hAnsi="Cambria"/>
          <w:spacing w:val="-8"/>
          <w:sz w:val="21"/>
        </w:rPr>
        <w:t> </w:t>
      </w:r>
      <w:r>
        <w:rPr>
          <w:rFonts w:ascii="Cambria" w:hAnsi="Cambria"/>
          <w:sz w:val="21"/>
        </w:rPr>
        <w:t>Kadastër</w:t>
      </w:r>
      <w:r>
        <w:rPr>
          <w:rFonts w:ascii="Cambria" w:hAnsi="Cambria"/>
          <w:spacing w:val="-9"/>
          <w:sz w:val="21"/>
        </w:rPr>
        <w:t> </w:t>
      </w:r>
      <w:r>
        <w:rPr>
          <w:rFonts w:ascii="Cambria" w:hAnsi="Cambria"/>
          <w:sz w:val="21"/>
        </w:rPr>
        <w:t>dhe</w:t>
      </w:r>
      <w:r>
        <w:rPr>
          <w:rFonts w:ascii="Cambria" w:hAnsi="Cambria"/>
          <w:spacing w:val="-9"/>
          <w:sz w:val="21"/>
        </w:rPr>
        <w:t> </w:t>
      </w:r>
      <w:r>
        <w:rPr>
          <w:rFonts w:ascii="Cambria" w:hAnsi="Cambria"/>
          <w:sz w:val="21"/>
        </w:rPr>
        <w:t>Mbrojtje</w:t>
      </w:r>
      <w:r>
        <w:rPr>
          <w:rFonts w:ascii="Cambria" w:hAnsi="Cambria"/>
          <w:spacing w:val="-9"/>
          <w:sz w:val="21"/>
        </w:rPr>
        <w:t> </w:t>
      </w:r>
      <w:r>
        <w:rPr>
          <w:rFonts w:ascii="Cambria" w:hAnsi="Cambria"/>
          <w:sz w:val="21"/>
        </w:rPr>
        <w:t>të</w:t>
      </w:r>
      <w:r>
        <w:rPr>
          <w:rFonts w:ascii="Cambria" w:hAnsi="Cambria"/>
          <w:spacing w:val="6"/>
          <w:sz w:val="21"/>
        </w:rPr>
        <w:t> </w:t>
      </w:r>
      <w:r>
        <w:rPr>
          <w:rFonts w:ascii="Cambria" w:hAnsi="Cambria"/>
          <w:sz w:val="21"/>
        </w:rPr>
        <w:t>Mjedisit </w:t>
      </w:r>
      <w:r>
        <w:rPr>
          <w:rFonts w:ascii="Cambria" w:hAnsi="Cambria"/>
          <w:spacing w:val="-4"/>
          <w:sz w:val="21"/>
        </w:rPr>
        <w:t>FAO</w:t>
      </w:r>
      <w:r>
        <w:rPr>
          <w:rFonts w:ascii="Cambria" w:hAnsi="Cambria"/>
          <w:sz w:val="21"/>
        </w:rPr>
        <w:tab/>
        <w:t>Organizata Botërore e Ushqimit</w:t>
      </w:r>
    </w:p>
    <w:p>
      <w:pPr>
        <w:tabs>
          <w:tab w:pos="2180" w:val="left" w:leader="none"/>
        </w:tabs>
        <w:spacing w:line="246" w:lineRule="exact" w:before="0"/>
        <w:ind w:left="740" w:right="0" w:firstLine="0"/>
        <w:jc w:val="left"/>
        <w:rPr>
          <w:rFonts w:ascii="Cambria" w:hAnsi="Cambria"/>
          <w:i/>
          <w:sz w:val="21"/>
        </w:rPr>
      </w:pPr>
      <w:r>
        <w:rPr>
          <w:rFonts w:ascii="Cambria" w:hAnsi="Cambria"/>
          <w:spacing w:val="-4"/>
          <w:sz w:val="21"/>
        </w:rPr>
        <w:t>KKEE</w:t>
      </w:r>
      <w:r>
        <w:rPr>
          <w:rFonts w:ascii="Cambria" w:hAnsi="Cambria"/>
          <w:sz w:val="21"/>
        </w:rPr>
        <w:tab/>
        <w:t>Fondi</w:t>
      </w:r>
      <w:r>
        <w:rPr>
          <w:rFonts w:ascii="Cambria" w:hAnsi="Cambria"/>
          <w:spacing w:val="-4"/>
          <w:sz w:val="21"/>
        </w:rPr>
        <w:t> </w:t>
      </w:r>
      <w:r>
        <w:rPr>
          <w:rFonts w:ascii="Cambria" w:hAnsi="Cambria"/>
          <w:sz w:val="21"/>
        </w:rPr>
        <w:t>Kosovar</w:t>
      </w:r>
      <w:r>
        <w:rPr>
          <w:rFonts w:ascii="Cambria" w:hAnsi="Cambria"/>
          <w:spacing w:val="-3"/>
          <w:sz w:val="21"/>
        </w:rPr>
        <w:t> </w:t>
      </w:r>
      <w:r>
        <w:rPr>
          <w:rFonts w:ascii="Cambria" w:hAnsi="Cambria"/>
          <w:i/>
          <w:sz w:val="21"/>
        </w:rPr>
        <w:t>për</w:t>
      </w:r>
      <w:r>
        <w:rPr>
          <w:rFonts w:ascii="Cambria" w:hAnsi="Cambria"/>
          <w:i/>
          <w:spacing w:val="-3"/>
          <w:sz w:val="21"/>
        </w:rPr>
        <w:t> </w:t>
      </w:r>
      <w:r>
        <w:rPr>
          <w:rFonts w:ascii="Cambria" w:hAnsi="Cambria"/>
          <w:i/>
          <w:sz w:val="21"/>
        </w:rPr>
        <w:t>Efiçiencë</w:t>
      </w:r>
      <w:r>
        <w:rPr>
          <w:rFonts w:ascii="Cambria" w:hAnsi="Cambria"/>
          <w:i/>
          <w:spacing w:val="-3"/>
          <w:sz w:val="21"/>
        </w:rPr>
        <w:t> </w:t>
      </w:r>
      <w:r>
        <w:rPr>
          <w:rFonts w:ascii="Cambria" w:hAnsi="Cambria"/>
          <w:i/>
          <w:sz w:val="21"/>
        </w:rPr>
        <w:t>të</w:t>
      </w:r>
      <w:r>
        <w:rPr>
          <w:rFonts w:ascii="Cambria" w:hAnsi="Cambria"/>
          <w:i/>
          <w:spacing w:val="-3"/>
          <w:sz w:val="21"/>
        </w:rPr>
        <w:t> </w:t>
      </w:r>
      <w:r>
        <w:rPr>
          <w:rFonts w:ascii="Cambria" w:hAnsi="Cambria"/>
          <w:i/>
          <w:spacing w:val="-2"/>
          <w:sz w:val="21"/>
        </w:rPr>
        <w:t>Energjisë</w:t>
      </w:r>
    </w:p>
    <w:p>
      <w:pPr>
        <w:tabs>
          <w:tab w:pos="2180" w:val="left" w:leader="none"/>
        </w:tabs>
        <w:spacing w:before="0"/>
        <w:ind w:left="740" w:right="0" w:firstLine="0"/>
        <w:jc w:val="left"/>
        <w:rPr>
          <w:rFonts w:ascii="Cambria" w:hAnsi="Cambria"/>
          <w:sz w:val="21"/>
        </w:rPr>
      </w:pPr>
      <w:r>
        <w:rPr>
          <w:rFonts w:ascii="Cambria" w:hAnsi="Cambria"/>
          <w:spacing w:val="-5"/>
          <w:sz w:val="21"/>
        </w:rPr>
        <w:t>GIZ</w:t>
      </w:r>
      <w:r>
        <w:rPr>
          <w:rFonts w:ascii="Cambria" w:hAnsi="Cambria"/>
          <w:sz w:val="21"/>
        </w:rPr>
        <w:tab/>
        <w:t>Organizata</w:t>
      </w:r>
      <w:r>
        <w:rPr>
          <w:rFonts w:ascii="Cambria" w:hAnsi="Cambria"/>
          <w:spacing w:val="-8"/>
          <w:sz w:val="21"/>
        </w:rPr>
        <w:t> </w:t>
      </w:r>
      <w:r>
        <w:rPr>
          <w:rFonts w:ascii="Cambria" w:hAnsi="Cambria"/>
          <w:sz w:val="21"/>
        </w:rPr>
        <w:t>Gjermane</w:t>
      </w:r>
      <w:r>
        <w:rPr>
          <w:rFonts w:ascii="Cambria" w:hAnsi="Cambria"/>
          <w:spacing w:val="-8"/>
          <w:sz w:val="21"/>
        </w:rPr>
        <w:t> </w:t>
      </w:r>
      <w:r>
        <w:rPr>
          <w:rFonts w:ascii="Cambria" w:hAnsi="Cambria"/>
          <w:sz w:val="21"/>
        </w:rPr>
        <w:t>për</w:t>
      </w:r>
      <w:r>
        <w:rPr>
          <w:rFonts w:ascii="Cambria" w:hAnsi="Cambria"/>
          <w:spacing w:val="-6"/>
          <w:sz w:val="21"/>
        </w:rPr>
        <w:t> </w:t>
      </w:r>
      <w:r>
        <w:rPr>
          <w:rFonts w:ascii="Cambria" w:hAnsi="Cambria"/>
          <w:sz w:val="21"/>
        </w:rPr>
        <w:t>Shoqëri</w:t>
      </w:r>
      <w:r>
        <w:rPr>
          <w:rFonts w:ascii="Cambria" w:hAnsi="Cambria"/>
          <w:spacing w:val="-7"/>
          <w:sz w:val="21"/>
        </w:rPr>
        <w:t> </w:t>
      </w:r>
      <w:r>
        <w:rPr>
          <w:rFonts w:ascii="Cambria" w:hAnsi="Cambria"/>
          <w:sz w:val="21"/>
        </w:rPr>
        <w:t>të</w:t>
      </w:r>
      <w:r>
        <w:rPr>
          <w:rFonts w:ascii="Cambria" w:hAnsi="Cambria"/>
          <w:spacing w:val="9"/>
          <w:sz w:val="21"/>
        </w:rPr>
        <w:t> </w:t>
      </w:r>
      <w:r>
        <w:rPr>
          <w:rFonts w:ascii="Cambria" w:hAnsi="Cambria"/>
          <w:spacing w:val="-2"/>
          <w:sz w:val="21"/>
        </w:rPr>
        <w:t>Hapur</w:t>
      </w:r>
    </w:p>
    <w:p>
      <w:pPr>
        <w:tabs>
          <w:tab w:pos="2180" w:val="left" w:leader="none"/>
        </w:tabs>
        <w:spacing w:before="1"/>
        <w:ind w:left="740" w:right="0" w:firstLine="0"/>
        <w:jc w:val="left"/>
        <w:rPr>
          <w:rFonts w:ascii="Cambria" w:hAnsi="Cambria"/>
          <w:sz w:val="21"/>
        </w:rPr>
      </w:pPr>
      <w:r>
        <w:rPr>
          <w:rFonts w:ascii="Cambria" w:hAnsi="Cambria"/>
          <w:spacing w:val="-5"/>
          <w:sz w:val="21"/>
        </w:rPr>
        <w:t>GZK</w:t>
      </w:r>
      <w:r>
        <w:rPr>
          <w:rFonts w:ascii="Cambria" w:hAnsi="Cambria"/>
          <w:sz w:val="21"/>
        </w:rPr>
        <w:tab/>
        <w:t>Gazeta</w:t>
      </w:r>
      <w:r>
        <w:rPr>
          <w:rFonts w:ascii="Cambria" w:hAnsi="Cambria"/>
          <w:spacing w:val="-3"/>
          <w:sz w:val="21"/>
        </w:rPr>
        <w:t> </w:t>
      </w:r>
      <w:r>
        <w:rPr>
          <w:rFonts w:ascii="Cambria" w:hAnsi="Cambria"/>
          <w:sz w:val="21"/>
        </w:rPr>
        <w:t>Zyrtare</w:t>
      </w:r>
      <w:r>
        <w:rPr>
          <w:rFonts w:ascii="Cambria" w:hAnsi="Cambria"/>
          <w:spacing w:val="-2"/>
          <w:sz w:val="21"/>
        </w:rPr>
        <w:t> </w:t>
      </w:r>
      <w:r>
        <w:rPr>
          <w:rFonts w:ascii="Cambria" w:hAnsi="Cambria"/>
          <w:sz w:val="21"/>
        </w:rPr>
        <w:t>e </w:t>
      </w:r>
      <w:r>
        <w:rPr>
          <w:rFonts w:ascii="Cambria" w:hAnsi="Cambria"/>
          <w:spacing w:val="-2"/>
          <w:sz w:val="21"/>
        </w:rPr>
        <w:t>Kosovës</w:t>
      </w:r>
    </w:p>
    <w:p>
      <w:pPr>
        <w:tabs>
          <w:tab w:pos="2180" w:val="left" w:leader="none"/>
        </w:tabs>
        <w:spacing w:line="276" w:lineRule="auto" w:before="0"/>
        <w:ind w:left="740" w:right="5430" w:firstLine="0"/>
        <w:jc w:val="left"/>
        <w:rPr>
          <w:rFonts w:ascii="Cambria" w:hAnsi="Cambria"/>
          <w:sz w:val="21"/>
        </w:rPr>
      </w:pPr>
      <w:r>
        <w:rPr>
          <w:rFonts w:ascii="Cambria" w:hAnsi="Cambria"/>
          <w:spacing w:val="-4"/>
          <w:sz w:val="21"/>
        </w:rPr>
        <w:t>IHMK</w:t>
      </w:r>
      <w:r>
        <w:rPr>
          <w:rFonts w:ascii="Cambria" w:hAnsi="Cambria"/>
          <w:sz w:val="21"/>
        </w:rPr>
        <w:tab/>
        <w:t>Instituti Hidrometeorologjik i Kosovës </w:t>
      </w:r>
      <w:r>
        <w:rPr>
          <w:rFonts w:ascii="Cambria" w:hAnsi="Cambria"/>
          <w:spacing w:val="-4"/>
          <w:sz w:val="21"/>
        </w:rPr>
        <w:t>IKMN</w:t>
      </w:r>
      <w:r>
        <w:rPr>
          <w:rFonts w:ascii="Cambria" w:hAnsi="Cambria"/>
          <w:sz w:val="21"/>
        </w:rPr>
        <w:tab/>
        <w:t>Institutimi</w:t>
      </w:r>
      <w:r>
        <w:rPr>
          <w:rFonts w:ascii="Cambria" w:hAnsi="Cambria"/>
          <w:spacing w:val="-8"/>
          <w:sz w:val="21"/>
        </w:rPr>
        <w:t> </w:t>
      </w:r>
      <w:r>
        <w:rPr>
          <w:rFonts w:ascii="Cambria" w:hAnsi="Cambria"/>
          <w:sz w:val="21"/>
        </w:rPr>
        <w:t>Kosovës</w:t>
      </w:r>
      <w:r>
        <w:rPr>
          <w:rFonts w:ascii="Cambria" w:hAnsi="Cambria"/>
          <w:spacing w:val="-8"/>
          <w:sz w:val="21"/>
        </w:rPr>
        <w:t> </w:t>
      </w:r>
      <w:r>
        <w:rPr>
          <w:rFonts w:ascii="Cambria" w:hAnsi="Cambria"/>
          <w:sz w:val="21"/>
        </w:rPr>
        <w:t>për</w:t>
      </w:r>
      <w:r>
        <w:rPr>
          <w:rFonts w:ascii="Cambria" w:hAnsi="Cambria"/>
          <w:spacing w:val="-9"/>
          <w:sz w:val="21"/>
        </w:rPr>
        <w:t> </w:t>
      </w:r>
      <w:r>
        <w:rPr>
          <w:rFonts w:ascii="Cambria" w:hAnsi="Cambria"/>
          <w:sz w:val="21"/>
        </w:rPr>
        <w:t>Mbrojtjen</w:t>
      </w:r>
      <w:r>
        <w:rPr>
          <w:rFonts w:ascii="Cambria" w:hAnsi="Cambria"/>
          <w:spacing w:val="-8"/>
          <w:sz w:val="21"/>
        </w:rPr>
        <w:t> </w:t>
      </w:r>
      <w:r>
        <w:rPr>
          <w:rFonts w:ascii="Cambria" w:hAnsi="Cambria"/>
          <w:sz w:val="21"/>
        </w:rPr>
        <w:t>e</w:t>
      </w:r>
      <w:r>
        <w:rPr>
          <w:rFonts w:ascii="Cambria" w:hAnsi="Cambria"/>
          <w:spacing w:val="-8"/>
          <w:sz w:val="21"/>
        </w:rPr>
        <w:t> </w:t>
      </w:r>
      <w:r>
        <w:rPr>
          <w:rFonts w:ascii="Cambria" w:hAnsi="Cambria"/>
          <w:sz w:val="21"/>
        </w:rPr>
        <w:t>Natyrës</w:t>
      </w:r>
    </w:p>
    <w:p>
      <w:pPr>
        <w:tabs>
          <w:tab w:pos="2180" w:val="left" w:leader="none"/>
        </w:tabs>
        <w:spacing w:line="276" w:lineRule="auto" w:before="0"/>
        <w:ind w:left="740" w:right="4783" w:firstLine="0"/>
        <w:jc w:val="left"/>
        <w:rPr>
          <w:rFonts w:ascii="Cambria" w:hAnsi="Cambria"/>
          <w:sz w:val="21"/>
        </w:rPr>
      </w:pPr>
      <w:r>
        <w:rPr>
          <w:rFonts w:ascii="Cambria" w:hAnsi="Cambria"/>
          <w:spacing w:val="-2"/>
          <w:sz w:val="21"/>
        </w:rPr>
        <w:t>IKSHPK</w:t>
      </w:r>
      <w:r>
        <w:rPr>
          <w:rFonts w:ascii="Cambria" w:hAnsi="Cambria"/>
          <w:sz w:val="21"/>
        </w:rPr>
        <w:tab/>
      </w:r>
      <w:r>
        <w:rPr>
          <w:rFonts w:ascii="Cambria" w:hAnsi="Cambria"/>
          <w:spacing w:val="-18"/>
          <w:sz w:val="21"/>
        </w:rPr>
        <w:t> </w:t>
      </w:r>
      <w:r>
        <w:rPr>
          <w:rFonts w:ascii="Cambria" w:hAnsi="Cambria"/>
          <w:sz w:val="21"/>
        </w:rPr>
        <w:t>Instituti Kombëtar i Shëndetit Publik i Kosovës </w:t>
      </w:r>
      <w:r>
        <w:rPr>
          <w:rFonts w:ascii="Cambria" w:hAnsi="Cambria"/>
          <w:spacing w:val="-4"/>
          <w:sz w:val="21"/>
        </w:rPr>
        <w:t>IMMK</w:t>
      </w:r>
      <w:r>
        <w:rPr>
          <w:rFonts w:ascii="Cambria" w:hAnsi="Cambria"/>
          <w:sz w:val="21"/>
        </w:rPr>
        <w:tab/>
        <w:t>Institutit</w:t>
      </w:r>
      <w:r>
        <w:rPr>
          <w:rFonts w:ascii="Cambria" w:hAnsi="Cambria"/>
          <w:spacing w:val="-6"/>
          <w:sz w:val="21"/>
        </w:rPr>
        <w:t> </w:t>
      </w:r>
      <w:r>
        <w:rPr>
          <w:rFonts w:ascii="Cambria" w:hAnsi="Cambria"/>
          <w:sz w:val="21"/>
        </w:rPr>
        <w:t>për</w:t>
      </w:r>
      <w:r>
        <w:rPr>
          <w:rFonts w:ascii="Cambria" w:hAnsi="Cambria"/>
          <w:spacing w:val="-7"/>
          <w:sz w:val="21"/>
        </w:rPr>
        <w:t> </w:t>
      </w:r>
      <w:r>
        <w:rPr>
          <w:rFonts w:ascii="Cambria" w:hAnsi="Cambria"/>
          <w:sz w:val="21"/>
        </w:rPr>
        <w:t>Mbrojtjen</w:t>
      </w:r>
      <w:r>
        <w:rPr>
          <w:rFonts w:ascii="Cambria" w:hAnsi="Cambria"/>
          <w:spacing w:val="-6"/>
          <w:sz w:val="21"/>
        </w:rPr>
        <w:t> </w:t>
      </w:r>
      <w:r>
        <w:rPr>
          <w:rFonts w:ascii="Cambria" w:hAnsi="Cambria"/>
          <w:sz w:val="21"/>
        </w:rPr>
        <w:t>e</w:t>
      </w:r>
      <w:r>
        <w:rPr>
          <w:rFonts w:ascii="Cambria" w:hAnsi="Cambria"/>
          <w:spacing w:val="-7"/>
          <w:sz w:val="21"/>
        </w:rPr>
        <w:t> </w:t>
      </w:r>
      <w:r>
        <w:rPr>
          <w:rFonts w:ascii="Cambria" w:hAnsi="Cambria"/>
          <w:sz w:val="21"/>
        </w:rPr>
        <w:t>Monumenteve</w:t>
      </w:r>
      <w:r>
        <w:rPr>
          <w:rFonts w:ascii="Cambria" w:hAnsi="Cambria"/>
          <w:spacing w:val="-8"/>
          <w:sz w:val="21"/>
        </w:rPr>
        <w:t> </w:t>
      </w:r>
      <w:r>
        <w:rPr>
          <w:rFonts w:ascii="Cambria" w:hAnsi="Cambria"/>
          <w:sz w:val="21"/>
        </w:rPr>
        <w:t>të</w:t>
      </w:r>
      <w:r>
        <w:rPr>
          <w:rFonts w:ascii="Cambria" w:hAnsi="Cambria"/>
          <w:spacing w:val="-7"/>
          <w:sz w:val="21"/>
        </w:rPr>
        <w:t> </w:t>
      </w:r>
      <w:r>
        <w:rPr>
          <w:rFonts w:ascii="Cambria" w:hAnsi="Cambria"/>
          <w:sz w:val="21"/>
        </w:rPr>
        <w:t>Kosovës </w:t>
      </w:r>
      <w:r>
        <w:rPr>
          <w:rFonts w:ascii="Cambria" w:hAnsi="Cambria"/>
          <w:spacing w:val="-4"/>
          <w:sz w:val="21"/>
        </w:rPr>
        <w:t>IPA</w:t>
      </w:r>
      <w:r>
        <w:rPr>
          <w:rFonts w:ascii="Cambria" w:hAnsi="Cambria"/>
          <w:sz w:val="21"/>
        </w:rPr>
        <w:tab/>
        <w:t>Instrumenti i Para Anëtarësimit</w:t>
      </w:r>
    </w:p>
    <w:p>
      <w:pPr>
        <w:tabs>
          <w:tab w:pos="2180" w:val="left" w:leader="none"/>
        </w:tabs>
        <w:spacing w:line="278" w:lineRule="auto" w:before="0"/>
        <w:ind w:left="740" w:right="4384" w:firstLine="0"/>
        <w:jc w:val="left"/>
        <w:rPr>
          <w:rFonts w:ascii="Cambria" w:hAnsi="Cambria"/>
          <w:sz w:val="24"/>
        </w:rPr>
      </w:pPr>
      <w:r>
        <w:rPr>
          <w:rFonts w:ascii="Cambria" w:hAnsi="Cambria"/>
          <w:spacing w:val="-4"/>
          <w:sz w:val="21"/>
        </w:rPr>
        <w:t>JICA</w:t>
      </w:r>
      <w:r>
        <w:rPr>
          <w:rFonts w:ascii="Cambria" w:hAnsi="Cambria"/>
          <w:sz w:val="21"/>
        </w:rPr>
        <w:tab/>
        <w:t>Agjencia Japoneze për Bashkëpunim Ndërkombëtarë </w:t>
      </w:r>
      <w:r>
        <w:rPr>
          <w:rFonts w:ascii="Cambria" w:hAnsi="Cambria"/>
          <w:spacing w:val="-4"/>
          <w:sz w:val="21"/>
        </w:rPr>
        <w:t>KINP</w:t>
      </w:r>
      <w:r>
        <w:rPr>
          <w:rFonts w:ascii="Cambria" w:hAnsi="Cambria"/>
          <w:sz w:val="21"/>
        </w:rPr>
        <w:tab/>
      </w:r>
      <w:r>
        <w:rPr>
          <w:rFonts w:ascii="Cambria" w:hAnsi="Cambria"/>
          <w:sz w:val="24"/>
        </w:rPr>
        <w:t>Kontrolli</w:t>
      </w:r>
      <w:r>
        <w:rPr>
          <w:rFonts w:ascii="Cambria" w:hAnsi="Cambria"/>
          <w:spacing w:val="-5"/>
          <w:sz w:val="24"/>
        </w:rPr>
        <w:t> </w:t>
      </w:r>
      <w:r>
        <w:rPr>
          <w:rFonts w:ascii="Cambria" w:hAnsi="Cambria"/>
          <w:sz w:val="24"/>
        </w:rPr>
        <w:t>i</w:t>
      </w:r>
      <w:r>
        <w:rPr>
          <w:rFonts w:ascii="Cambria" w:hAnsi="Cambria"/>
          <w:spacing w:val="40"/>
          <w:sz w:val="24"/>
        </w:rPr>
        <w:t> </w:t>
      </w:r>
      <w:r>
        <w:rPr>
          <w:rFonts w:ascii="Cambria" w:hAnsi="Cambria"/>
          <w:sz w:val="24"/>
        </w:rPr>
        <w:t>Integruar</w:t>
      </w:r>
      <w:r>
        <w:rPr>
          <w:rFonts w:ascii="Cambria" w:hAnsi="Cambria"/>
          <w:spacing w:val="-5"/>
          <w:sz w:val="24"/>
        </w:rPr>
        <w:t> </w:t>
      </w:r>
      <w:r>
        <w:rPr>
          <w:rFonts w:ascii="Cambria" w:hAnsi="Cambria"/>
          <w:sz w:val="24"/>
        </w:rPr>
        <w:t>për</w:t>
      </w:r>
      <w:r>
        <w:rPr>
          <w:rFonts w:ascii="Cambria" w:hAnsi="Cambria"/>
          <w:spacing w:val="-6"/>
          <w:sz w:val="24"/>
        </w:rPr>
        <w:t> </w:t>
      </w:r>
      <w:r>
        <w:rPr>
          <w:rFonts w:ascii="Cambria" w:hAnsi="Cambria"/>
          <w:sz w:val="24"/>
        </w:rPr>
        <w:t>Parandalimin</w:t>
      </w:r>
      <w:r>
        <w:rPr>
          <w:rFonts w:ascii="Cambria" w:hAnsi="Cambria"/>
          <w:spacing w:val="-5"/>
          <w:sz w:val="24"/>
        </w:rPr>
        <w:t> </w:t>
      </w:r>
      <w:r>
        <w:rPr>
          <w:rFonts w:ascii="Cambria" w:hAnsi="Cambria"/>
          <w:sz w:val="24"/>
        </w:rPr>
        <w:t>e</w:t>
      </w:r>
      <w:r>
        <w:rPr>
          <w:rFonts w:ascii="Cambria" w:hAnsi="Cambria"/>
          <w:spacing w:val="-5"/>
          <w:sz w:val="24"/>
        </w:rPr>
        <w:t> </w:t>
      </w:r>
      <w:r>
        <w:rPr>
          <w:rFonts w:ascii="Cambria" w:hAnsi="Cambria"/>
          <w:sz w:val="24"/>
        </w:rPr>
        <w:t>Ndotjes</w:t>
      </w:r>
    </w:p>
    <w:p>
      <w:pPr>
        <w:spacing w:after="0" w:line="278" w:lineRule="auto"/>
        <w:jc w:val="left"/>
        <w:rPr>
          <w:rFonts w:ascii="Cambria" w:hAnsi="Cambria"/>
          <w:sz w:val="24"/>
        </w:rPr>
        <w:sectPr>
          <w:pgSz w:w="12240" w:h="15840"/>
          <w:pgMar w:header="0" w:footer="990" w:top="1360" w:bottom="1180" w:left="700" w:right="0"/>
        </w:sectPr>
      </w:pPr>
    </w:p>
    <w:p>
      <w:pPr>
        <w:tabs>
          <w:tab w:pos="2180" w:val="left" w:leader="none"/>
        </w:tabs>
        <w:spacing w:before="79"/>
        <w:ind w:left="740" w:right="0" w:firstLine="0"/>
        <w:jc w:val="left"/>
        <w:rPr>
          <w:rFonts w:ascii="Cambria" w:hAnsi="Cambria"/>
          <w:sz w:val="21"/>
        </w:rPr>
      </w:pPr>
      <w:r>
        <w:rPr>
          <w:rFonts w:ascii="Cambria" w:hAnsi="Cambria"/>
          <w:spacing w:val="-4"/>
          <w:sz w:val="21"/>
        </w:rPr>
        <w:t>KVRL</w:t>
      </w:r>
      <w:r>
        <w:rPr>
          <w:rFonts w:ascii="Cambria" w:hAnsi="Cambria"/>
          <w:sz w:val="21"/>
        </w:rPr>
        <w:tab/>
        <w:t>Këshilli</w:t>
      </w:r>
      <w:r>
        <w:rPr>
          <w:rFonts w:ascii="Cambria" w:hAnsi="Cambria"/>
          <w:spacing w:val="-6"/>
          <w:sz w:val="21"/>
        </w:rPr>
        <w:t> </w:t>
      </w:r>
      <w:r>
        <w:rPr>
          <w:rFonts w:ascii="Cambria" w:hAnsi="Cambria"/>
          <w:sz w:val="21"/>
        </w:rPr>
        <w:t>Rinor</w:t>
      </w:r>
      <w:r>
        <w:rPr>
          <w:rFonts w:ascii="Cambria" w:hAnsi="Cambria"/>
          <w:spacing w:val="-4"/>
          <w:sz w:val="21"/>
        </w:rPr>
        <w:t> </w:t>
      </w:r>
      <w:r>
        <w:rPr>
          <w:rFonts w:ascii="Cambria" w:hAnsi="Cambria"/>
          <w:sz w:val="21"/>
        </w:rPr>
        <w:t>për</w:t>
      </w:r>
      <w:r>
        <w:rPr>
          <w:rFonts w:ascii="Cambria" w:hAnsi="Cambria"/>
          <w:spacing w:val="-4"/>
          <w:sz w:val="21"/>
        </w:rPr>
        <w:t> </w:t>
      </w:r>
      <w:r>
        <w:rPr>
          <w:rFonts w:ascii="Cambria" w:hAnsi="Cambria"/>
          <w:sz w:val="21"/>
        </w:rPr>
        <w:t>Veprim</w:t>
      </w:r>
      <w:r>
        <w:rPr>
          <w:rFonts w:ascii="Cambria" w:hAnsi="Cambria"/>
          <w:spacing w:val="-2"/>
          <w:sz w:val="21"/>
        </w:rPr>
        <w:t> Lokal</w:t>
      </w:r>
    </w:p>
    <w:p>
      <w:pPr>
        <w:pStyle w:val="BodyText"/>
        <w:tabs>
          <w:tab w:pos="2180" w:val="left" w:leader="none"/>
        </w:tabs>
        <w:spacing w:before="39"/>
        <w:ind w:left="740"/>
        <w:rPr>
          <w:rFonts w:ascii="Cambria" w:hAnsi="Cambria"/>
        </w:rPr>
      </w:pPr>
      <w:r>
        <w:rPr>
          <w:rFonts w:ascii="Cambria" w:hAnsi="Cambria"/>
          <w:spacing w:val="-4"/>
          <w:sz w:val="21"/>
        </w:rPr>
        <w:t>KINP</w:t>
      </w:r>
      <w:r>
        <w:rPr>
          <w:rFonts w:ascii="Cambria" w:hAnsi="Cambria"/>
          <w:sz w:val="21"/>
        </w:rPr>
        <w:tab/>
      </w:r>
      <w:r>
        <w:rPr>
          <w:rFonts w:ascii="Cambria" w:hAnsi="Cambria"/>
        </w:rPr>
        <w:t>Kontrolli</w:t>
      </w:r>
      <w:r>
        <w:rPr>
          <w:rFonts w:ascii="Cambria" w:hAnsi="Cambria"/>
          <w:spacing w:val="-2"/>
        </w:rPr>
        <w:t> </w:t>
      </w:r>
      <w:r>
        <w:rPr>
          <w:rFonts w:ascii="Cambria" w:hAnsi="Cambria"/>
        </w:rPr>
        <w:t>i</w:t>
      </w:r>
      <w:r>
        <w:rPr>
          <w:rFonts w:ascii="Cambria" w:hAnsi="Cambria"/>
          <w:spacing w:val="47"/>
        </w:rPr>
        <w:t> </w:t>
      </w:r>
      <w:r>
        <w:rPr>
          <w:rFonts w:ascii="Cambria" w:hAnsi="Cambria"/>
        </w:rPr>
        <w:t>Integruar</w:t>
      </w:r>
      <w:r>
        <w:rPr>
          <w:rFonts w:ascii="Cambria" w:hAnsi="Cambria"/>
          <w:spacing w:val="-1"/>
        </w:rPr>
        <w:t> </w:t>
      </w:r>
      <w:r>
        <w:rPr>
          <w:rFonts w:ascii="Cambria" w:hAnsi="Cambria"/>
        </w:rPr>
        <w:t>për</w:t>
      </w:r>
      <w:r>
        <w:rPr>
          <w:rFonts w:ascii="Cambria" w:hAnsi="Cambria"/>
          <w:spacing w:val="-3"/>
        </w:rPr>
        <w:t> </w:t>
      </w:r>
      <w:r>
        <w:rPr>
          <w:rFonts w:ascii="Cambria" w:hAnsi="Cambria"/>
        </w:rPr>
        <w:t>Parandalimin</w:t>
      </w:r>
      <w:r>
        <w:rPr>
          <w:rFonts w:ascii="Cambria" w:hAnsi="Cambria"/>
          <w:spacing w:val="-2"/>
        </w:rPr>
        <w:t> </w:t>
      </w:r>
      <w:r>
        <w:rPr>
          <w:rFonts w:ascii="Cambria" w:hAnsi="Cambria"/>
        </w:rPr>
        <w:t>e</w:t>
      </w:r>
      <w:r>
        <w:rPr>
          <w:rFonts w:ascii="Cambria" w:hAnsi="Cambria"/>
          <w:spacing w:val="-1"/>
        </w:rPr>
        <w:t> </w:t>
      </w:r>
      <w:r>
        <w:rPr>
          <w:rFonts w:ascii="Cambria" w:hAnsi="Cambria"/>
          <w:spacing w:val="-2"/>
        </w:rPr>
        <w:t>Ndotjes</w:t>
      </w:r>
    </w:p>
    <w:p>
      <w:pPr>
        <w:tabs>
          <w:tab w:pos="2180" w:val="left" w:leader="none"/>
        </w:tabs>
        <w:spacing w:before="41"/>
        <w:ind w:left="740" w:right="0" w:firstLine="0"/>
        <w:jc w:val="left"/>
        <w:rPr>
          <w:rFonts w:ascii="Cambria" w:hAnsi="Cambria"/>
          <w:sz w:val="21"/>
        </w:rPr>
      </w:pPr>
      <w:r>
        <w:rPr>
          <w:rFonts w:ascii="Cambria" w:hAnsi="Cambria"/>
          <w:spacing w:val="-4"/>
          <w:sz w:val="21"/>
        </w:rPr>
        <w:t>KVRL</w:t>
      </w:r>
      <w:r>
        <w:rPr>
          <w:rFonts w:ascii="Cambria" w:hAnsi="Cambria"/>
          <w:sz w:val="21"/>
        </w:rPr>
        <w:tab/>
        <w:t>Këshilli</w:t>
      </w:r>
      <w:r>
        <w:rPr>
          <w:rFonts w:ascii="Cambria" w:hAnsi="Cambria"/>
          <w:spacing w:val="-6"/>
          <w:sz w:val="21"/>
        </w:rPr>
        <w:t> </w:t>
      </w:r>
      <w:r>
        <w:rPr>
          <w:rFonts w:ascii="Cambria" w:hAnsi="Cambria"/>
          <w:sz w:val="21"/>
        </w:rPr>
        <w:t>Rinor</w:t>
      </w:r>
      <w:r>
        <w:rPr>
          <w:rFonts w:ascii="Cambria" w:hAnsi="Cambria"/>
          <w:spacing w:val="-4"/>
          <w:sz w:val="21"/>
        </w:rPr>
        <w:t> </w:t>
      </w:r>
      <w:r>
        <w:rPr>
          <w:rFonts w:ascii="Cambria" w:hAnsi="Cambria"/>
          <w:sz w:val="21"/>
        </w:rPr>
        <w:t>për</w:t>
      </w:r>
      <w:r>
        <w:rPr>
          <w:rFonts w:ascii="Cambria" w:hAnsi="Cambria"/>
          <w:spacing w:val="-4"/>
          <w:sz w:val="21"/>
        </w:rPr>
        <w:t> </w:t>
      </w:r>
      <w:r>
        <w:rPr>
          <w:rFonts w:ascii="Cambria" w:hAnsi="Cambria"/>
          <w:sz w:val="21"/>
        </w:rPr>
        <w:t>Veprim</w:t>
      </w:r>
      <w:r>
        <w:rPr>
          <w:rFonts w:ascii="Cambria" w:hAnsi="Cambria"/>
          <w:spacing w:val="-2"/>
          <w:sz w:val="21"/>
        </w:rPr>
        <w:t> Lokal</w:t>
      </w:r>
    </w:p>
    <w:p>
      <w:pPr>
        <w:tabs>
          <w:tab w:pos="2180" w:val="left" w:leader="none"/>
        </w:tabs>
        <w:spacing w:before="37"/>
        <w:ind w:left="740" w:right="0" w:firstLine="0"/>
        <w:jc w:val="left"/>
        <w:rPr>
          <w:rFonts w:ascii="Cambria" w:hAnsi="Cambria"/>
          <w:sz w:val="21"/>
        </w:rPr>
      </w:pPr>
      <w:r>
        <w:rPr>
          <w:rFonts w:ascii="Cambria" w:hAnsi="Cambria"/>
          <w:spacing w:val="-5"/>
          <w:sz w:val="21"/>
        </w:rPr>
        <w:t>KRU</w:t>
      </w:r>
      <w:r>
        <w:rPr>
          <w:rFonts w:ascii="Cambria" w:hAnsi="Cambria"/>
          <w:sz w:val="21"/>
        </w:rPr>
        <w:tab/>
        <w:t>Kompania</w:t>
      </w:r>
      <w:r>
        <w:rPr>
          <w:rFonts w:ascii="Cambria" w:hAnsi="Cambria"/>
          <w:spacing w:val="-5"/>
          <w:sz w:val="21"/>
        </w:rPr>
        <w:t> </w:t>
      </w:r>
      <w:r>
        <w:rPr>
          <w:rFonts w:ascii="Cambria" w:hAnsi="Cambria"/>
          <w:sz w:val="21"/>
        </w:rPr>
        <w:t>Regjionale</w:t>
      </w:r>
      <w:r>
        <w:rPr>
          <w:rFonts w:ascii="Cambria" w:hAnsi="Cambria"/>
          <w:spacing w:val="-4"/>
          <w:sz w:val="21"/>
        </w:rPr>
        <w:t> </w:t>
      </w:r>
      <w:r>
        <w:rPr>
          <w:rFonts w:ascii="Cambria" w:hAnsi="Cambria"/>
          <w:sz w:val="21"/>
        </w:rPr>
        <w:t>e</w:t>
      </w:r>
      <w:r>
        <w:rPr>
          <w:rFonts w:ascii="Cambria" w:hAnsi="Cambria"/>
          <w:spacing w:val="-3"/>
          <w:sz w:val="21"/>
        </w:rPr>
        <w:t> </w:t>
      </w:r>
      <w:r>
        <w:rPr>
          <w:rFonts w:ascii="Cambria" w:hAnsi="Cambria"/>
          <w:spacing w:val="-2"/>
          <w:sz w:val="21"/>
        </w:rPr>
        <w:t>Ujësjellësit</w:t>
      </w:r>
    </w:p>
    <w:p>
      <w:pPr>
        <w:tabs>
          <w:tab w:pos="2180" w:val="left" w:leader="none"/>
        </w:tabs>
        <w:spacing w:line="276" w:lineRule="auto" w:before="36"/>
        <w:ind w:left="740" w:right="5463" w:firstLine="0"/>
        <w:jc w:val="left"/>
        <w:rPr>
          <w:rFonts w:ascii="Cambria" w:hAnsi="Cambria"/>
          <w:sz w:val="21"/>
        </w:rPr>
      </w:pPr>
      <w:r>
        <w:rPr>
          <w:rFonts w:ascii="Cambria" w:hAnsi="Cambria"/>
          <w:spacing w:val="-4"/>
          <w:sz w:val="21"/>
        </w:rPr>
        <w:t>MAPL</w:t>
      </w:r>
      <w:r>
        <w:rPr>
          <w:rFonts w:ascii="Cambria" w:hAnsi="Cambria"/>
          <w:sz w:val="21"/>
        </w:rPr>
        <w:tab/>
        <w:t>Ministria</w:t>
      </w:r>
      <w:r>
        <w:rPr>
          <w:rFonts w:ascii="Cambria" w:hAnsi="Cambria"/>
          <w:spacing w:val="-8"/>
          <w:sz w:val="21"/>
        </w:rPr>
        <w:t> </w:t>
      </w:r>
      <w:r>
        <w:rPr>
          <w:rFonts w:ascii="Cambria" w:hAnsi="Cambria"/>
          <w:sz w:val="21"/>
        </w:rPr>
        <w:t>e</w:t>
      </w:r>
      <w:r>
        <w:rPr>
          <w:rFonts w:ascii="Cambria" w:hAnsi="Cambria"/>
          <w:spacing w:val="-8"/>
          <w:sz w:val="21"/>
        </w:rPr>
        <w:t> </w:t>
      </w:r>
      <w:r>
        <w:rPr>
          <w:rFonts w:ascii="Cambria" w:hAnsi="Cambria"/>
          <w:sz w:val="21"/>
        </w:rPr>
        <w:t>Administrimit</w:t>
      </w:r>
      <w:r>
        <w:rPr>
          <w:rFonts w:ascii="Cambria" w:hAnsi="Cambria"/>
          <w:spacing w:val="-9"/>
          <w:sz w:val="21"/>
        </w:rPr>
        <w:t> </w:t>
      </w:r>
      <w:r>
        <w:rPr>
          <w:rFonts w:ascii="Cambria" w:hAnsi="Cambria"/>
          <w:sz w:val="21"/>
        </w:rPr>
        <w:t>të</w:t>
      </w:r>
      <w:r>
        <w:rPr>
          <w:rFonts w:ascii="Cambria" w:hAnsi="Cambria"/>
          <w:spacing w:val="-9"/>
          <w:sz w:val="21"/>
        </w:rPr>
        <w:t> </w:t>
      </w:r>
      <w:r>
        <w:rPr>
          <w:rFonts w:ascii="Cambria" w:hAnsi="Cambria"/>
          <w:sz w:val="21"/>
        </w:rPr>
        <w:t>Pushtetit</w:t>
      </w:r>
      <w:r>
        <w:rPr>
          <w:rFonts w:ascii="Cambria" w:hAnsi="Cambria"/>
          <w:spacing w:val="-8"/>
          <w:sz w:val="21"/>
        </w:rPr>
        <w:t> </w:t>
      </w:r>
      <w:r>
        <w:rPr>
          <w:rFonts w:ascii="Cambria" w:hAnsi="Cambria"/>
          <w:sz w:val="21"/>
        </w:rPr>
        <w:t>Lokal </w:t>
      </w:r>
      <w:r>
        <w:rPr>
          <w:rFonts w:ascii="Cambria" w:hAnsi="Cambria"/>
          <w:spacing w:val="-4"/>
          <w:sz w:val="21"/>
        </w:rPr>
        <w:t>MKRS</w:t>
      </w:r>
      <w:r>
        <w:rPr>
          <w:rFonts w:ascii="Cambria" w:hAnsi="Cambria"/>
          <w:sz w:val="21"/>
        </w:rPr>
        <w:tab/>
        <w:t>Ministria e Kulturës, Rinisë dhe Sportit</w:t>
      </w:r>
    </w:p>
    <w:p>
      <w:pPr>
        <w:tabs>
          <w:tab w:pos="2180" w:val="left" w:leader="none"/>
        </w:tabs>
        <w:spacing w:line="276" w:lineRule="auto" w:before="0"/>
        <w:ind w:left="740" w:right="5173" w:firstLine="0"/>
        <w:jc w:val="left"/>
        <w:rPr>
          <w:rFonts w:ascii="Cambria" w:hAnsi="Cambria"/>
          <w:sz w:val="21"/>
        </w:rPr>
      </w:pPr>
      <w:r>
        <w:rPr>
          <w:rFonts w:ascii="Cambria" w:hAnsi="Cambria"/>
          <w:spacing w:val="-4"/>
          <w:sz w:val="21"/>
        </w:rPr>
        <w:t>MMPH</w:t>
      </w:r>
      <w:r>
        <w:rPr>
          <w:rFonts w:ascii="Cambria" w:hAnsi="Cambria"/>
          <w:sz w:val="21"/>
        </w:rPr>
        <w:tab/>
        <w:t>Ministria</w:t>
      </w:r>
      <w:r>
        <w:rPr>
          <w:rFonts w:ascii="Cambria" w:hAnsi="Cambria"/>
          <w:spacing w:val="-8"/>
          <w:sz w:val="21"/>
        </w:rPr>
        <w:t> </w:t>
      </w:r>
      <w:r>
        <w:rPr>
          <w:rFonts w:ascii="Cambria" w:hAnsi="Cambria"/>
          <w:sz w:val="21"/>
        </w:rPr>
        <w:t>e</w:t>
      </w:r>
      <w:r>
        <w:rPr>
          <w:rFonts w:ascii="Cambria" w:hAnsi="Cambria"/>
          <w:spacing w:val="-8"/>
          <w:sz w:val="21"/>
        </w:rPr>
        <w:t> </w:t>
      </w:r>
      <w:r>
        <w:rPr>
          <w:rFonts w:ascii="Cambria" w:hAnsi="Cambria"/>
          <w:sz w:val="21"/>
        </w:rPr>
        <w:t>Mjedisit</w:t>
      </w:r>
      <w:r>
        <w:rPr>
          <w:rFonts w:ascii="Cambria" w:hAnsi="Cambria"/>
          <w:spacing w:val="-8"/>
          <w:sz w:val="21"/>
        </w:rPr>
        <w:t> </w:t>
      </w:r>
      <w:r>
        <w:rPr>
          <w:rFonts w:ascii="Cambria" w:hAnsi="Cambria"/>
          <w:sz w:val="21"/>
        </w:rPr>
        <w:t>dhe</w:t>
      </w:r>
      <w:r>
        <w:rPr>
          <w:rFonts w:ascii="Cambria" w:hAnsi="Cambria"/>
          <w:spacing w:val="-8"/>
          <w:sz w:val="21"/>
        </w:rPr>
        <w:t> </w:t>
      </w:r>
      <w:r>
        <w:rPr>
          <w:rFonts w:ascii="Cambria" w:hAnsi="Cambria"/>
          <w:sz w:val="21"/>
        </w:rPr>
        <w:t>Planifikimit</w:t>
      </w:r>
      <w:r>
        <w:rPr>
          <w:rFonts w:ascii="Cambria" w:hAnsi="Cambria"/>
          <w:spacing w:val="-9"/>
          <w:sz w:val="21"/>
        </w:rPr>
        <w:t> </w:t>
      </w:r>
      <w:r>
        <w:rPr>
          <w:rFonts w:ascii="Cambria" w:hAnsi="Cambria"/>
          <w:sz w:val="21"/>
        </w:rPr>
        <w:t>Hapësinor </w:t>
      </w:r>
      <w:r>
        <w:rPr>
          <w:rFonts w:ascii="Cambria" w:hAnsi="Cambria"/>
          <w:spacing w:val="-4"/>
          <w:sz w:val="21"/>
        </w:rPr>
        <w:t>MZHE</w:t>
      </w:r>
      <w:r>
        <w:rPr>
          <w:rFonts w:ascii="Cambria" w:hAnsi="Cambria"/>
          <w:sz w:val="21"/>
        </w:rPr>
        <w:tab/>
        <w:t>Ministria e Zhvillimit Ekonomik</w:t>
      </w:r>
    </w:p>
    <w:p>
      <w:pPr>
        <w:tabs>
          <w:tab w:pos="2180" w:val="left" w:leader="none"/>
        </w:tabs>
        <w:spacing w:before="0"/>
        <w:ind w:left="740" w:right="0" w:firstLine="0"/>
        <w:jc w:val="left"/>
        <w:rPr>
          <w:rFonts w:ascii="Cambria"/>
          <w:sz w:val="21"/>
        </w:rPr>
      </w:pPr>
      <w:r>
        <w:rPr>
          <w:rFonts w:ascii="Cambria"/>
          <w:spacing w:val="-5"/>
          <w:sz w:val="21"/>
        </w:rPr>
        <w:t>MFK</w:t>
      </w:r>
      <w:r>
        <w:rPr>
          <w:rFonts w:ascii="Cambria"/>
          <w:sz w:val="21"/>
        </w:rPr>
        <w:tab/>
        <w:t>Fondacioni</w:t>
      </w:r>
      <w:r>
        <w:rPr>
          <w:rFonts w:ascii="Cambria"/>
          <w:spacing w:val="-3"/>
          <w:sz w:val="21"/>
        </w:rPr>
        <w:t> </w:t>
      </w:r>
      <w:r>
        <w:rPr>
          <w:rFonts w:ascii="Cambria"/>
          <w:sz w:val="21"/>
        </w:rPr>
        <w:t>Kosovar</w:t>
      </w:r>
      <w:r>
        <w:rPr>
          <w:rFonts w:ascii="Cambria"/>
          <w:spacing w:val="-3"/>
          <w:sz w:val="21"/>
        </w:rPr>
        <w:t> </w:t>
      </w:r>
      <w:r>
        <w:rPr>
          <w:rFonts w:ascii="Cambria"/>
          <w:sz w:val="21"/>
        </w:rPr>
        <w:t>i</w:t>
      </w:r>
      <w:r>
        <w:rPr>
          <w:rFonts w:ascii="Cambria"/>
          <w:spacing w:val="-2"/>
          <w:sz w:val="21"/>
        </w:rPr>
        <w:t> Mileniumit</w:t>
      </w:r>
    </w:p>
    <w:p>
      <w:pPr>
        <w:tabs>
          <w:tab w:pos="2180" w:val="left" w:leader="none"/>
        </w:tabs>
        <w:spacing w:before="38"/>
        <w:ind w:left="740" w:right="0" w:firstLine="0"/>
        <w:jc w:val="left"/>
        <w:rPr>
          <w:rFonts w:ascii="Cambria" w:hAnsi="Cambria"/>
          <w:sz w:val="21"/>
        </w:rPr>
      </w:pPr>
      <w:r>
        <w:rPr>
          <w:rFonts w:ascii="Cambria" w:hAnsi="Cambria"/>
          <w:spacing w:val="-5"/>
          <w:sz w:val="21"/>
        </w:rPr>
        <w:t>NPL</w:t>
      </w:r>
      <w:r>
        <w:rPr>
          <w:rFonts w:ascii="Cambria" w:hAnsi="Cambria"/>
          <w:sz w:val="21"/>
        </w:rPr>
        <w:tab/>
        <w:t>Ndërmarrja</w:t>
      </w:r>
      <w:r>
        <w:rPr>
          <w:rFonts w:ascii="Cambria" w:hAnsi="Cambria"/>
          <w:spacing w:val="-5"/>
          <w:sz w:val="21"/>
        </w:rPr>
        <w:t> </w:t>
      </w:r>
      <w:r>
        <w:rPr>
          <w:rFonts w:ascii="Cambria" w:hAnsi="Cambria"/>
          <w:sz w:val="21"/>
        </w:rPr>
        <w:t>Publike</w:t>
      </w:r>
      <w:r>
        <w:rPr>
          <w:rFonts w:ascii="Cambria" w:hAnsi="Cambria"/>
          <w:spacing w:val="-2"/>
          <w:sz w:val="21"/>
        </w:rPr>
        <w:t> Lokale</w:t>
      </w:r>
    </w:p>
    <w:p>
      <w:pPr>
        <w:pStyle w:val="BodyText"/>
        <w:tabs>
          <w:tab w:pos="2198" w:val="left" w:leader="none"/>
        </w:tabs>
        <w:spacing w:before="38"/>
        <w:ind w:left="740"/>
        <w:rPr>
          <w:rFonts w:ascii="Cambria" w:hAnsi="Cambria"/>
        </w:rPr>
      </w:pPr>
      <w:r>
        <w:rPr>
          <w:rFonts w:ascii="Cambria" w:hAnsi="Cambria"/>
          <w:spacing w:val="-4"/>
        </w:rPr>
        <w:t>KIPM</w:t>
      </w:r>
      <w:r>
        <w:rPr>
          <w:rFonts w:ascii="Cambria" w:hAnsi="Cambria"/>
        </w:rPr>
        <w:tab/>
        <w:t>Kontrollin</w:t>
      </w:r>
      <w:r>
        <w:rPr>
          <w:rFonts w:ascii="Cambria" w:hAnsi="Cambria"/>
          <w:spacing w:val="-3"/>
        </w:rPr>
        <w:t> </w:t>
      </w:r>
      <w:r>
        <w:rPr>
          <w:rFonts w:ascii="Cambria" w:hAnsi="Cambria"/>
        </w:rPr>
        <w:t>e</w:t>
      </w:r>
      <w:r>
        <w:rPr>
          <w:rFonts w:ascii="Cambria" w:hAnsi="Cambria"/>
          <w:spacing w:val="49"/>
        </w:rPr>
        <w:t> </w:t>
      </w:r>
      <w:r>
        <w:rPr>
          <w:rFonts w:ascii="Cambria" w:hAnsi="Cambria"/>
        </w:rPr>
        <w:t>Integruar</w:t>
      </w:r>
      <w:r>
        <w:rPr>
          <w:rFonts w:ascii="Cambria" w:hAnsi="Cambria"/>
          <w:spacing w:val="-2"/>
        </w:rPr>
        <w:t> </w:t>
      </w:r>
      <w:r>
        <w:rPr>
          <w:rFonts w:ascii="Cambria" w:hAnsi="Cambria"/>
        </w:rPr>
        <w:t>për</w:t>
      </w:r>
      <w:r>
        <w:rPr>
          <w:rFonts w:ascii="Cambria" w:hAnsi="Cambria"/>
          <w:spacing w:val="-3"/>
        </w:rPr>
        <w:t> </w:t>
      </w:r>
      <w:r>
        <w:rPr>
          <w:rFonts w:ascii="Cambria" w:hAnsi="Cambria"/>
        </w:rPr>
        <w:t>Parandalimin</w:t>
      </w:r>
      <w:r>
        <w:rPr>
          <w:rFonts w:ascii="Cambria" w:hAnsi="Cambria"/>
          <w:spacing w:val="-3"/>
        </w:rPr>
        <w:t> </w:t>
      </w:r>
      <w:r>
        <w:rPr>
          <w:rFonts w:ascii="Cambria" w:hAnsi="Cambria"/>
        </w:rPr>
        <w:t>e</w:t>
      </w:r>
      <w:r>
        <w:rPr>
          <w:rFonts w:ascii="Cambria" w:hAnsi="Cambria"/>
          <w:spacing w:val="-4"/>
        </w:rPr>
        <w:t> </w:t>
      </w:r>
      <w:r>
        <w:rPr>
          <w:rFonts w:ascii="Cambria" w:hAnsi="Cambria"/>
          <w:spacing w:val="-2"/>
        </w:rPr>
        <w:t>Ndotjes</w:t>
      </w:r>
    </w:p>
    <w:p>
      <w:pPr>
        <w:tabs>
          <w:tab w:pos="2180" w:val="left" w:leader="none"/>
        </w:tabs>
        <w:spacing w:before="41"/>
        <w:ind w:left="740" w:right="0" w:firstLine="0"/>
        <w:jc w:val="left"/>
        <w:rPr>
          <w:rFonts w:ascii="Cambria" w:hAnsi="Cambria"/>
          <w:sz w:val="21"/>
        </w:rPr>
      </w:pPr>
      <w:r>
        <w:rPr>
          <w:rFonts w:ascii="Cambria" w:hAnsi="Cambria"/>
          <w:spacing w:val="-4"/>
          <w:sz w:val="21"/>
        </w:rPr>
        <w:t>OBSH</w:t>
      </w:r>
      <w:r>
        <w:rPr>
          <w:rFonts w:ascii="Cambria" w:hAnsi="Cambria"/>
          <w:sz w:val="21"/>
        </w:rPr>
        <w:tab/>
        <w:t>Organizata</w:t>
      </w:r>
      <w:r>
        <w:rPr>
          <w:rFonts w:ascii="Cambria" w:hAnsi="Cambria"/>
          <w:spacing w:val="-5"/>
          <w:sz w:val="21"/>
        </w:rPr>
        <w:t> </w:t>
      </w:r>
      <w:r>
        <w:rPr>
          <w:rFonts w:ascii="Cambria" w:hAnsi="Cambria"/>
          <w:sz w:val="21"/>
        </w:rPr>
        <w:t>Botërore</w:t>
      </w:r>
      <w:r>
        <w:rPr>
          <w:rFonts w:ascii="Cambria" w:hAnsi="Cambria"/>
          <w:spacing w:val="-5"/>
          <w:sz w:val="21"/>
        </w:rPr>
        <w:t> </w:t>
      </w:r>
      <w:r>
        <w:rPr>
          <w:rFonts w:ascii="Cambria" w:hAnsi="Cambria"/>
          <w:sz w:val="21"/>
        </w:rPr>
        <w:t>e</w:t>
      </w:r>
      <w:r>
        <w:rPr>
          <w:rFonts w:ascii="Cambria" w:hAnsi="Cambria"/>
          <w:spacing w:val="-4"/>
          <w:sz w:val="21"/>
        </w:rPr>
        <w:t> </w:t>
      </w:r>
      <w:r>
        <w:rPr>
          <w:rFonts w:ascii="Cambria" w:hAnsi="Cambria"/>
          <w:spacing w:val="-2"/>
          <w:sz w:val="21"/>
        </w:rPr>
        <w:t>Shëndetësisë</w:t>
      </w:r>
    </w:p>
    <w:p>
      <w:pPr>
        <w:tabs>
          <w:tab w:pos="2180" w:val="left" w:leader="none"/>
        </w:tabs>
        <w:spacing w:before="37"/>
        <w:ind w:left="740" w:right="0" w:firstLine="0"/>
        <w:jc w:val="left"/>
        <w:rPr>
          <w:rFonts w:ascii="Cambria"/>
          <w:sz w:val="21"/>
        </w:rPr>
      </w:pPr>
      <w:r>
        <w:rPr>
          <w:rFonts w:ascii="Cambria"/>
          <w:spacing w:val="-5"/>
          <w:sz w:val="21"/>
        </w:rPr>
        <w:t>OJQ</w:t>
      </w:r>
      <w:r>
        <w:rPr>
          <w:rFonts w:ascii="Cambria"/>
          <w:sz w:val="21"/>
        </w:rPr>
        <w:tab/>
        <w:t>Organizata</w:t>
      </w:r>
      <w:r>
        <w:rPr>
          <w:rFonts w:ascii="Cambria"/>
          <w:spacing w:val="-8"/>
          <w:sz w:val="21"/>
        </w:rPr>
        <w:t> </w:t>
      </w:r>
      <w:r>
        <w:rPr>
          <w:rFonts w:ascii="Cambria"/>
          <w:spacing w:val="-2"/>
          <w:sz w:val="21"/>
        </w:rPr>
        <w:t>Joqeveritare</w:t>
      </w:r>
    </w:p>
    <w:p>
      <w:pPr>
        <w:tabs>
          <w:tab w:pos="2167" w:val="left" w:leader="none"/>
        </w:tabs>
        <w:spacing w:line="276" w:lineRule="auto" w:before="37"/>
        <w:ind w:left="740" w:right="1435" w:firstLine="0"/>
        <w:jc w:val="left"/>
        <w:rPr>
          <w:rFonts w:ascii="Cambria" w:hAnsi="Cambria"/>
          <w:sz w:val="21"/>
        </w:rPr>
      </w:pPr>
      <w:r>
        <w:rPr>
          <w:rFonts w:ascii="Cambria" w:hAnsi="Cambria"/>
          <w:spacing w:val="-2"/>
          <w:sz w:val="21"/>
        </w:rPr>
        <w:t>PKVEE</w:t>
      </w:r>
      <w:r>
        <w:rPr>
          <w:rFonts w:ascii="Cambria" w:hAnsi="Cambria"/>
          <w:sz w:val="21"/>
        </w:rPr>
        <w:tab/>
        <w:t>Plani Komunal i Veprimit për Eficencë të Energjisë për Komunën</w:t>
      </w:r>
      <w:r>
        <w:rPr>
          <w:rFonts w:ascii="Cambria" w:hAnsi="Cambria"/>
          <w:spacing w:val="40"/>
          <w:sz w:val="21"/>
        </w:rPr>
        <w:t> </w:t>
      </w:r>
      <w:r>
        <w:rPr>
          <w:rFonts w:ascii="Cambria" w:hAnsi="Cambria"/>
          <w:sz w:val="21"/>
        </w:rPr>
        <w:t>e Hanit të</w:t>
      </w:r>
      <w:r>
        <w:rPr>
          <w:rFonts w:ascii="Cambria" w:hAnsi="Cambria"/>
          <w:spacing w:val="-1"/>
          <w:sz w:val="21"/>
        </w:rPr>
        <w:t> </w:t>
      </w:r>
      <w:r>
        <w:rPr>
          <w:rFonts w:ascii="Cambria" w:hAnsi="Cambria"/>
          <w:sz w:val="21"/>
        </w:rPr>
        <w:t>Elezit 2019- </w:t>
      </w:r>
      <w:r>
        <w:rPr>
          <w:rFonts w:ascii="Cambria" w:hAnsi="Cambria"/>
          <w:spacing w:val="-4"/>
          <w:sz w:val="21"/>
        </w:rPr>
        <w:t>2021</w:t>
      </w:r>
    </w:p>
    <w:p>
      <w:pPr>
        <w:pStyle w:val="BodyText"/>
        <w:tabs>
          <w:tab w:pos="2190" w:val="left" w:leader="none"/>
        </w:tabs>
        <w:spacing w:line="288" w:lineRule="auto"/>
        <w:ind w:left="740" w:right="6094"/>
        <w:rPr>
          <w:rFonts w:ascii="Cambria" w:hAnsi="Cambria"/>
        </w:rPr>
      </w:pPr>
      <w:r>
        <w:rPr>
          <w:rFonts w:ascii="Cambria" w:hAnsi="Cambria"/>
          <w:spacing w:val="-4"/>
        </w:rPr>
        <w:t>PLVM</w:t>
      </w:r>
      <w:r>
        <w:rPr>
          <w:rFonts w:ascii="Cambria" w:hAnsi="Cambria"/>
        </w:rPr>
        <w:tab/>
        <w:t>Plani</w:t>
      </w:r>
      <w:r>
        <w:rPr>
          <w:rFonts w:ascii="Cambria" w:hAnsi="Cambria"/>
          <w:spacing w:val="-8"/>
        </w:rPr>
        <w:t> </w:t>
      </w:r>
      <w:r>
        <w:rPr>
          <w:rFonts w:ascii="Cambria" w:hAnsi="Cambria"/>
        </w:rPr>
        <w:t>Lokal</w:t>
      </w:r>
      <w:r>
        <w:rPr>
          <w:rFonts w:ascii="Cambria" w:hAnsi="Cambria"/>
          <w:spacing w:val="-9"/>
        </w:rPr>
        <w:t> </w:t>
      </w:r>
      <w:r>
        <w:rPr>
          <w:rFonts w:ascii="Cambria" w:hAnsi="Cambria"/>
        </w:rPr>
        <w:t>i</w:t>
      </w:r>
      <w:r>
        <w:rPr>
          <w:rFonts w:ascii="Cambria" w:hAnsi="Cambria"/>
          <w:spacing w:val="-8"/>
        </w:rPr>
        <w:t> </w:t>
      </w:r>
      <w:r>
        <w:rPr>
          <w:rFonts w:ascii="Cambria" w:hAnsi="Cambria"/>
        </w:rPr>
        <w:t>Veprimit</w:t>
      </w:r>
      <w:r>
        <w:rPr>
          <w:rFonts w:ascii="Cambria" w:hAnsi="Cambria"/>
          <w:spacing w:val="-9"/>
        </w:rPr>
        <w:t> </w:t>
      </w:r>
      <w:r>
        <w:rPr>
          <w:rFonts w:ascii="Cambria" w:hAnsi="Cambria"/>
        </w:rPr>
        <w:t>në</w:t>
      </w:r>
      <w:r>
        <w:rPr>
          <w:rFonts w:ascii="Cambria" w:hAnsi="Cambria"/>
          <w:spacing w:val="-8"/>
        </w:rPr>
        <w:t> </w:t>
      </w:r>
      <w:r>
        <w:rPr>
          <w:rFonts w:ascii="Cambria" w:hAnsi="Cambria"/>
        </w:rPr>
        <w:t>Mjedis </w:t>
      </w:r>
      <w:r>
        <w:rPr>
          <w:rFonts w:ascii="Cambria" w:hAnsi="Cambria"/>
          <w:spacing w:val="-4"/>
        </w:rPr>
        <w:t>PNJK</w:t>
      </w:r>
      <w:r>
        <w:rPr>
          <w:rFonts w:ascii="Cambria" w:hAnsi="Cambria"/>
        </w:rPr>
        <w:tab/>
      </w:r>
      <w:r>
        <w:rPr>
          <w:rFonts w:ascii="Cambria" w:hAnsi="Cambria"/>
          <w:spacing w:val="-13"/>
        </w:rPr>
        <w:t> </w:t>
      </w:r>
      <w:r>
        <w:rPr>
          <w:rFonts w:ascii="Cambria" w:hAnsi="Cambria"/>
        </w:rPr>
        <w:t>Pilot Njësi Komunale</w:t>
      </w:r>
    </w:p>
    <w:p>
      <w:pPr>
        <w:tabs>
          <w:tab w:pos="2189" w:val="left" w:leader="none"/>
        </w:tabs>
        <w:spacing w:before="0"/>
        <w:ind w:left="740" w:right="0" w:firstLine="0"/>
        <w:jc w:val="left"/>
        <w:rPr>
          <w:rFonts w:ascii="Cambria" w:hAnsi="Cambria"/>
          <w:sz w:val="21"/>
        </w:rPr>
      </w:pPr>
      <w:r>
        <w:rPr>
          <w:rFonts w:ascii="Cambria" w:hAnsi="Cambria"/>
          <w:spacing w:val="-5"/>
          <w:sz w:val="21"/>
        </w:rPr>
        <w:t>PRU</w:t>
      </w:r>
      <w:r>
        <w:rPr>
          <w:rFonts w:ascii="Cambria" w:hAnsi="Cambria"/>
          <w:sz w:val="21"/>
        </w:rPr>
        <w:tab/>
        <w:t>Plani</w:t>
      </w:r>
      <w:r>
        <w:rPr>
          <w:rFonts w:ascii="Cambria" w:hAnsi="Cambria"/>
          <w:spacing w:val="-3"/>
          <w:sz w:val="21"/>
        </w:rPr>
        <w:t> </w:t>
      </w:r>
      <w:r>
        <w:rPr>
          <w:rFonts w:ascii="Cambria" w:hAnsi="Cambria"/>
          <w:sz w:val="21"/>
        </w:rPr>
        <w:t>Rregullues</w:t>
      </w:r>
      <w:r>
        <w:rPr>
          <w:rFonts w:ascii="Cambria" w:hAnsi="Cambria"/>
          <w:spacing w:val="-3"/>
          <w:sz w:val="21"/>
        </w:rPr>
        <w:t> </w:t>
      </w:r>
      <w:r>
        <w:rPr>
          <w:rFonts w:ascii="Cambria" w:hAnsi="Cambria"/>
          <w:sz w:val="21"/>
        </w:rPr>
        <w:t>Urban</w:t>
      </w:r>
      <w:r>
        <w:rPr>
          <w:rFonts w:ascii="Cambria" w:hAnsi="Cambria"/>
          <w:spacing w:val="-2"/>
          <w:sz w:val="21"/>
        </w:rPr>
        <w:t> </w:t>
      </w:r>
      <w:r>
        <w:rPr>
          <w:rFonts w:ascii="Cambria" w:hAnsi="Cambria"/>
          <w:sz w:val="21"/>
        </w:rPr>
        <w:t>i</w:t>
      </w:r>
      <w:r>
        <w:rPr>
          <w:rFonts w:ascii="Cambria" w:hAnsi="Cambria"/>
          <w:spacing w:val="-3"/>
          <w:sz w:val="21"/>
        </w:rPr>
        <w:t> </w:t>
      </w:r>
      <w:r>
        <w:rPr>
          <w:rFonts w:ascii="Cambria" w:hAnsi="Cambria"/>
          <w:sz w:val="21"/>
        </w:rPr>
        <w:t>Komunës</w:t>
      </w:r>
      <w:r>
        <w:rPr>
          <w:rFonts w:ascii="Cambria" w:hAnsi="Cambria"/>
          <w:spacing w:val="-3"/>
          <w:sz w:val="21"/>
        </w:rPr>
        <w:t> </w:t>
      </w:r>
      <w:r>
        <w:rPr>
          <w:rFonts w:ascii="Cambria" w:hAnsi="Cambria"/>
          <w:sz w:val="21"/>
        </w:rPr>
        <w:t>së</w:t>
      </w:r>
      <w:r>
        <w:rPr>
          <w:rFonts w:ascii="Cambria" w:hAnsi="Cambria"/>
          <w:spacing w:val="-2"/>
          <w:sz w:val="21"/>
        </w:rPr>
        <w:t> </w:t>
      </w:r>
      <w:r>
        <w:rPr>
          <w:rFonts w:ascii="Cambria" w:hAnsi="Cambria"/>
          <w:sz w:val="21"/>
        </w:rPr>
        <w:t>Hanit</w:t>
      </w:r>
      <w:r>
        <w:rPr>
          <w:rFonts w:ascii="Cambria" w:hAnsi="Cambria"/>
          <w:spacing w:val="-2"/>
          <w:sz w:val="21"/>
        </w:rPr>
        <w:t> </w:t>
      </w:r>
      <w:r>
        <w:rPr>
          <w:rFonts w:ascii="Cambria" w:hAnsi="Cambria"/>
          <w:sz w:val="21"/>
        </w:rPr>
        <w:t>të</w:t>
      </w:r>
      <w:r>
        <w:rPr>
          <w:rFonts w:ascii="Cambria" w:hAnsi="Cambria"/>
          <w:spacing w:val="-3"/>
          <w:sz w:val="21"/>
        </w:rPr>
        <w:t> </w:t>
      </w:r>
      <w:r>
        <w:rPr>
          <w:rFonts w:ascii="Cambria" w:hAnsi="Cambria"/>
          <w:spacing w:val="-2"/>
          <w:sz w:val="21"/>
        </w:rPr>
        <w:t>Elezit</w:t>
      </w:r>
    </w:p>
    <w:p>
      <w:pPr>
        <w:tabs>
          <w:tab w:pos="2219" w:val="left" w:leader="none"/>
        </w:tabs>
        <w:spacing w:line="288" w:lineRule="auto" w:before="49"/>
        <w:ind w:left="740" w:right="3314" w:firstLine="0"/>
        <w:jc w:val="left"/>
        <w:rPr>
          <w:rFonts w:ascii="Cambria" w:hAnsi="Cambria"/>
          <w:sz w:val="21"/>
        </w:rPr>
      </w:pPr>
      <w:r>
        <w:rPr>
          <w:rFonts w:ascii="Cambria" w:hAnsi="Cambria"/>
          <w:spacing w:val="-4"/>
          <w:sz w:val="24"/>
        </w:rPr>
        <w:t>PZHK</w:t>
      </w:r>
      <w:r>
        <w:rPr>
          <w:rFonts w:ascii="Cambria" w:hAnsi="Cambria"/>
          <w:sz w:val="24"/>
        </w:rPr>
        <w:tab/>
      </w:r>
      <w:r>
        <w:rPr>
          <w:rFonts w:ascii="Cambria" w:hAnsi="Cambria"/>
          <w:sz w:val="21"/>
        </w:rPr>
        <w:t>Plani</w:t>
      </w:r>
      <w:r>
        <w:rPr>
          <w:rFonts w:ascii="Cambria" w:hAnsi="Cambria"/>
          <w:spacing w:val="-3"/>
          <w:sz w:val="21"/>
        </w:rPr>
        <w:t> </w:t>
      </w:r>
      <w:r>
        <w:rPr>
          <w:rFonts w:ascii="Cambria" w:hAnsi="Cambria"/>
          <w:sz w:val="21"/>
        </w:rPr>
        <w:t>Zhvillimor</w:t>
      </w:r>
      <w:r>
        <w:rPr>
          <w:rFonts w:ascii="Cambria" w:hAnsi="Cambria"/>
          <w:spacing w:val="-4"/>
          <w:sz w:val="21"/>
        </w:rPr>
        <w:t> </w:t>
      </w:r>
      <w:r>
        <w:rPr>
          <w:rFonts w:ascii="Cambria" w:hAnsi="Cambria"/>
          <w:sz w:val="21"/>
        </w:rPr>
        <w:t>Komunal</w:t>
      </w:r>
      <w:r>
        <w:rPr>
          <w:rFonts w:ascii="Cambria" w:hAnsi="Cambria"/>
          <w:spacing w:val="-4"/>
          <w:sz w:val="21"/>
        </w:rPr>
        <w:t> </w:t>
      </w:r>
      <w:r>
        <w:rPr>
          <w:rFonts w:ascii="Cambria" w:hAnsi="Cambria"/>
          <w:sz w:val="21"/>
        </w:rPr>
        <w:t>i</w:t>
      </w:r>
      <w:r>
        <w:rPr>
          <w:rFonts w:ascii="Cambria" w:hAnsi="Cambria"/>
          <w:spacing w:val="-4"/>
          <w:sz w:val="21"/>
        </w:rPr>
        <w:t> </w:t>
      </w:r>
      <w:r>
        <w:rPr>
          <w:rFonts w:ascii="Cambria" w:hAnsi="Cambria"/>
          <w:sz w:val="21"/>
        </w:rPr>
        <w:t>Komunës</w:t>
      </w:r>
      <w:r>
        <w:rPr>
          <w:rFonts w:ascii="Cambria" w:hAnsi="Cambria"/>
          <w:spacing w:val="-6"/>
          <w:sz w:val="21"/>
        </w:rPr>
        <w:t> </w:t>
      </w:r>
      <w:r>
        <w:rPr>
          <w:rFonts w:ascii="Cambria" w:hAnsi="Cambria"/>
          <w:sz w:val="21"/>
        </w:rPr>
        <w:t>së</w:t>
      </w:r>
      <w:r>
        <w:rPr>
          <w:rFonts w:ascii="Cambria" w:hAnsi="Cambria"/>
          <w:spacing w:val="-5"/>
          <w:sz w:val="21"/>
        </w:rPr>
        <w:t> </w:t>
      </w:r>
      <w:r>
        <w:rPr>
          <w:rFonts w:ascii="Cambria" w:hAnsi="Cambria"/>
          <w:sz w:val="21"/>
        </w:rPr>
        <w:t>Hanit</w:t>
      </w:r>
      <w:r>
        <w:rPr>
          <w:rFonts w:ascii="Cambria" w:hAnsi="Cambria"/>
          <w:spacing w:val="-5"/>
          <w:sz w:val="21"/>
        </w:rPr>
        <w:t> </w:t>
      </w:r>
      <w:r>
        <w:rPr>
          <w:rFonts w:ascii="Cambria" w:hAnsi="Cambria"/>
          <w:sz w:val="21"/>
        </w:rPr>
        <w:t>të</w:t>
      </w:r>
      <w:r>
        <w:rPr>
          <w:rFonts w:ascii="Cambria" w:hAnsi="Cambria"/>
          <w:spacing w:val="-5"/>
          <w:sz w:val="21"/>
        </w:rPr>
        <w:t> </w:t>
      </w:r>
      <w:r>
        <w:rPr>
          <w:rFonts w:ascii="Cambria" w:hAnsi="Cambria"/>
          <w:sz w:val="21"/>
        </w:rPr>
        <w:t>Elezit</w:t>
      </w:r>
      <w:r>
        <w:rPr>
          <w:rFonts w:ascii="Cambria" w:hAnsi="Cambria"/>
          <w:spacing w:val="-5"/>
          <w:sz w:val="21"/>
        </w:rPr>
        <w:t> </w:t>
      </w:r>
      <w:r>
        <w:rPr>
          <w:rFonts w:ascii="Cambria" w:hAnsi="Cambria"/>
          <w:sz w:val="21"/>
        </w:rPr>
        <w:t>2010-2025+ </w:t>
      </w:r>
      <w:r>
        <w:rPr>
          <w:rFonts w:ascii="Cambria" w:hAnsi="Cambria"/>
          <w:spacing w:val="-4"/>
          <w:sz w:val="21"/>
        </w:rPr>
        <w:t>QKMF</w:t>
      </w:r>
      <w:r>
        <w:rPr>
          <w:rFonts w:ascii="Cambria" w:hAnsi="Cambria"/>
          <w:sz w:val="21"/>
        </w:rPr>
        <w:tab/>
      </w:r>
      <w:r>
        <w:rPr>
          <w:rFonts w:ascii="Cambria" w:hAnsi="Cambria"/>
          <w:spacing w:val="-33"/>
          <w:sz w:val="21"/>
        </w:rPr>
        <w:t> </w:t>
      </w:r>
      <w:r>
        <w:rPr>
          <w:rFonts w:ascii="Cambria" w:hAnsi="Cambria"/>
          <w:sz w:val="21"/>
        </w:rPr>
        <w:t>Qendra Kryesore e Mjekësisë Familjare</w:t>
      </w:r>
    </w:p>
    <w:p>
      <w:pPr>
        <w:tabs>
          <w:tab w:pos="2180" w:val="left" w:leader="none"/>
        </w:tabs>
        <w:spacing w:line="276" w:lineRule="auto" w:before="0"/>
        <w:ind w:left="740" w:right="6720" w:firstLine="0"/>
        <w:jc w:val="left"/>
        <w:rPr>
          <w:rFonts w:ascii="Cambria" w:hAnsi="Cambria"/>
          <w:sz w:val="21"/>
        </w:rPr>
      </w:pPr>
      <w:r>
        <w:rPr>
          <w:rFonts w:ascii="Cambria" w:hAnsi="Cambria"/>
          <w:spacing w:val="-4"/>
          <w:sz w:val="21"/>
        </w:rPr>
        <w:t>QPS</w:t>
      </w:r>
      <w:r>
        <w:rPr>
          <w:rFonts w:ascii="Cambria" w:hAnsi="Cambria"/>
          <w:sz w:val="21"/>
        </w:rPr>
        <w:tab/>
        <w:t>Qendra për Punë Sociale </w:t>
      </w:r>
      <w:r>
        <w:rPr>
          <w:rFonts w:ascii="Segoe UI Symbol" w:hAnsi="Segoe UI Symbol"/>
          <w:spacing w:val="-2"/>
          <w:sz w:val="24"/>
        </w:rPr>
        <w:t>SHFMU</w:t>
      </w:r>
      <w:r>
        <w:rPr>
          <w:rFonts w:ascii="Segoe UI Symbol" w:hAnsi="Segoe UI Symbol"/>
          <w:sz w:val="24"/>
        </w:rPr>
        <w:tab/>
      </w:r>
      <w:r>
        <w:rPr>
          <w:rFonts w:ascii="Segoe UI Symbol" w:hAnsi="Segoe UI Symbol"/>
          <w:spacing w:val="-52"/>
          <w:sz w:val="24"/>
        </w:rPr>
        <w:t> </w:t>
      </w:r>
      <w:r>
        <w:rPr>
          <w:rFonts w:ascii="Cambria" w:hAnsi="Cambria"/>
          <w:sz w:val="21"/>
        </w:rPr>
        <w:t>Shkolla</w:t>
      </w:r>
      <w:r>
        <w:rPr>
          <w:rFonts w:ascii="Cambria" w:hAnsi="Cambria"/>
          <w:spacing w:val="-9"/>
          <w:sz w:val="21"/>
        </w:rPr>
        <w:t> </w:t>
      </w:r>
      <w:r>
        <w:rPr>
          <w:rFonts w:ascii="Cambria" w:hAnsi="Cambria"/>
          <w:sz w:val="21"/>
        </w:rPr>
        <w:t>fillore</w:t>
      </w:r>
      <w:r>
        <w:rPr>
          <w:rFonts w:ascii="Cambria" w:hAnsi="Cambria"/>
          <w:spacing w:val="-7"/>
          <w:sz w:val="21"/>
        </w:rPr>
        <w:t> </w:t>
      </w:r>
      <w:r>
        <w:rPr>
          <w:rFonts w:ascii="Cambria" w:hAnsi="Cambria"/>
          <w:sz w:val="21"/>
        </w:rPr>
        <w:t>e</w:t>
      </w:r>
      <w:r>
        <w:rPr>
          <w:rFonts w:ascii="Cambria" w:hAnsi="Cambria"/>
          <w:spacing w:val="-7"/>
          <w:sz w:val="21"/>
        </w:rPr>
        <w:t> </w:t>
      </w:r>
      <w:r>
        <w:rPr>
          <w:rFonts w:ascii="Cambria" w:hAnsi="Cambria"/>
          <w:sz w:val="21"/>
        </w:rPr>
        <w:t>mesme</w:t>
      </w:r>
      <w:r>
        <w:rPr>
          <w:rFonts w:ascii="Cambria" w:hAnsi="Cambria"/>
          <w:spacing w:val="-8"/>
          <w:sz w:val="21"/>
        </w:rPr>
        <w:t> </w:t>
      </w:r>
      <w:r>
        <w:rPr>
          <w:rFonts w:ascii="Cambria" w:hAnsi="Cambria"/>
          <w:sz w:val="21"/>
        </w:rPr>
        <w:t>e</w:t>
      </w:r>
      <w:r>
        <w:rPr>
          <w:rFonts w:ascii="Cambria" w:hAnsi="Cambria"/>
          <w:spacing w:val="-7"/>
          <w:sz w:val="21"/>
        </w:rPr>
        <w:t> </w:t>
      </w:r>
      <w:r>
        <w:rPr>
          <w:rFonts w:ascii="Cambria" w:hAnsi="Cambria"/>
          <w:sz w:val="21"/>
        </w:rPr>
        <w:t>ulët </w:t>
      </w:r>
      <w:r>
        <w:rPr>
          <w:rFonts w:ascii="Cambria" w:hAnsi="Cambria"/>
          <w:spacing w:val="-4"/>
          <w:sz w:val="21"/>
        </w:rPr>
        <w:t>SHML</w:t>
      </w:r>
      <w:r>
        <w:rPr>
          <w:rFonts w:ascii="Cambria" w:hAnsi="Cambria"/>
          <w:sz w:val="21"/>
        </w:rPr>
        <w:tab/>
      </w:r>
      <w:r>
        <w:rPr>
          <w:rFonts w:ascii="Cambria" w:hAnsi="Cambria"/>
          <w:spacing w:val="-18"/>
          <w:sz w:val="21"/>
        </w:rPr>
        <w:t> </w:t>
      </w:r>
      <w:r>
        <w:rPr>
          <w:rFonts w:ascii="Cambria" w:hAnsi="Cambria"/>
          <w:sz w:val="21"/>
        </w:rPr>
        <w:t>Shkolla e mesme e lart</w:t>
      </w:r>
    </w:p>
    <w:p>
      <w:pPr>
        <w:pStyle w:val="BodyText"/>
        <w:rPr>
          <w:rFonts w:ascii="Cambria"/>
          <w:sz w:val="20"/>
        </w:rPr>
      </w:pPr>
    </w:p>
    <w:p>
      <w:pPr>
        <w:pStyle w:val="BodyText"/>
        <w:spacing w:before="8"/>
        <w:rPr>
          <w:rFonts w:ascii="Cambria"/>
          <w:sz w:val="23"/>
        </w:rPr>
      </w:pPr>
    </w:p>
    <w:p>
      <w:pPr>
        <w:pStyle w:val="Heading2"/>
        <w:tabs>
          <w:tab w:pos="10131" w:val="left" w:leader="none"/>
        </w:tabs>
        <w:rPr>
          <w:rFonts w:ascii="Cambria"/>
        </w:rPr>
      </w:pPr>
      <w:r>
        <w:rPr>
          <w:rFonts w:ascii="Cambria"/>
          <w:color w:val="000000"/>
          <w:spacing w:val="-23"/>
          <w:shd w:fill="EAB8A3" w:color="auto" w:val="clear"/>
        </w:rPr>
        <w:t> </w:t>
      </w:r>
      <w:r>
        <w:rPr>
          <w:rFonts w:ascii="Cambria"/>
          <w:color w:val="000000"/>
          <w:shd w:fill="EAB8A3" w:color="auto" w:val="clear"/>
        </w:rPr>
        <w:t>Indeksi</w:t>
      </w:r>
      <w:r>
        <w:rPr>
          <w:rFonts w:ascii="Cambria"/>
          <w:color w:val="000000"/>
          <w:spacing w:val="-2"/>
          <w:shd w:fill="EAB8A3" w:color="auto" w:val="clear"/>
        </w:rPr>
        <w:t> </w:t>
      </w:r>
      <w:r>
        <w:rPr>
          <w:rFonts w:ascii="Cambria"/>
          <w:color w:val="000000"/>
          <w:shd w:fill="EAB8A3" w:color="auto" w:val="clear"/>
        </w:rPr>
        <w:t>i</w:t>
      </w:r>
      <w:r>
        <w:rPr>
          <w:rFonts w:ascii="Cambria"/>
          <w:color w:val="000000"/>
          <w:spacing w:val="-1"/>
          <w:shd w:fill="EAB8A3" w:color="auto" w:val="clear"/>
        </w:rPr>
        <w:t> </w:t>
      </w:r>
      <w:r>
        <w:rPr>
          <w:rFonts w:ascii="Cambria"/>
          <w:color w:val="000000"/>
          <w:spacing w:val="-2"/>
          <w:shd w:fill="EAB8A3" w:color="auto" w:val="clear"/>
        </w:rPr>
        <w:t>tabelave</w:t>
      </w:r>
      <w:r>
        <w:rPr>
          <w:rFonts w:ascii="Cambria"/>
          <w:color w:val="000000"/>
          <w:shd w:fill="EAB8A3" w:color="auto" w:val="clear"/>
        </w:rPr>
        <w:tab/>
      </w:r>
    </w:p>
    <w:p>
      <w:pPr>
        <w:pStyle w:val="BodyText"/>
        <w:spacing w:before="10"/>
        <w:rPr>
          <w:rFonts w:ascii="Cambria"/>
          <w:b/>
          <w:sz w:val="21"/>
        </w:rPr>
      </w:pPr>
    </w:p>
    <w:p>
      <w:pPr>
        <w:pStyle w:val="BodyText"/>
        <w:ind w:left="740" w:right="2474"/>
      </w:pPr>
      <w:r>
        <w:rPr>
          <w:b/>
        </w:rPr>
        <w:t>Tabela</w:t>
      </w:r>
      <w:r>
        <w:rPr>
          <w:b/>
          <w:spacing w:val="-4"/>
        </w:rPr>
        <w:t> </w:t>
      </w:r>
      <w:r>
        <w:rPr>
          <w:b/>
        </w:rPr>
        <w:t>1</w:t>
      </w:r>
      <w:r>
        <w:rPr>
          <w:b/>
          <w:spacing w:val="-4"/>
        </w:rPr>
        <w:t> </w:t>
      </w:r>
      <w:r>
        <w:rPr>
          <w:b/>
        </w:rPr>
        <w:t>:</w:t>
      </w:r>
      <w:r>
        <w:rPr>
          <w:b/>
          <w:spacing w:val="-3"/>
        </w:rPr>
        <w:t> </w:t>
      </w:r>
      <w:r>
        <w:rPr/>
        <w:t>Dokumentet</w:t>
      </w:r>
      <w:r>
        <w:rPr>
          <w:spacing w:val="-5"/>
        </w:rPr>
        <w:t> </w:t>
      </w:r>
      <w:r>
        <w:rPr/>
        <w:t>strategjike</w:t>
      </w:r>
      <w:r>
        <w:rPr>
          <w:spacing w:val="-4"/>
        </w:rPr>
        <w:t> </w:t>
      </w:r>
      <w:r>
        <w:rPr/>
        <w:t>dhe</w:t>
      </w:r>
      <w:r>
        <w:rPr>
          <w:spacing w:val="-4"/>
        </w:rPr>
        <w:t> </w:t>
      </w:r>
      <w:r>
        <w:rPr/>
        <w:t>planifikuese</w:t>
      </w:r>
      <w:r>
        <w:rPr>
          <w:spacing w:val="-4"/>
        </w:rPr>
        <w:t> </w:t>
      </w:r>
      <w:r>
        <w:rPr/>
        <w:t>të</w:t>
      </w:r>
      <w:r>
        <w:rPr>
          <w:spacing w:val="-2"/>
        </w:rPr>
        <w:t> </w:t>
      </w:r>
      <w:r>
        <w:rPr/>
        <w:t>Komunës</w:t>
      </w:r>
      <w:r>
        <w:rPr>
          <w:spacing w:val="-4"/>
        </w:rPr>
        <w:t> </w:t>
      </w:r>
      <w:r>
        <w:rPr/>
        <w:t>së</w:t>
      </w:r>
      <w:r>
        <w:rPr>
          <w:spacing w:val="-4"/>
        </w:rPr>
        <w:t> </w:t>
      </w:r>
      <w:r>
        <w:rPr/>
        <w:t>Hanit</w:t>
      </w:r>
      <w:r>
        <w:rPr>
          <w:spacing w:val="-4"/>
        </w:rPr>
        <w:t> </w:t>
      </w:r>
      <w:r>
        <w:rPr/>
        <w:t>të</w:t>
      </w:r>
      <w:r>
        <w:rPr>
          <w:spacing w:val="-4"/>
        </w:rPr>
        <w:t> </w:t>
      </w:r>
      <w:r>
        <w:rPr/>
        <w:t>Elezit </w:t>
      </w:r>
      <w:r>
        <w:rPr>
          <w:b/>
        </w:rPr>
        <w:t>Tabela 2 . </w:t>
      </w:r>
      <w:r>
        <w:rPr/>
        <w:t>Popullsia dhe, ekonomitë familjare sipas lokaliteve të Hanit të Elezit </w:t>
      </w:r>
      <w:r>
        <w:rPr>
          <w:b/>
        </w:rPr>
        <w:t>Tabela 3: </w:t>
      </w:r>
      <w:r>
        <w:rPr/>
        <w:t>Regjistrimi bizneseve sipas llojit të biznesit.</w:t>
      </w:r>
    </w:p>
    <w:p>
      <w:pPr>
        <w:pStyle w:val="BodyText"/>
        <w:ind w:left="740"/>
      </w:pPr>
      <w:r>
        <w:rPr>
          <w:b/>
        </w:rPr>
        <w:t>Tabela</w:t>
      </w:r>
      <w:r>
        <w:rPr>
          <w:b/>
          <w:spacing w:val="-4"/>
        </w:rPr>
        <w:t> </w:t>
      </w:r>
      <w:r>
        <w:rPr>
          <w:b/>
        </w:rPr>
        <w:t>4:</w:t>
      </w:r>
      <w:r>
        <w:rPr>
          <w:b/>
          <w:spacing w:val="-3"/>
        </w:rPr>
        <w:t> </w:t>
      </w:r>
      <w:r>
        <w:rPr/>
        <w:t>Regjistrimi</w:t>
      </w:r>
      <w:r>
        <w:rPr>
          <w:spacing w:val="-4"/>
        </w:rPr>
        <w:t> </w:t>
      </w:r>
      <w:r>
        <w:rPr/>
        <w:t>i</w:t>
      </w:r>
      <w:r>
        <w:rPr>
          <w:spacing w:val="-3"/>
        </w:rPr>
        <w:t> </w:t>
      </w:r>
      <w:r>
        <w:rPr/>
        <w:t>pronarve</w:t>
      </w:r>
      <w:r>
        <w:rPr>
          <w:spacing w:val="-4"/>
        </w:rPr>
        <w:t> </w:t>
      </w:r>
      <w:r>
        <w:rPr/>
        <w:t>të</w:t>
      </w:r>
      <w:r>
        <w:rPr>
          <w:spacing w:val="-3"/>
        </w:rPr>
        <w:t> </w:t>
      </w:r>
      <w:r>
        <w:rPr/>
        <w:t>bizneseve</w:t>
      </w:r>
      <w:r>
        <w:rPr>
          <w:spacing w:val="-3"/>
        </w:rPr>
        <w:t> </w:t>
      </w:r>
      <w:r>
        <w:rPr/>
        <w:t>sipas</w:t>
      </w:r>
      <w:r>
        <w:rPr>
          <w:spacing w:val="-3"/>
        </w:rPr>
        <w:t> </w:t>
      </w:r>
      <w:r>
        <w:rPr>
          <w:spacing w:val="-2"/>
        </w:rPr>
        <w:t>gjinisë</w:t>
      </w:r>
    </w:p>
    <w:p>
      <w:pPr>
        <w:spacing w:before="0"/>
        <w:ind w:left="740" w:right="0" w:firstLine="0"/>
        <w:jc w:val="left"/>
        <w:rPr>
          <w:sz w:val="24"/>
        </w:rPr>
      </w:pPr>
      <w:r>
        <w:rPr>
          <w:b/>
          <w:sz w:val="24"/>
        </w:rPr>
        <w:t>Tabela</w:t>
      </w:r>
      <w:r>
        <w:rPr>
          <w:b/>
          <w:spacing w:val="-6"/>
          <w:sz w:val="24"/>
        </w:rPr>
        <w:t> </w:t>
      </w:r>
      <w:r>
        <w:rPr>
          <w:b/>
          <w:sz w:val="24"/>
        </w:rPr>
        <w:t>5:</w:t>
      </w:r>
      <w:r>
        <w:rPr>
          <w:b/>
          <w:spacing w:val="-5"/>
          <w:sz w:val="24"/>
        </w:rPr>
        <w:t> </w:t>
      </w:r>
      <w:r>
        <w:rPr>
          <w:sz w:val="24"/>
        </w:rPr>
        <w:t>Regjistrimi</w:t>
      </w:r>
      <w:r>
        <w:rPr>
          <w:spacing w:val="-5"/>
          <w:sz w:val="24"/>
        </w:rPr>
        <w:t> </w:t>
      </w:r>
      <w:r>
        <w:rPr>
          <w:sz w:val="24"/>
        </w:rPr>
        <w:t>bizneseve</w:t>
      </w:r>
      <w:r>
        <w:rPr>
          <w:spacing w:val="-5"/>
          <w:sz w:val="24"/>
        </w:rPr>
        <w:t> </w:t>
      </w:r>
      <w:r>
        <w:rPr>
          <w:sz w:val="24"/>
        </w:rPr>
        <w:t>2019-</w:t>
      </w:r>
      <w:r>
        <w:rPr>
          <w:spacing w:val="-4"/>
          <w:sz w:val="24"/>
        </w:rPr>
        <w:t>2022</w:t>
      </w:r>
    </w:p>
    <w:p>
      <w:pPr>
        <w:spacing w:before="1"/>
        <w:ind w:left="740" w:right="0" w:firstLine="0"/>
        <w:jc w:val="left"/>
        <w:rPr>
          <w:sz w:val="24"/>
        </w:rPr>
      </w:pPr>
      <w:r>
        <w:rPr>
          <w:b/>
          <w:sz w:val="24"/>
        </w:rPr>
        <w:t>Tabela</w:t>
      </w:r>
      <w:r>
        <w:rPr>
          <w:b/>
          <w:spacing w:val="-6"/>
          <w:sz w:val="24"/>
        </w:rPr>
        <w:t> </w:t>
      </w:r>
      <w:r>
        <w:rPr>
          <w:b/>
          <w:sz w:val="24"/>
        </w:rPr>
        <w:t>6</w:t>
      </w:r>
      <w:r>
        <w:rPr>
          <w:sz w:val="24"/>
        </w:rPr>
        <w:t>:</w:t>
      </w:r>
      <w:r>
        <w:rPr>
          <w:spacing w:val="-5"/>
          <w:sz w:val="24"/>
        </w:rPr>
        <w:t> </w:t>
      </w:r>
      <w:r>
        <w:rPr>
          <w:spacing w:val="-2"/>
          <w:sz w:val="24"/>
        </w:rPr>
        <w:t>Punësimi</w:t>
      </w:r>
    </w:p>
    <w:p>
      <w:pPr>
        <w:pStyle w:val="BodyText"/>
        <w:ind w:left="740"/>
      </w:pPr>
      <w:r>
        <w:rPr>
          <w:b/>
        </w:rPr>
        <w:t>Tabela</w:t>
      </w:r>
      <w:r>
        <w:rPr>
          <w:b/>
          <w:spacing w:val="-6"/>
        </w:rPr>
        <w:t> </w:t>
      </w:r>
      <w:r>
        <w:rPr>
          <w:b/>
        </w:rPr>
        <w:t>7:</w:t>
      </w:r>
      <w:r>
        <w:rPr>
          <w:b/>
          <w:spacing w:val="-5"/>
        </w:rPr>
        <w:t> </w:t>
      </w:r>
      <w:r>
        <w:rPr/>
        <w:t>Numri</w:t>
      </w:r>
      <w:r>
        <w:rPr>
          <w:spacing w:val="-6"/>
        </w:rPr>
        <w:t> </w:t>
      </w:r>
      <w:r>
        <w:rPr/>
        <w:t>i</w:t>
      </w:r>
      <w:r>
        <w:rPr>
          <w:spacing w:val="-6"/>
        </w:rPr>
        <w:t> </w:t>
      </w:r>
      <w:r>
        <w:rPr/>
        <w:t>të</w:t>
      </w:r>
      <w:r>
        <w:rPr>
          <w:spacing w:val="-6"/>
        </w:rPr>
        <w:t> </w:t>
      </w:r>
      <w:r>
        <w:rPr/>
        <w:t>punësuarve</w:t>
      </w:r>
      <w:r>
        <w:rPr>
          <w:spacing w:val="-5"/>
        </w:rPr>
        <w:t> </w:t>
      </w:r>
      <w:r>
        <w:rPr/>
        <w:t>dhe</w:t>
      </w:r>
      <w:r>
        <w:rPr>
          <w:spacing w:val="-6"/>
        </w:rPr>
        <w:t> </w:t>
      </w:r>
      <w:r>
        <w:rPr/>
        <w:t>të</w:t>
      </w:r>
      <w:r>
        <w:rPr>
          <w:spacing w:val="-5"/>
        </w:rPr>
        <w:t> </w:t>
      </w:r>
      <w:r>
        <w:rPr/>
        <w:t>papunëve</w:t>
      </w:r>
      <w:r>
        <w:rPr>
          <w:spacing w:val="-6"/>
        </w:rPr>
        <w:t> </w:t>
      </w:r>
      <w:r>
        <w:rPr/>
        <w:t>nga</w:t>
      </w:r>
      <w:r>
        <w:rPr>
          <w:spacing w:val="-6"/>
        </w:rPr>
        <w:t> </w:t>
      </w:r>
      <w:r>
        <w:rPr/>
        <w:t>popullsia</w:t>
      </w:r>
      <w:r>
        <w:rPr>
          <w:spacing w:val="-5"/>
        </w:rPr>
        <w:t> </w:t>
      </w:r>
      <w:r>
        <w:rPr/>
        <w:t>e</w:t>
      </w:r>
      <w:r>
        <w:rPr>
          <w:spacing w:val="-6"/>
        </w:rPr>
        <w:t> </w:t>
      </w:r>
      <w:r>
        <w:rPr/>
        <w:t>aftë</w:t>
      </w:r>
      <w:r>
        <w:rPr>
          <w:spacing w:val="-5"/>
        </w:rPr>
        <w:t> </w:t>
      </w:r>
      <w:r>
        <w:rPr/>
        <w:t>për</w:t>
      </w:r>
      <w:r>
        <w:rPr>
          <w:spacing w:val="-6"/>
        </w:rPr>
        <w:t> </w:t>
      </w:r>
      <w:r>
        <w:rPr>
          <w:spacing w:val="-4"/>
        </w:rPr>
        <w:t>punë</w:t>
      </w:r>
    </w:p>
    <w:p>
      <w:pPr>
        <w:spacing w:before="0"/>
        <w:ind w:left="740" w:right="6480" w:firstLine="0"/>
        <w:jc w:val="left"/>
        <w:rPr>
          <w:sz w:val="24"/>
        </w:rPr>
      </w:pPr>
      <w:r>
        <w:rPr>
          <w:b/>
          <w:sz w:val="24"/>
        </w:rPr>
        <w:t>Tabela 8: </w:t>
      </w:r>
      <w:r>
        <w:rPr>
          <w:sz w:val="24"/>
        </w:rPr>
        <w:t>Burimet kryesore të jetesës </w:t>
      </w:r>
      <w:r>
        <w:rPr>
          <w:b/>
          <w:sz w:val="24"/>
        </w:rPr>
        <w:t>Tabela 9: </w:t>
      </w:r>
      <w:r>
        <w:rPr>
          <w:sz w:val="24"/>
        </w:rPr>
        <w:t>Sipërfaqja e tokës bujqësore </w:t>
      </w:r>
      <w:r>
        <w:rPr>
          <w:b/>
          <w:sz w:val="24"/>
        </w:rPr>
        <w:t>Tabela</w:t>
      </w:r>
      <w:r>
        <w:rPr>
          <w:b/>
          <w:spacing w:val="-6"/>
          <w:sz w:val="24"/>
        </w:rPr>
        <w:t> </w:t>
      </w:r>
      <w:r>
        <w:rPr>
          <w:b/>
          <w:sz w:val="24"/>
        </w:rPr>
        <w:t>10:</w:t>
      </w:r>
      <w:r>
        <w:rPr>
          <w:b/>
          <w:spacing w:val="40"/>
          <w:sz w:val="24"/>
        </w:rPr>
        <w:t> </w:t>
      </w:r>
      <w:r>
        <w:rPr>
          <w:sz w:val="24"/>
        </w:rPr>
        <w:t>Sipërfaqja</w:t>
      </w:r>
      <w:r>
        <w:rPr>
          <w:spacing w:val="-6"/>
          <w:sz w:val="24"/>
        </w:rPr>
        <w:t> </w:t>
      </w:r>
      <w:r>
        <w:rPr>
          <w:sz w:val="24"/>
        </w:rPr>
        <w:t>e</w:t>
      </w:r>
      <w:r>
        <w:rPr>
          <w:spacing w:val="-7"/>
          <w:sz w:val="24"/>
        </w:rPr>
        <w:t> </w:t>
      </w:r>
      <w:r>
        <w:rPr>
          <w:sz w:val="24"/>
        </w:rPr>
        <w:t>kultivuar</w:t>
      </w:r>
      <w:r>
        <w:rPr>
          <w:spacing w:val="-6"/>
          <w:sz w:val="24"/>
        </w:rPr>
        <w:t> </w:t>
      </w:r>
      <w:r>
        <w:rPr>
          <w:sz w:val="24"/>
        </w:rPr>
        <w:t>bujqësore</w:t>
      </w:r>
    </w:p>
    <w:p>
      <w:pPr>
        <w:spacing w:before="0"/>
        <w:ind w:left="740" w:right="0" w:firstLine="0"/>
        <w:jc w:val="left"/>
        <w:rPr>
          <w:sz w:val="24"/>
        </w:rPr>
      </w:pPr>
      <w:r>
        <w:rPr>
          <w:b/>
          <w:sz w:val="24"/>
        </w:rPr>
        <w:t>Tabela</w:t>
      </w:r>
      <w:r>
        <w:rPr>
          <w:b/>
          <w:spacing w:val="-6"/>
          <w:sz w:val="24"/>
        </w:rPr>
        <w:t> </w:t>
      </w:r>
      <w:r>
        <w:rPr>
          <w:b/>
          <w:sz w:val="24"/>
        </w:rPr>
        <w:t>11:</w:t>
      </w:r>
      <w:r>
        <w:rPr>
          <w:b/>
          <w:spacing w:val="-5"/>
          <w:sz w:val="24"/>
        </w:rPr>
        <w:t> </w:t>
      </w:r>
      <w:r>
        <w:rPr>
          <w:sz w:val="24"/>
        </w:rPr>
        <w:t>Numri</w:t>
      </w:r>
      <w:r>
        <w:rPr>
          <w:spacing w:val="-5"/>
          <w:sz w:val="24"/>
        </w:rPr>
        <w:t> </w:t>
      </w:r>
      <w:r>
        <w:rPr>
          <w:sz w:val="24"/>
        </w:rPr>
        <w:t>i</w:t>
      </w:r>
      <w:r>
        <w:rPr>
          <w:spacing w:val="-6"/>
          <w:sz w:val="24"/>
        </w:rPr>
        <w:t> </w:t>
      </w:r>
      <w:r>
        <w:rPr>
          <w:sz w:val="24"/>
        </w:rPr>
        <w:t>krerëve</w:t>
      </w:r>
      <w:r>
        <w:rPr>
          <w:spacing w:val="-6"/>
          <w:sz w:val="24"/>
        </w:rPr>
        <w:t> </w:t>
      </w:r>
      <w:r>
        <w:rPr>
          <w:sz w:val="24"/>
        </w:rPr>
        <w:t>të</w:t>
      </w:r>
      <w:r>
        <w:rPr>
          <w:spacing w:val="-5"/>
          <w:sz w:val="24"/>
        </w:rPr>
        <w:t> </w:t>
      </w:r>
      <w:r>
        <w:rPr>
          <w:sz w:val="24"/>
        </w:rPr>
        <w:t>kafshëve</w:t>
      </w:r>
      <w:r>
        <w:rPr>
          <w:spacing w:val="-5"/>
          <w:sz w:val="24"/>
        </w:rPr>
        <w:t> </w:t>
      </w:r>
      <w:r>
        <w:rPr>
          <w:spacing w:val="-2"/>
          <w:sz w:val="24"/>
        </w:rPr>
        <w:t>blegtorale</w:t>
      </w:r>
    </w:p>
    <w:p>
      <w:pPr>
        <w:pStyle w:val="BodyText"/>
        <w:ind w:left="740"/>
      </w:pPr>
      <w:r>
        <w:rPr>
          <w:b/>
        </w:rPr>
        <w:t>Tabela</w:t>
      </w:r>
      <w:r>
        <w:rPr>
          <w:b/>
          <w:spacing w:val="-4"/>
        </w:rPr>
        <w:t> </w:t>
      </w:r>
      <w:r>
        <w:rPr>
          <w:b/>
        </w:rPr>
        <w:t>12</w:t>
      </w:r>
      <w:r>
        <w:rPr>
          <w:b/>
          <w:spacing w:val="-2"/>
        </w:rPr>
        <w:t> </w:t>
      </w:r>
      <w:r>
        <w:rPr/>
        <w:t>Niveli</w:t>
      </w:r>
      <w:r>
        <w:rPr>
          <w:spacing w:val="-5"/>
        </w:rPr>
        <w:t> </w:t>
      </w:r>
      <w:r>
        <w:rPr/>
        <w:t>i</w:t>
      </w:r>
      <w:r>
        <w:rPr>
          <w:spacing w:val="-3"/>
        </w:rPr>
        <w:t> </w:t>
      </w:r>
      <w:r>
        <w:rPr/>
        <w:t>arsimimit</w:t>
      </w:r>
      <w:r>
        <w:rPr>
          <w:spacing w:val="-3"/>
        </w:rPr>
        <w:t> </w:t>
      </w:r>
      <w:r>
        <w:rPr/>
        <w:t>në</w:t>
      </w:r>
      <w:r>
        <w:rPr>
          <w:spacing w:val="-3"/>
        </w:rPr>
        <w:t> </w:t>
      </w:r>
      <w:r>
        <w:rPr/>
        <w:t>Han</w:t>
      </w:r>
      <w:r>
        <w:rPr>
          <w:spacing w:val="-3"/>
        </w:rPr>
        <w:t> </w:t>
      </w:r>
      <w:r>
        <w:rPr/>
        <w:t>të</w:t>
      </w:r>
      <w:r>
        <w:rPr>
          <w:spacing w:val="-3"/>
        </w:rPr>
        <w:t> </w:t>
      </w:r>
      <w:r>
        <w:rPr/>
        <w:t>Elezit</w:t>
      </w:r>
      <w:r>
        <w:rPr>
          <w:spacing w:val="-3"/>
        </w:rPr>
        <w:t> </w:t>
      </w:r>
      <w:r>
        <w:rPr/>
        <w:t>dhe</w:t>
      </w:r>
      <w:r>
        <w:rPr>
          <w:spacing w:val="-3"/>
        </w:rPr>
        <w:t> </w:t>
      </w:r>
      <w:r>
        <w:rPr>
          <w:spacing w:val="-2"/>
        </w:rPr>
        <w:t>Kosovë</w:t>
      </w:r>
    </w:p>
    <w:p>
      <w:pPr>
        <w:pStyle w:val="BodyText"/>
        <w:ind w:left="740"/>
      </w:pPr>
      <w:r>
        <w:rPr>
          <w:b/>
        </w:rPr>
        <w:t>Tabela</w:t>
      </w:r>
      <w:r>
        <w:rPr>
          <w:b/>
          <w:spacing w:val="-6"/>
        </w:rPr>
        <w:t> </w:t>
      </w:r>
      <w:r>
        <w:rPr>
          <w:b/>
        </w:rPr>
        <w:t>13:</w:t>
      </w:r>
      <w:r>
        <w:rPr>
          <w:b/>
          <w:spacing w:val="-4"/>
        </w:rPr>
        <w:t> </w:t>
      </w:r>
      <w:r>
        <w:rPr/>
        <w:t>Stafi</w:t>
      </w:r>
      <w:r>
        <w:rPr>
          <w:spacing w:val="-5"/>
        </w:rPr>
        <w:t> </w:t>
      </w:r>
      <w:r>
        <w:rPr/>
        <w:t>shëndetësor</w:t>
      </w:r>
      <w:r>
        <w:rPr>
          <w:spacing w:val="-5"/>
        </w:rPr>
        <w:t> </w:t>
      </w:r>
      <w:r>
        <w:rPr/>
        <w:t>në</w:t>
      </w:r>
      <w:r>
        <w:rPr>
          <w:spacing w:val="-5"/>
        </w:rPr>
        <w:t> </w:t>
      </w:r>
      <w:r>
        <w:rPr/>
        <w:t>Han</w:t>
      </w:r>
      <w:r>
        <w:rPr>
          <w:spacing w:val="-7"/>
        </w:rPr>
        <w:t> </w:t>
      </w:r>
      <w:r>
        <w:rPr/>
        <w:t>të</w:t>
      </w:r>
      <w:r>
        <w:rPr>
          <w:spacing w:val="-6"/>
        </w:rPr>
        <w:t> </w:t>
      </w:r>
      <w:r>
        <w:rPr/>
        <w:t>Elezit</w:t>
      </w:r>
      <w:r>
        <w:rPr>
          <w:spacing w:val="-6"/>
        </w:rPr>
        <w:t> </w:t>
      </w:r>
      <w:r>
        <w:rPr/>
        <w:t>i</w:t>
      </w:r>
      <w:r>
        <w:rPr>
          <w:spacing w:val="-5"/>
        </w:rPr>
        <w:t> </w:t>
      </w:r>
      <w:r>
        <w:rPr/>
        <w:t>ndarë</w:t>
      </w:r>
      <w:r>
        <w:rPr>
          <w:spacing w:val="-5"/>
        </w:rPr>
        <w:t> </w:t>
      </w:r>
      <w:r>
        <w:rPr/>
        <w:t>sipas</w:t>
      </w:r>
      <w:r>
        <w:rPr>
          <w:spacing w:val="-5"/>
        </w:rPr>
        <w:t> </w:t>
      </w:r>
      <w:r>
        <w:rPr/>
        <w:t>shërbimeve</w:t>
      </w:r>
      <w:r>
        <w:rPr>
          <w:spacing w:val="-4"/>
        </w:rPr>
        <w:t> </w:t>
      </w:r>
      <w:r>
        <w:rPr/>
        <w:t>të</w:t>
      </w:r>
      <w:r>
        <w:rPr>
          <w:spacing w:val="-7"/>
        </w:rPr>
        <w:t> </w:t>
      </w:r>
      <w:r>
        <w:rPr>
          <w:spacing w:val="-2"/>
        </w:rPr>
        <w:t>ofruara</w:t>
      </w:r>
    </w:p>
    <w:p>
      <w:pPr>
        <w:spacing w:before="0"/>
        <w:ind w:left="740" w:right="0" w:firstLine="0"/>
        <w:jc w:val="left"/>
        <w:rPr>
          <w:sz w:val="24"/>
        </w:rPr>
      </w:pPr>
      <w:r>
        <w:rPr>
          <w:b/>
          <w:sz w:val="24"/>
        </w:rPr>
        <w:t>Tabela</w:t>
      </w:r>
      <w:r>
        <w:rPr>
          <w:b/>
          <w:spacing w:val="-1"/>
          <w:sz w:val="24"/>
        </w:rPr>
        <w:t> </w:t>
      </w:r>
      <w:r>
        <w:rPr>
          <w:b/>
          <w:sz w:val="24"/>
        </w:rPr>
        <w:t>14: </w:t>
      </w:r>
      <w:r>
        <w:rPr>
          <w:sz w:val="24"/>
        </w:rPr>
        <w:t>Infrastruktura në</w:t>
      </w:r>
      <w:r>
        <w:rPr>
          <w:spacing w:val="-1"/>
          <w:sz w:val="24"/>
        </w:rPr>
        <w:t> </w:t>
      </w:r>
      <w:r>
        <w:rPr>
          <w:sz w:val="24"/>
        </w:rPr>
        <w:t>komunën</w:t>
      </w:r>
      <w:r>
        <w:rPr>
          <w:spacing w:val="-1"/>
          <w:sz w:val="24"/>
        </w:rPr>
        <w:t> </w:t>
      </w:r>
      <w:r>
        <w:rPr>
          <w:sz w:val="24"/>
        </w:rPr>
        <w:t>e Hanit të</w:t>
      </w:r>
      <w:r>
        <w:rPr>
          <w:spacing w:val="-1"/>
          <w:sz w:val="24"/>
        </w:rPr>
        <w:t> </w:t>
      </w:r>
      <w:r>
        <w:rPr>
          <w:spacing w:val="-2"/>
          <w:sz w:val="24"/>
        </w:rPr>
        <w:t>Elezit</w:t>
      </w:r>
    </w:p>
    <w:p>
      <w:pPr>
        <w:pStyle w:val="BodyText"/>
        <w:ind w:left="740" w:right="1855"/>
      </w:pPr>
      <w:r>
        <w:rPr>
          <w:b/>
        </w:rPr>
        <w:t>Tabela</w:t>
      </w:r>
      <w:r>
        <w:rPr>
          <w:b/>
          <w:spacing w:val="-3"/>
        </w:rPr>
        <w:t> </w:t>
      </w:r>
      <w:r>
        <w:rPr>
          <w:b/>
        </w:rPr>
        <w:t>15:</w:t>
      </w:r>
      <w:r>
        <w:rPr>
          <w:b/>
          <w:spacing w:val="-4"/>
        </w:rPr>
        <w:t> </w:t>
      </w:r>
      <w:r>
        <w:rPr/>
        <w:t>Infrastruktura</w:t>
      </w:r>
      <w:r>
        <w:rPr>
          <w:spacing w:val="-4"/>
        </w:rPr>
        <w:t> </w:t>
      </w:r>
      <w:r>
        <w:rPr/>
        <w:t>transportuese</w:t>
      </w:r>
      <w:r>
        <w:rPr>
          <w:spacing w:val="-4"/>
        </w:rPr>
        <w:t> </w:t>
      </w:r>
      <w:r>
        <w:rPr/>
        <w:t>rrugore</w:t>
      </w:r>
      <w:r>
        <w:rPr>
          <w:spacing w:val="-4"/>
        </w:rPr>
        <w:t> </w:t>
      </w:r>
      <w:r>
        <w:rPr/>
        <w:t>dhe</w:t>
      </w:r>
      <w:r>
        <w:rPr>
          <w:spacing w:val="-4"/>
        </w:rPr>
        <w:t> </w:t>
      </w:r>
      <w:r>
        <w:rPr/>
        <w:t>hekurudhore</w:t>
      </w:r>
      <w:r>
        <w:rPr>
          <w:spacing w:val="-3"/>
        </w:rPr>
        <w:t> </w:t>
      </w:r>
      <w:r>
        <w:rPr/>
        <w:t>në</w:t>
      </w:r>
      <w:r>
        <w:rPr>
          <w:spacing w:val="-4"/>
        </w:rPr>
        <w:t> </w:t>
      </w:r>
      <w:r>
        <w:rPr/>
        <w:t>territorin</w:t>
      </w:r>
      <w:r>
        <w:rPr>
          <w:spacing w:val="-5"/>
        </w:rPr>
        <w:t> </w:t>
      </w:r>
      <w:r>
        <w:rPr/>
        <w:t>e</w:t>
      </w:r>
      <w:r>
        <w:rPr>
          <w:spacing w:val="-4"/>
        </w:rPr>
        <w:t> </w:t>
      </w:r>
      <w:r>
        <w:rPr/>
        <w:t>komunës</w:t>
      </w:r>
      <w:r>
        <w:rPr>
          <w:spacing w:val="-4"/>
        </w:rPr>
        <w:t> </w:t>
      </w:r>
      <w:r>
        <w:rPr/>
        <w:t>së Hanit të Elezit</w:t>
      </w:r>
    </w:p>
    <w:p>
      <w:pPr>
        <w:spacing w:before="0"/>
        <w:ind w:left="740" w:right="0" w:firstLine="0"/>
        <w:jc w:val="left"/>
        <w:rPr>
          <w:sz w:val="24"/>
        </w:rPr>
      </w:pPr>
      <w:r>
        <w:rPr>
          <w:b/>
          <w:sz w:val="24"/>
        </w:rPr>
        <w:t>Tabela</w:t>
      </w:r>
      <w:r>
        <w:rPr>
          <w:b/>
          <w:spacing w:val="-8"/>
          <w:sz w:val="24"/>
        </w:rPr>
        <w:t> </w:t>
      </w:r>
      <w:r>
        <w:rPr>
          <w:b/>
          <w:sz w:val="24"/>
        </w:rPr>
        <w:t>16:</w:t>
      </w:r>
      <w:r>
        <w:rPr>
          <w:b/>
          <w:spacing w:val="-6"/>
          <w:sz w:val="24"/>
        </w:rPr>
        <w:t> </w:t>
      </w:r>
      <w:r>
        <w:rPr>
          <w:sz w:val="24"/>
        </w:rPr>
        <w:t>Shërbimi</w:t>
      </w:r>
      <w:r>
        <w:rPr>
          <w:spacing w:val="-7"/>
          <w:sz w:val="24"/>
        </w:rPr>
        <w:t> </w:t>
      </w:r>
      <w:r>
        <w:rPr>
          <w:sz w:val="24"/>
        </w:rPr>
        <w:t>i</w:t>
      </w:r>
      <w:r>
        <w:rPr>
          <w:spacing w:val="-7"/>
          <w:sz w:val="24"/>
        </w:rPr>
        <w:t> </w:t>
      </w:r>
      <w:r>
        <w:rPr>
          <w:sz w:val="24"/>
        </w:rPr>
        <w:t>ujësjellësit</w:t>
      </w:r>
      <w:r>
        <w:rPr>
          <w:spacing w:val="-8"/>
          <w:sz w:val="24"/>
        </w:rPr>
        <w:t> </w:t>
      </w:r>
      <w:r>
        <w:rPr>
          <w:sz w:val="24"/>
        </w:rPr>
        <w:t>sipas</w:t>
      </w:r>
      <w:r>
        <w:rPr>
          <w:spacing w:val="-7"/>
          <w:sz w:val="24"/>
        </w:rPr>
        <w:t> </w:t>
      </w:r>
      <w:r>
        <w:rPr>
          <w:spacing w:val="-2"/>
          <w:sz w:val="24"/>
        </w:rPr>
        <w:t>vendbanimeve</w:t>
      </w:r>
    </w:p>
    <w:p>
      <w:pPr>
        <w:spacing w:before="0"/>
        <w:ind w:left="740" w:right="0" w:firstLine="0"/>
        <w:jc w:val="left"/>
        <w:rPr>
          <w:sz w:val="24"/>
        </w:rPr>
      </w:pPr>
      <w:r>
        <w:rPr>
          <w:b/>
          <w:sz w:val="24"/>
        </w:rPr>
        <w:t>Tabela</w:t>
      </w:r>
      <w:r>
        <w:rPr>
          <w:b/>
          <w:spacing w:val="-7"/>
          <w:sz w:val="24"/>
        </w:rPr>
        <w:t> </w:t>
      </w:r>
      <w:r>
        <w:rPr>
          <w:b/>
          <w:sz w:val="24"/>
        </w:rPr>
        <w:t>17:</w:t>
      </w:r>
      <w:r>
        <w:rPr>
          <w:b/>
          <w:spacing w:val="-8"/>
          <w:sz w:val="24"/>
        </w:rPr>
        <w:t> </w:t>
      </w:r>
      <w:r>
        <w:rPr>
          <w:sz w:val="24"/>
        </w:rPr>
        <w:t>Mbulushmëria</w:t>
      </w:r>
      <w:r>
        <w:rPr>
          <w:spacing w:val="-7"/>
          <w:sz w:val="24"/>
        </w:rPr>
        <w:t> </w:t>
      </w:r>
      <w:r>
        <w:rPr>
          <w:sz w:val="24"/>
        </w:rPr>
        <w:t>me</w:t>
      </w:r>
      <w:r>
        <w:rPr>
          <w:spacing w:val="-9"/>
          <w:sz w:val="24"/>
        </w:rPr>
        <w:t> </w:t>
      </w:r>
      <w:r>
        <w:rPr>
          <w:sz w:val="24"/>
        </w:rPr>
        <w:t>shërbimin</w:t>
      </w:r>
      <w:r>
        <w:rPr>
          <w:spacing w:val="-7"/>
          <w:sz w:val="24"/>
        </w:rPr>
        <w:t> </w:t>
      </w:r>
      <w:r>
        <w:rPr>
          <w:sz w:val="24"/>
        </w:rPr>
        <w:t>e</w:t>
      </w:r>
      <w:r>
        <w:rPr>
          <w:spacing w:val="-8"/>
          <w:sz w:val="24"/>
        </w:rPr>
        <w:t> </w:t>
      </w:r>
      <w:r>
        <w:rPr>
          <w:spacing w:val="-2"/>
          <w:sz w:val="24"/>
        </w:rPr>
        <w:t>ujësjellësit</w:t>
      </w:r>
    </w:p>
    <w:p>
      <w:pPr>
        <w:spacing w:after="0"/>
        <w:jc w:val="left"/>
        <w:rPr>
          <w:sz w:val="24"/>
        </w:rPr>
        <w:sectPr>
          <w:pgSz w:w="12240" w:h="15840"/>
          <w:pgMar w:header="0" w:footer="990" w:top="1360" w:bottom="1180" w:left="700" w:right="0"/>
        </w:sectPr>
      </w:pPr>
    </w:p>
    <w:p>
      <w:pPr>
        <w:spacing w:before="60"/>
        <w:ind w:left="740" w:right="0" w:firstLine="0"/>
        <w:jc w:val="left"/>
        <w:rPr>
          <w:sz w:val="24"/>
        </w:rPr>
      </w:pPr>
      <w:r>
        <w:rPr>
          <w:b/>
          <w:sz w:val="24"/>
        </w:rPr>
        <w:t>Tabela</w:t>
      </w:r>
      <w:r>
        <w:rPr>
          <w:b/>
          <w:spacing w:val="-8"/>
          <w:sz w:val="24"/>
        </w:rPr>
        <w:t> </w:t>
      </w:r>
      <w:r>
        <w:rPr>
          <w:b/>
          <w:sz w:val="24"/>
        </w:rPr>
        <w:t>18:</w:t>
      </w:r>
      <w:r>
        <w:rPr>
          <w:b/>
          <w:spacing w:val="-6"/>
          <w:sz w:val="24"/>
        </w:rPr>
        <w:t> </w:t>
      </w:r>
      <w:r>
        <w:rPr>
          <w:sz w:val="24"/>
        </w:rPr>
        <w:t>Shërbimi</w:t>
      </w:r>
      <w:r>
        <w:rPr>
          <w:spacing w:val="-8"/>
          <w:sz w:val="24"/>
        </w:rPr>
        <w:t> </w:t>
      </w:r>
      <w:r>
        <w:rPr>
          <w:sz w:val="24"/>
        </w:rPr>
        <w:t>i</w:t>
      </w:r>
      <w:r>
        <w:rPr>
          <w:spacing w:val="-7"/>
          <w:sz w:val="24"/>
        </w:rPr>
        <w:t> </w:t>
      </w:r>
      <w:r>
        <w:rPr>
          <w:sz w:val="24"/>
        </w:rPr>
        <w:t>kanalizimit</w:t>
      </w:r>
      <w:r>
        <w:rPr>
          <w:spacing w:val="-7"/>
          <w:sz w:val="24"/>
        </w:rPr>
        <w:t> </w:t>
      </w:r>
      <w:r>
        <w:rPr>
          <w:sz w:val="24"/>
        </w:rPr>
        <w:t>sipas</w:t>
      </w:r>
      <w:r>
        <w:rPr>
          <w:spacing w:val="-7"/>
          <w:sz w:val="24"/>
        </w:rPr>
        <w:t> </w:t>
      </w:r>
      <w:r>
        <w:rPr>
          <w:spacing w:val="-2"/>
          <w:sz w:val="24"/>
        </w:rPr>
        <w:t>vendbanimeve</w:t>
      </w:r>
    </w:p>
    <w:p>
      <w:pPr>
        <w:spacing w:before="0"/>
        <w:ind w:left="740" w:right="0" w:firstLine="0"/>
        <w:jc w:val="left"/>
        <w:rPr>
          <w:sz w:val="24"/>
        </w:rPr>
      </w:pPr>
      <w:r>
        <w:rPr>
          <w:b/>
          <w:sz w:val="24"/>
        </w:rPr>
        <w:t>Tabela</w:t>
      </w:r>
      <w:r>
        <w:rPr>
          <w:b/>
          <w:spacing w:val="-7"/>
          <w:sz w:val="24"/>
        </w:rPr>
        <w:t> </w:t>
      </w:r>
      <w:r>
        <w:rPr>
          <w:b/>
          <w:sz w:val="24"/>
        </w:rPr>
        <w:t>19:</w:t>
      </w:r>
      <w:r>
        <w:rPr>
          <w:b/>
          <w:spacing w:val="-8"/>
          <w:sz w:val="24"/>
        </w:rPr>
        <w:t> </w:t>
      </w:r>
      <w:r>
        <w:rPr>
          <w:sz w:val="24"/>
        </w:rPr>
        <w:t>Mbulushmëria</w:t>
      </w:r>
      <w:r>
        <w:rPr>
          <w:spacing w:val="-7"/>
          <w:sz w:val="24"/>
        </w:rPr>
        <w:t> </w:t>
      </w:r>
      <w:r>
        <w:rPr>
          <w:sz w:val="24"/>
        </w:rPr>
        <w:t>me</w:t>
      </w:r>
      <w:r>
        <w:rPr>
          <w:spacing w:val="-9"/>
          <w:sz w:val="24"/>
        </w:rPr>
        <w:t> </w:t>
      </w:r>
      <w:r>
        <w:rPr>
          <w:sz w:val="24"/>
        </w:rPr>
        <w:t>shërbimin</w:t>
      </w:r>
      <w:r>
        <w:rPr>
          <w:spacing w:val="-7"/>
          <w:sz w:val="24"/>
        </w:rPr>
        <w:t> </w:t>
      </w:r>
      <w:r>
        <w:rPr>
          <w:sz w:val="24"/>
        </w:rPr>
        <w:t>e</w:t>
      </w:r>
      <w:r>
        <w:rPr>
          <w:spacing w:val="-8"/>
          <w:sz w:val="24"/>
        </w:rPr>
        <w:t> </w:t>
      </w:r>
      <w:r>
        <w:rPr>
          <w:spacing w:val="-2"/>
          <w:sz w:val="24"/>
        </w:rPr>
        <w:t>kanalizimit</w:t>
      </w:r>
    </w:p>
    <w:p>
      <w:pPr>
        <w:pStyle w:val="BodyText"/>
        <w:ind w:left="740"/>
      </w:pPr>
      <w:r>
        <w:rPr>
          <w:b/>
        </w:rPr>
        <w:t>Tabela</w:t>
      </w:r>
      <w:r>
        <w:rPr>
          <w:b/>
          <w:spacing w:val="-6"/>
        </w:rPr>
        <w:t> </w:t>
      </w:r>
      <w:r>
        <w:rPr>
          <w:b/>
        </w:rPr>
        <w:t>20:</w:t>
      </w:r>
      <w:r>
        <w:rPr>
          <w:b/>
          <w:spacing w:val="-6"/>
        </w:rPr>
        <w:t> </w:t>
      </w:r>
      <w:r>
        <w:rPr/>
        <w:t>Numri</w:t>
      </w:r>
      <w:r>
        <w:rPr>
          <w:spacing w:val="-6"/>
        </w:rPr>
        <w:t> </w:t>
      </w:r>
      <w:r>
        <w:rPr/>
        <w:t>i</w:t>
      </w:r>
      <w:r>
        <w:rPr>
          <w:spacing w:val="-6"/>
        </w:rPr>
        <w:t> </w:t>
      </w:r>
      <w:r>
        <w:rPr/>
        <w:t>klientëve</w:t>
      </w:r>
      <w:r>
        <w:rPr>
          <w:spacing w:val="-6"/>
        </w:rPr>
        <w:t> </w:t>
      </w:r>
      <w:r>
        <w:rPr/>
        <w:t>të</w:t>
      </w:r>
      <w:r>
        <w:rPr>
          <w:spacing w:val="-6"/>
        </w:rPr>
        <w:t> </w:t>
      </w:r>
      <w:r>
        <w:rPr/>
        <w:t>shërbyer</w:t>
      </w:r>
      <w:r>
        <w:rPr>
          <w:spacing w:val="-6"/>
        </w:rPr>
        <w:t> </w:t>
      </w:r>
      <w:r>
        <w:rPr/>
        <w:t>dhe</w:t>
      </w:r>
      <w:r>
        <w:rPr>
          <w:spacing w:val="-6"/>
        </w:rPr>
        <w:t> </w:t>
      </w:r>
      <w:r>
        <w:rPr/>
        <w:t>gjatësia</w:t>
      </w:r>
      <w:r>
        <w:rPr>
          <w:spacing w:val="-6"/>
        </w:rPr>
        <w:t> </w:t>
      </w:r>
      <w:r>
        <w:rPr/>
        <w:t>e</w:t>
      </w:r>
      <w:r>
        <w:rPr>
          <w:spacing w:val="-6"/>
        </w:rPr>
        <w:t> </w:t>
      </w:r>
      <w:r>
        <w:rPr/>
        <w:t>rutës</w:t>
      </w:r>
      <w:r>
        <w:rPr>
          <w:spacing w:val="-6"/>
        </w:rPr>
        <w:t> </w:t>
      </w:r>
      <w:r>
        <w:rPr/>
        <w:t>së</w:t>
      </w:r>
      <w:r>
        <w:rPr>
          <w:spacing w:val="-6"/>
        </w:rPr>
        <w:t> </w:t>
      </w:r>
      <w:r>
        <w:rPr/>
        <w:t>shërbimit</w:t>
      </w:r>
      <w:r>
        <w:rPr>
          <w:spacing w:val="-6"/>
        </w:rPr>
        <w:t> </w:t>
      </w:r>
      <w:r>
        <w:rPr/>
        <w:t>për</w:t>
      </w:r>
      <w:r>
        <w:rPr>
          <w:spacing w:val="-6"/>
        </w:rPr>
        <w:t> </w:t>
      </w:r>
      <w:r>
        <w:rPr>
          <w:spacing w:val="-2"/>
        </w:rPr>
        <w:t>vendbanime</w:t>
      </w:r>
    </w:p>
    <w:p>
      <w:pPr>
        <w:spacing w:before="0"/>
        <w:ind w:left="740" w:right="0" w:firstLine="0"/>
        <w:jc w:val="left"/>
        <w:rPr>
          <w:sz w:val="24"/>
        </w:rPr>
      </w:pPr>
      <w:r>
        <w:rPr>
          <w:b/>
          <w:sz w:val="24"/>
        </w:rPr>
        <w:t>Tabela</w:t>
      </w:r>
      <w:r>
        <w:rPr>
          <w:b/>
          <w:spacing w:val="-8"/>
          <w:sz w:val="24"/>
        </w:rPr>
        <w:t> </w:t>
      </w:r>
      <w:r>
        <w:rPr>
          <w:b/>
          <w:sz w:val="24"/>
        </w:rPr>
        <w:t>21:</w:t>
      </w:r>
      <w:r>
        <w:rPr>
          <w:b/>
          <w:spacing w:val="-6"/>
          <w:sz w:val="24"/>
        </w:rPr>
        <w:t> </w:t>
      </w:r>
      <w:r>
        <w:rPr>
          <w:sz w:val="24"/>
        </w:rPr>
        <w:t>Emetimet</w:t>
      </w:r>
      <w:r>
        <w:rPr>
          <w:spacing w:val="-8"/>
          <w:sz w:val="24"/>
        </w:rPr>
        <w:t> </w:t>
      </w:r>
      <w:r>
        <w:rPr>
          <w:sz w:val="24"/>
        </w:rPr>
        <w:t>në</w:t>
      </w:r>
      <w:r>
        <w:rPr>
          <w:spacing w:val="-8"/>
          <w:sz w:val="24"/>
        </w:rPr>
        <w:t> </w:t>
      </w:r>
      <w:r>
        <w:rPr>
          <w:sz w:val="24"/>
        </w:rPr>
        <w:t>ajër</w:t>
      </w:r>
      <w:r>
        <w:rPr>
          <w:spacing w:val="-7"/>
          <w:sz w:val="24"/>
        </w:rPr>
        <w:t> </w:t>
      </w:r>
      <w:r>
        <w:rPr>
          <w:sz w:val="24"/>
        </w:rPr>
        <w:t>nga</w:t>
      </w:r>
      <w:r>
        <w:rPr>
          <w:spacing w:val="-8"/>
          <w:sz w:val="24"/>
        </w:rPr>
        <w:t> </w:t>
      </w:r>
      <w:r>
        <w:rPr>
          <w:sz w:val="24"/>
        </w:rPr>
        <w:t>Sharrcem</w:t>
      </w:r>
      <w:r>
        <w:rPr>
          <w:spacing w:val="-7"/>
          <w:sz w:val="24"/>
        </w:rPr>
        <w:t> </w:t>
      </w:r>
      <w:r>
        <w:rPr>
          <w:sz w:val="24"/>
        </w:rPr>
        <w:t>(2018-</w:t>
      </w:r>
      <w:r>
        <w:rPr>
          <w:spacing w:val="-2"/>
          <w:sz w:val="24"/>
        </w:rPr>
        <w:t>2020)</w:t>
      </w:r>
    </w:p>
    <w:p>
      <w:pPr>
        <w:pStyle w:val="BodyText"/>
        <w:ind w:left="740" w:right="1855"/>
      </w:pPr>
      <w:r>
        <w:rPr>
          <w:b/>
        </w:rPr>
        <w:t>Tabela</w:t>
      </w:r>
      <w:r>
        <w:rPr>
          <w:b/>
          <w:spacing w:val="-3"/>
        </w:rPr>
        <w:t> </w:t>
      </w:r>
      <w:r>
        <w:rPr>
          <w:b/>
        </w:rPr>
        <w:t>22:</w:t>
      </w:r>
      <w:r>
        <w:rPr>
          <w:b/>
          <w:spacing w:val="-3"/>
        </w:rPr>
        <w:t> </w:t>
      </w:r>
      <w:r>
        <w:rPr/>
        <w:t>Përqëndrimet</w:t>
      </w:r>
      <w:r>
        <w:rPr>
          <w:spacing w:val="-3"/>
        </w:rPr>
        <w:t> </w:t>
      </w:r>
      <w:r>
        <w:rPr/>
        <w:t>vjetore</w:t>
      </w:r>
      <w:r>
        <w:rPr>
          <w:spacing w:val="-3"/>
        </w:rPr>
        <w:t> </w:t>
      </w:r>
      <w:r>
        <w:rPr/>
        <w:t>dhe</w:t>
      </w:r>
      <w:r>
        <w:rPr>
          <w:spacing w:val="-4"/>
        </w:rPr>
        <w:t> </w:t>
      </w:r>
      <w:r>
        <w:rPr/>
        <w:t>tejkalimet</w:t>
      </w:r>
      <w:r>
        <w:rPr>
          <w:spacing w:val="-4"/>
        </w:rPr>
        <w:t> </w:t>
      </w:r>
      <w:r>
        <w:rPr/>
        <w:t>e</w:t>
      </w:r>
      <w:r>
        <w:rPr>
          <w:spacing w:val="-4"/>
        </w:rPr>
        <w:t> </w:t>
      </w:r>
      <w:r>
        <w:rPr/>
        <w:t>standardeve</w:t>
      </w:r>
      <w:r>
        <w:rPr>
          <w:spacing w:val="-4"/>
        </w:rPr>
        <w:t> </w:t>
      </w:r>
      <w:r>
        <w:rPr/>
        <w:t>kosovare</w:t>
      </w:r>
      <w:r>
        <w:rPr>
          <w:spacing w:val="-3"/>
        </w:rPr>
        <w:t> </w:t>
      </w:r>
      <w:r>
        <w:rPr/>
        <w:t>për</w:t>
      </w:r>
      <w:r>
        <w:rPr>
          <w:spacing w:val="-3"/>
        </w:rPr>
        <w:t> </w:t>
      </w:r>
      <w:r>
        <w:rPr/>
        <w:t>ndotës</w:t>
      </w:r>
      <w:r>
        <w:rPr>
          <w:spacing w:val="-4"/>
        </w:rPr>
        <w:t> </w:t>
      </w:r>
      <w:r>
        <w:rPr/>
        <w:t>të</w:t>
      </w:r>
      <w:r>
        <w:rPr>
          <w:spacing w:val="-3"/>
        </w:rPr>
        <w:t> </w:t>
      </w:r>
      <w:r>
        <w:rPr/>
        <w:t>caktuar </w:t>
      </w:r>
      <w:r>
        <w:rPr>
          <w:spacing w:val="-2"/>
        </w:rPr>
        <w:t>(2018-2022)</w:t>
      </w:r>
    </w:p>
    <w:p>
      <w:pPr>
        <w:spacing w:before="1"/>
        <w:ind w:left="740" w:right="7247" w:firstLine="0"/>
        <w:jc w:val="left"/>
        <w:rPr>
          <w:sz w:val="24"/>
        </w:rPr>
      </w:pPr>
      <w:r>
        <w:rPr>
          <w:b/>
          <w:sz w:val="24"/>
        </w:rPr>
        <w:t>Tabela 23: </w:t>
      </w:r>
      <w:r>
        <w:rPr>
          <w:sz w:val="24"/>
        </w:rPr>
        <w:t>Të hyrat vetanake </w:t>
      </w:r>
      <w:r>
        <w:rPr>
          <w:b/>
          <w:sz w:val="24"/>
        </w:rPr>
        <w:t>Tabela 24: </w:t>
      </w:r>
      <w:r>
        <w:rPr>
          <w:sz w:val="24"/>
        </w:rPr>
        <w:t>Transferat qeveritare </w:t>
      </w:r>
      <w:r>
        <w:rPr>
          <w:b/>
          <w:sz w:val="24"/>
        </w:rPr>
        <w:t>Tabela</w:t>
      </w:r>
      <w:r>
        <w:rPr>
          <w:b/>
          <w:spacing w:val="-9"/>
          <w:sz w:val="24"/>
        </w:rPr>
        <w:t> </w:t>
      </w:r>
      <w:r>
        <w:rPr>
          <w:b/>
          <w:sz w:val="24"/>
        </w:rPr>
        <w:t>25:</w:t>
      </w:r>
      <w:r>
        <w:rPr>
          <w:b/>
          <w:spacing w:val="-8"/>
          <w:sz w:val="24"/>
        </w:rPr>
        <w:t> </w:t>
      </w:r>
      <w:r>
        <w:rPr>
          <w:sz w:val="24"/>
        </w:rPr>
        <w:t>Shpenzimet</w:t>
      </w:r>
      <w:r>
        <w:rPr>
          <w:spacing w:val="-9"/>
          <w:sz w:val="24"/>
        </w:rPr>
        <w:t> </w:t>
      </w:r>
      <w:r>
        <w:rPr>
          <w:spacing w:val="-2"/>
          <w:sz w:val="24"/>
        </w:rPr>
        <w:t>komunale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2"/>
        <w:tabs>
          <w:tab w:pos="10131" w:val="left" w:leader="none"/>
        </w:tabs>
        <w:spacing w:before="90"/>
      </w:pPr>
      <w:r>
        <w:rPr>
          <w:color w:val="000000"/>
          <w:spacing w:val="-30"/>
          <w:shd w:fill="EAB8A3" w:color="auto" w:val="clear"/>
        </w:rPr>
        <w:t> </w:t>
      </w:r>
      <w:r>
        <w:rPr>
          <w:color w:val="000000"/>
          <w:shd w:fill="EAB8A3" w:color="auto" w:val="clear"/>
        </w:rPr>
        <w:t>Indeksi</w:t>
      </w:r>
      <w:r>
        <w:rPr>
          <w:color w:val="000000"/>
          <w:spacing w:val="-5"/>
          <w:shd w:fill="EAB8A3" w:color="auto" w:val="clear"/>
        </w:rPr>
        <w:t> </w:t>
      </w:r>
      <w:r>
        <w:rPr>
          <w:color w:val="000000"/>
          <w:shd w:fill="EAB8A3" w:color="auto" w:val="clear"/>
        </w:rPr>
        <w:t>i</w:t>
      </w:r>
      <w:r>
        <w:rPr>
          <w:color w:val="000000"/>
          <w:spacing w:val="-2"/>
          <w:shd w:fill="EAB8A3" w:color="auto" w:val="clear"/>
        </w:rPr>
        <w:t> figurave</w:t>
      </w:r>
      <w:r>
        <w:rPr>
          <w:color w:val="000000"/>
          <w:shd w:fill="EAB8A3" w:color="auto" w:val="clear"/>
        </w:rPr>
        <w:tab/>
      </w:r>
    </w:p>
    <w:p>
      <w:pPr>
        <w:pStyle w:val="BodyText"/>
        <w:spacing w:before="11"/>
        <w:rPr>
          <w:b/>
          <w:sz w:val="20"/>
        </w:rPr>
      </w:pPr>
    </w:p>
    <w:p>
      <w:pPr>
        <w:pStyle w:val="BodyText"/>
        <w:ind w:left="740"/>
      </w:pPr>
      <w:r>
        <w:rPr>
          <w:b/>
        </w:rPr>
        <w:t>Figura.</w:t>
      </w:r>
      <w:r>
        <w:rPr>
          <w:b/>
          <w:spacing w:val="-7"/>
        </w:rPr>
        <w:t> </w:t>
      </w:r>
      <w:r>
        <w:rPr>
          <w:b/>
        </w:rPr>
        <w:t>1</w:t>
      </w:r>
      <w:r>
        <w:rPr>
          <w:b/>
          <w:spacing w:val="47"/>
        </w:rPr>
        <w:t> </w:t>
      </w:r>
      <w:r>
        <w:rPr/>
        <w:t>Metodologjia</w:t>
      </w:r>
      <w:r>
        <w:rPr>
          <w:spacing w:val="-6"/>
        </w:rPr>
        <w:t> </w:t>
      </w:r>
      <w:r>
        <w:rPr/>
        <w:t>e</w:t>
      </w:r>
      <w:r>
        <w:rPr>
          <w:spacing w:val="-7"/>
        </w:rPr>
        <w:t> </w:t>
      </w:r>
      <w:r>
        <w:rPr/>
        <w:t>hartimit</w:t>
      </w:r>
      <w:r>
        <w:rPr>
          <w:spacing w:val="-7"/>
        </w:rPr>
        <w:t> </w:t>
      </w:r>
      <w:r>
        <w:rPr/>
        <w:t>të</w:t>
      </w:r>
      <w:r>
        <w:rPr>
          <w:spacing w:val="-7"/>
        </w:rPr>
        <w:t> </w:t>
      </w:r>
      <w:r>
        <w:rPr/>
        <w:t>Strategjisë</w:t>
      </w:r>
      <w:r>
        <w:rPr>
          <w:spacing w:val="-6"/>
        </w:rPr>
        <w:t> </w:t>
      </w:r>
      <w:r>
        <w:rPr/>
        <w:t>për</w:t>
      </w:r>
      <w:r>
        <w:rPr>
          <w:spacing w:val="-7"/>
        </w:rPr>
        <w:t> </w:t>
      </w:r>
      <w:r>
        <w:rPr/>
        <w:t>Zhvillim</w:t>
      </w:r>
      <w:r>
        <w:rPr>
          <w:spacing w:val="-6"/>
        </w:rPr>
        <w:t> </w:t>
      </w:r>
      <w:r>
        <w:rPr>
          <w:spacing w:val="-2"/>
        </w:rPr>
        <w:t>Ekonomike</w:t>
      </w:r>
    </w:p>
    <w:p>
      <w:pPr>
        <w:pStyle w:val="BodyText"/>
        <w:spacing w:before="55"/>
        <w:ind w:left="740"/>
      </w:pPr>
      <w:r>
        <w:rPr>
          <w:b/>
        </w:rPr>
        <w:t>Figura</w:t>
      </w:r>
      <w:r>
        <w:rPr>
          <w:b/>
          <w:spacing w:val="-3"/>
        </w:rPr>
        <w:t> </w:t>
      </w:r>
      <w:r>
        <w:rPr>
          <w:b/>
        </w:rPr>
        <w:t>2</w:t>
      </w:r>
      <w:r>
        <w:rPr/>
        <w:t>:</w:t>
      </w:r>
      <w:r>
        <w:rPr>
          <w:spacing w:val="-2"/>
        </w:rPr>
        <w:t> </w:t>
      </w:r>
      <w:r>
        <w:rPr/>
        <w:t>Pozita</w:t>
      </w:r>
      <w:r>
        <w:rPr>
          <w:spacing w:val="-1"/>
        </w:rPr>
        <w:t> </w:t>
      </w:r>
      <w:r>
        <w:rPr/>
        <w:t>gjeografike</w:t>
      </w:r>
      <w:r>
        <w:rPr>
          <w:spacing w:val="-3"/>
        </w:rPr>
        <w:t> </w:t>
      </w:r>
      <w:r>
        <w:rPr/>
        <w:t>e</w:t>
      </w:r>
      <w:r>
        <w:rPr>
          <w:spacing w:val="-2"/>
        </w:rPr>
        <w:t> </w:t>
      </w:r>
      <w:r>
        <w:rPr/>
        <w:t>komunës</w:t>
      </w:r>
      <w:r>
        <w:rPr>
          <w:spacing w:val="-1"/>
        </w:rPr>
        <w:t> </w:t>
      </w:r>
      <w:r>
        <w:rPr/>
        <w:t>së</w:t>
      </w:r>
      <w:r>
        <w:rPr>
          <w:spacing w:val="-2"/>
        </w:rPr>
        <w:t> </w:t>
      </w:r>
      <w:r>
        <w:rPr/>
        <w:t>Hani</w:t>
      </w:r>
      <w:r>
        <w:rPr>
          <w:spacing w:val="-1"/>
        </w:rPr>
        <w:t> </w:t>
      </w:r>
      <w:r>
        <w:rPr/>
        <w:t>të</w:t>
      </w:r>
      <w:r>
        <w:rPr>
          <w:spacing w:val="-2"/>
        </w:rPr>
        <w:t> Elezit</w:t>
      </w:r>
    </w:p>
    <w:p>
      <w:pPr>
        <w:pStyle w:val="BodyText"/>
        <w:spacing w:before="56"/>
        <w:ind w:left="740"/>
      </w:pPr>
      <w:r>
        <w:rPr>
          <w:b/>
        </w:rPr>
        <w:t>Figura</w:t>
      </w:r>
      <w:r>
        <w:rPr>
          <w:b/>
          <w:spacing w:val="-5"/>
        </w:rPr>
        <w:t> </w:t>
      </w:r>
      <w:r>
        <w:rPr>
          <w:b/>
        </w:rPr>
        <w:t>3:</w:t>
      </w:r>
      <w:r>
        <w:rPr>
          <w:b/>
          <w:spacing w:val="50"/>
        </w:rPr>
        <w:t> </w:t>
      </w:r>
      <w:r>
        <w:rPr/>
        <w:t>Harta</w:t>
      </w:r>
      <w:r>
        <w:rPr>
          <w:spacing w:val="-4"/>
        </w:rPr>
        <w:t> </w:t>
      </w:r>
      <w:r>
        <w:rPr/>
        <w:t>relievore</w:t>
      </w:r>
      <w:r>
        <w:rPr>
          <w:spacing w:val="-4"/>
        </w:rPr>
        <w:t> </w:t>
      </w:r>
      <w:r>
        <w:rPr/>
        <w:t>e</w:t>
      </w:r>
      <w:r>
        <w:rPr>
          <w:spacing w:val="-5"/>
        </w:rPr>
        <w:t> </w:t>
      </w:r>
      <w:r>
        <w:rPr/>
        <w:t>Komunës</w:t>
      </w:r>
      <w:r>
        <w:rPr>
          <w:spacing w:val="-4"/>
        </w:rPr>
        <w:t> </w:t>
      </w:r>
      <w:r>
        <w:rPr/>
        <w:t>së</w:t>
      </w:r>
      <w:r>
        <w:rPr>
          <w:spacing w:val="-4"/>
        </w:rPr>
        <w:t> </w:t>
      </w:r>
      <w:r>
        <w:rPr/>
        <w:t>Hanit</w:t>
      </w:r>
      <w:r>
        <w:rPr>
          <w:spacing w:val="-3"/>
        </w:rPr>
        <w:t> </w:t>
      </w:r>
      <w:r>
        <w:rPr/>
        <w:t>të</w:t>
      </w:r>
      <w:r>
        <w:rPr>
          <w:spacing w:val="-4"/>
        </w:rPr>
        <w:t> </w:t>
      </w:r>
      <w:r>
        <w:rPr>
          <w:spacing w:val="-2"/>
        </w:rPr>
        <w:t>Elezit</w:t>
      </w:r>
    </w:p>
    <w:p>
      <w:pPr>
        <w:pStyle w:val="BodyText"/>
        <w:spacing w:before="55"/>
        <w:ind w:left="740"/>
      </w:pPr>
      <w:r>
        <w:rPr>
          <w:b/>
        </w:rPr>
        <w:t>Figura</w:t>
      </w:r>
      <w:r>
        <w:rPr>
          <w:b/>
          <w:spacing w:val="-5"/>
        </w:rPr>
        <w:t> </w:t>
      </w:r>
      <w:r>
        <w:rPr>
          <w:b/>
        </w:rPr>
        <w:t>4:</w:t>
      </w:r>
      <w:r>
        <w:rPr>
          <w:b/>
          <w:spacing w:val="-5"/>
        </w:rPr>
        <w:t> </w:t>
      </w:r>
      <w:r>
        <w:rPr/>
        <w:t>Harta</w:t>
      </w:r>
      <w:r>
        <w:rPr>
          <w:spacing w:val="-5"/>
        </w:rPr>
        <w:t> </w:t>
      </w:r>
      <w:r>
        <w:rPr/>
        <w:t>e</w:t>
      </w:r>
      <w:r>
        <w:rPr>
          <w:spacing w:val="-5"/>
        </w:rPr>
        <w:t> </w:t>
      </w:r>
      <w:r>
        <w:rPr/>
        <w:t>qyteti</w:t>
      </w:r>
      <w:r>
        <w:rPr>
          <w:spacing w:val="-5"/>
        </w:rPr>
        <w:t> </w:t>
      </w:r>
      <w:r>
        <w:rPr/>
        <w:t>dhe</w:t>
      </w:r>
      <w:r>
        <w:rPr>
          <w:spacing w:val="-5"/>
        </w:rPr>
        <w:t> </w:t>
      </w:r>
      <w:r>
        <w:rPr/>
        <w:t>fshatrave</w:t>
      </w:r>
      <w:r>
        <w:rPr>
          <w:spacing w:val="-5"/>
        </w:rPr>
        <w:t> </w:t>
      </w:r>
      <w:r>
        <w:rPr/>
        <w:t>të</w:t>
      </w:r>
      <w:r>
        <w:rPr>
          <w:spacing w:val="-4"/>
        </w:rPr>
        <w:t> </w:t>
      </w:r>
      <w:r>
        <w:rPr/>
        <w:t>Komunës</w:t>
      </w:r>
      <w:r>
        <w:rPr>
          <w:spacing w:val="-4"/>
        </w:rPr>
        <w:t> </w:t>
      </w:r>
      <w:r>
        <w:rPr/>
        <w:t>së</w:t>
      </w:r>
      <w:r>
        <w:rPr>
          <w:spacing w:val="-4"/>
        </w:rPr>
        <w:t> </w:t>
      </w:r>
      <w:r>
        <w:rPr/>
        <w:t>Hanit</w:t>
      </w:r>
      <w:r>
        <w:rPr>
          <w:spacing w:val="-5"/>
        </w:rPr>
        <w:t> </w:t>
      </w:r>
      <w:r>
        <w:rPr/>
        <w:t>të</w:t>
      </w:r>
      <w:r>
        <w:rPr>
          <w:spacing w:val="-4"/>
        </w:rPr>
        <w:t> </w:t>
      </w:r>
      <w:r>
        <w:rPr>
          <w:spacing w:val="-2"/>
        </w:rPr>
        <w:t>Elezit</w:t>
      </w:r>
    </w:p>
    <w:p>
      <w:pPr>
        <w:pStyle w:val="BodyText"/>
        <w:spacing w:before="55"/>
        <w:ind w:left="740"/>
      </w:pPr>
      <w:r>
        <w:rPr>
          <w:b/>
        </w:rPr>
        <w:t>Figura</w:t>
      </w:r>
      <w:r>
        <w:rPr>
          <w:b/>
          <w:spacing w:val="-6"/>
        </w:rPr>
        <w:t> </w:t>
      </w:r>
      <w:r>
        <w:rPr>
          <w:b/>
        </w:rPr>
        <w:t>5</w:t>
      </w:r>
      <w:r>
        <w:rPr>
          <w:b/>
          <w:spacing w:val="-5"/>
        </w:rPr>
        <w:t> </w:t>
      </w:r>
      <w:r>
        <w:rPr>
          <w:b/>
        </w:rPr>
        <w:t>:</w:t>
      </w:r>
      <w:r>
        <w:rPr>
          <w:b/>
          <w:spacing w:val="-7"/>
        </w:rPr>
        <w:t> </w:t>
      </w:r>
      <w:r>
        <w:rPr/>
        <w:t>Harta</w:t>
      </w:r>
      <w:r>
        <w:rPr>
          <w:spacing w:val="-5"/>
        </w:rPr>
        <w:t> </w:t>
      </w:r>
      <w:r>
        <w:rPr/>
        <w:t>e</w:t>
      </w:r>
      <w:r>
        <w:rPr>
          <w:spacing w:val="-6"/>
        </w:rPr>
        <w:t> </w:t>
      </w:r>
      <w:r>
        <w:rPr/>
        <w:t>objekteve</w:t>
      </w:r>
      <w:r>
        <w:rPr>
          <w:spacing w:val="-5"/>
        </w:rPr>
        <w:t> </w:t>
      </w:r>
      <w:r>
        <w:rPr/>
        <w:t>shkollore</w:t>
      </w:r>
      <w:r>
        <w:rPr>
          <w:spacing w:val="-6"/>
        </w:rPr>
        <w:t> </w:t>
      </w:r>
      <w:r>
        <w:rPr/>
        <w:t>dhe</w:t>
      </w:r>
      <w:r>
        <w:rPr>
          <w:spacing w:val="-5"/>
        </w:rPr>
        <w:t> </w:t>
      </w:r>
      <w:r>
        <w:rPr/>
        <w:t>shëndetësore</w:t>
      </w:r>
      <w:r>
        <w:rPr>
          <w:spacing w:val="-6"/>
        </w:rPr>
        <w:t> </w:t>
      </w:r>
      <w:r>
        <w:rPr/>
        <w:t>të</w:t>
      </w:r>
      <w:r>
        <w:rPr>
          <w:spacing w:val="-6"/>
        </w:rPr>
        <w:t> </w:t>
      </w:r>
      <w:r>
        <w:rPr/>
        <w:t>Komunës</w:t>
      </w:r>
      <w:r>
        <w:rPr>
          <w:spacing w:val="-5"/>
        </w:rPr>
        <w:t> </w:t>
      </w:r>
      <w:r>
        <w:rPr/>
        <w:t>së</w:t>
      </w:r>
      <w:r>
        <w:rPr>
          <w:spacing w:val="-5"/>
        </w:rPr>
        <w:t> </w:t>
      </w:r>
      <w:r>
        <w:rPr/>
        <w:t>Hanit</w:t>
      </w:r>
      <w:r>
        <w:rPr>
          <w:spacing w:val="-5"/>
        </w:rPr>
        <w:t> </w:t>
      </w:r>
      <w:r>
        <w:rPr/>
        <w:t>të</w:t>
      </w:r>
      <w:r>
        <w:rPr>
          <w:spacing w:val="-5"/>
        </w:rPr>
        <w:t> </w:t>
      </w:r>
      <w:r>
        <w:rPr>
          <w:spacing w:val="-2"/>
        </w:rPr>
        <w:t>Elezit</w:t>
      </w:r>
    </w:p>
    <w:p>
      <w:pPr>
        <w:pStyle w:val="BodyText"/>
        <w:spacing w:before="55"/>
        <w:ind w:left="740"/>
      </w:pPr>
      <w:r>
        <w:rPr>
          <w:b/>
        </w:rPr>
        <w:t>Figura</w:t>
      </w:r>
      <w:r>
        <w:rPr>
          <w:b/>
          <w:spacing w:val="-6"/>
        </w:rPr>
        <w:t> </w:t>
      </w:r>
      <w:r>
        <w:rPr>
          <w:b/>
        </w:rPr>
        <w:t>6:</w:t>
      </w:r>
      <w:r>
        <w:rPr>
          <w:b/>
          <w:spacing w:val="-6"/>
        </w:rPr>
        <w:t> </w:t>
      </w:r>
      <w:r>
        <w:rPr/>
        <w:t>Harta</w:t>
      </w:r>
      <w:r>
        <w:rPr>
          <w:spacing w:val="-6"/>
        </w:rPr>
        <w:t> </w:t>
      </w:r>
      <w:r>
        <w:rPr/>
        <w:t>infraskturore</w:t>
      </w:r>
      <w:r>
        <w:rPr>
          <w:spacing w:val="-6"/>
        </w:rPr>
        <w:t> </w:t>
      </w:r>
      <w:r>
        <w:rPr/>
        <w:t>urbane</w:t>
      </w:r>
      <w:r>
        <w:rPr>
          <w:spacing w:val="-7"/>
        </w:rPr>
        <w:t> </w:t>
      </w:r>
      <w:r>
        <w:rPr/>
        <w:t>e</w:t>
      </w:r>
      <w:r>
        <w:rPr>
          <w:spacing w:val="-5"/>
        </w:rPr>
        <w:t> </w:t>
      </w:r>
      <w:r>
        <w:rPr/>
        <w:t>territorit</w:t>
      </w:r>
      <w:r>
        <w:rPr>
          <w:spacing w:val="-6"/>
        </w:rPr>
        <w:t> </w:t>
      </w:r>
      <w:r>
        <w:rPr/>
        <w:t>të</w:t>
      </w:r>
      <w:r>
        <w:rPr>
          <w:spacing w:val="-5"/>
        </w:rPr>
        <w:t> </w:t>
      </w:r>
      <w:r>
        <w:rPr/>
        <w:t>komunës</w:t>
      </w:r>
      <w:r>
        <w:rPr>
          <w:spacing w:val="-6"/>
        </w:rPr>
        <w:t> </w:t>
      </w:r>
      <w:r>
        <w:rPr/>
        <w:t>së</w:t>
      </w:r>
      <w:r>
        <w:rPr>
          <w:spacing w:val="-5"/>
        </w:rPr>
        <w:t> </w:t>
      </w:r>
      <w:r>
        <w:rPr/>
        <w:t>Hanit</w:t>
      </w:r>
      <w:r>
        <w:rPr>
          <w:spacing w:val="-5"/>
        </w:rPr>
        <w:t> </w:t>
      </w:r>
      <w:r>
        <w:rPr/>
        <w:t>të</w:t>
      </w:r>
      <w:r>
        <w:rPr>
          <w:spacing w:val="-5"/>
        </w:rPr>
        <w:t> </w:t>
      </w:r>
      <w:r>
        <w:rPr>
          <w:spacing w:val="-2"/>
        </w:rPr>
        <w:t>Elezit</w:t>
      </w:r>
    </w:p>
    <w:p>
      <w:pPr>
        <w:spacing w:before="56"/>
        <w:ind w:left="740" w:right="0" w:firstLine="0"/>
        <w:jc w:val="left"/>
        <w:rPr>
          <w:sz w:val="24"/>
        </w:rPr>
      </w:pPr>
      <w:r>
        <w:rPr>
          <w:b/>
          <w:sz w:val="24"/>
        </w:rPr>
        <w:t>Figura</w:t>
      </w:r>
      <w:r>
        <w:rPr>
          <w:b/>
          <w:spacing w:val="-7"/>
          <w:sz w:val="24"/>
        </w:rPr>
        <w:t> </w:t>
      </w:r>
      <w:r>
        <w:rPr>
          <w:b/>
          <w:sz w:val="24"/>
        </w:rPr>
        <w:t>7:</w:t>
      </w:r>
      <w:r>
        <w:rPr>
          <w:b/>
          <w:spacing w:val="-6"/>
          <w:sz w:val="24"/>
        </w:rPr>
        <w:t> </w:t>
      </w:r>
      <w:r>
        <w:rPr>
          <w:sz w:val="24"/>
        </w:rPr>
        <w:t>Harta</w:t>
      </w:r>
      <w:r>
        <w:rPr>
          <w:spacing w:val="-7"/>
          <w:sz w:val="24"/>
        </w:rPr>
        <w:t> </w:t>
      </w:r>
      <w:r>
        <w:rPr>
          <w:sz w:val="24"/>
        </w:rPr>
        <w:t>e</w:t>
      </w:r>
      <w:r>
        <w:rPr>
          <w:spacing w:val="-7"/>
          <w:sz w:val="24"/>
        </w:rPr>
        <w:t> </w:t>
      </w:r>
      <w:r>
        <w:rPr>
          <w:sz w:val="24"/>
        </w:rPr>
        <w:t>rrugëve</w:t>
      </w:r>
      <w:r>
        <w:rPr>
          <w:spacing w:val="-6"/>
          <w:sz w:val="24"/>
        </w:rPr>
        <w:t> </w:t>
      </w:r>
      <w:r>
        <w:rPr>
          <w:sz w:val="24"/>
        </w:rPr>
        <w:t>dhe</w:t>
      </w:r>
      <w:r>
        <w:rPr>
          <w:spacing w:val="-6"/>
          <w:sz w:val="24"/>
        </w:rPr>
        <w:t> </w:t>
      </w:r>
      <w:r>
        <w:rPr>
          <w:sz w:val="24"/>
        </w:rPr>
        <w:t>transportit</w:t>
      </w:r>
      <w:r>
        <w:rPr>
          <w:spacing w:val="-7"/>
          <w:sz w:val="24"/>
        </w:rPr>
        <w:t> </w:t>
      </w:r>
      <w:r>
        <w:rPr>
          <w:spacing w:val="-2"/>
          <w:sz w:val="24"/>
        </w:rPr>
        <w:t>publik</w:t>
      </w:r>
    </w:p>
    <w:p>
      <w:pPr>
        <w:pStyle w:val="BodyText"/>
        <w:spacing w:before="55"/>
        <w:ind w:left="740"/>
      </w:pPr>
      <w:r>
        <w:rPr>
          <w:b/>
        </w:rPr>
        <w:t>Figura</w:t>
      </w:r>
      <w:r>
        <w:rPr>
          <w:b/>
          <w:spacing w:val="-3"/>
        </w:rPr>
        <w:t> </w:t>
      </w:r>
      <w:r>
        <w:rPr>
          <w:b/>
        </w:rPr>
        <w:t>8</w:t>
      </w:r>
      <w:r>
        <w:rPr/>
        <w:t>:</w:t>
      </w:r>
      <w:r>
        <w:rPr>
          <w:spacing w:val="-2"/>
        </w:rPr>
        <w:t> </w:t>
      </w:r>
      <w:r>
        <w:rPr/>
        <w:t>Skema</w:t>
      </w:r>
      <w:r>
        <w:rPr>
          <w:spacing w:val="-2"/>
        </w:rPr>
        <w:t> </w:t>
      </w:r>
      <w:r>
        <w:rPr/>
        <w:t>e</w:t>
      </w:r>
      <w:r>
        <w:rPr>
          <w:spacing w:val="-2"/>
        </w:rPr>
        <w:t> </w:t>
      </w:r>
      <w:r>
        <w:rPr/>
        <w:t>Procesit</w:t>
      </w:r>
      <w:r>
        <w:rPr>
          <w:spacing w:val="-3"/>
        </w:rPr>
        <w:t> </w:t>
      </w:r>
      <w:r>
        <w:rPr/>
        <w:t>të</w:t>
      </w:r>
      <w:r>
        <w:rPr>
          <w:spacing w:val="-2"/>
        </w:rPr>
        <w:t> </w:t>
      </w:r>
      <w:r>
        <w:rPr/>
        <w:t>prodhimit</w:t>
      </w:r>
      <w:r>
        <w:rPr>
          <w:spacing w:val="-2"/>
        </w:rPr>
        <w:t> </w:t>
      </w:r>
      <w:r>
        <w:rPr/>
        <w:t>dhe</w:t>
      </w:r>
      <w:r>
        <w:rPr>
          <w:spacing w:val="-1"/>
        </w:rPr>
        <w:t> </w:t>
      </w:r>
      <w:r>
        <w:rPr/>
        <w:t>ndikimit</w:t>
      </w:r>
      <w:r>
        <w:rPr>
          <w:spacing w:val="-2"/>
        </w:rPr>
        <w:t> </w:t>
      </w:r>
      <w:r>
        <w:rPr/>
        <w:t>në</w:t>
      </w:r>
      <w:r>
        <w:rPr>
          <w:spacing w:val="-2"/>
        </w:rPr>
        <w:t> </w:t>
      </w:r>
      <w:r>
        <w:rPr/>
        <w:t>mjedis</w:t>
      </w:r>
      <w:r>
        <w:rPr>
          <w:spacing w:val="-2"/>
        </w:rPr>
        <w:t> </w:t>
      </w:r>
      <w:r>
        <w:rPr/>
        <w:t>të</w:t>
      </w:r>
      <w:r>
        <w:rPr>
          <w:spacing w:val="-2"/>
        </w:rPr>
        <w:t> Sharrcemit</w:t>
      </w:r>
    </w:p>
    <w:p>
      <w:pPr>
        <w:tabs>
          <w:tab w:pos="10131" w:val="left" w:leader="none"/>
        </w:tabs>
        <w:spacing w:line="532" w:lineRule="exact" w:before="39"/>
        <w:ind w:left="740" w:right="1406" w:hanging="30"/>
        <w:jc w:val="left"/>
        <w:rPr>
          <w:sz w:val="24"/>
        </w:rPr>
      </w:pPr>
      <w:r>
        <w:rPr>
          <w:b/>
          <w:color w:val="000000"/>
          <w:spacing w:val="-30"/>
          <w:sz w:val="24"/>
          <w:shd w:fill="EAB8A3" w:color="auto" w:val="clear"/>
        </w:rPr>
        <w:t> </w:t>
      </w:r>
      <w:r>
        <w:rPr>
          <w:b/>
          <w:color w:val="000000"/>
          <w:sz w:val="24"/>
          <w:shd w:fill="EAB8A3" w:color="auto" w:val="clear"/>
        </w:rPr>
        <w:t>Grafiku</w:t>
        <w:tab/>
      </w:r>
      <w:r>
        <w:rPr>
          <w:b/>
          <w:color w:val="000000"/>
          <w:sz w:val="24"/>
        </w:rPr>
        <w:t> Grafiku 1</w:t>
      </w:r>
      <w:r>
        <w:rPr>
          <w:color w:val="000000"/>
          <w:sz w:val="24"/>
        </w:rPr>
        <w:t>: Struktura etnike në Komunën e Hani të Elezit</w:t>
      </w:r>
    </w:p>
    <w:p>
      <w:pPr>
        <w:pStyle w:val="BodyText"/>
        <w:spacing w:line="288" w:lineRule="auto"/>
        <w:ind w:left="740" w:right="4427"/>
      </w:pPr>
      <w:r>
        <w:rPr>
          <w:b/>
        </w:rPr>
        <w:t>Grafiku 2: </w:t>
      </w:r>
      <w:r>
        <w:rPr/>
        <w:t>Popullsia në komunën e Hanit të Elezit, 1948-2011 </w:t>
      </w:r>
      <w:r>
        <w:rPr>
          <w:b/>
        </w:rPr>
        <w:t>Grafiku 3: </w:t>
      </w:r>
      <w:r>
        <w:rPr/>
        <w:t>Struktura gjinore në komunën e Hani të Elezit </w:t>
      </w:r>
      <w:r>
        <w:rPr>
          <w:b/>
        </w:rPr>
        <w:t>Grafiku</w:t>
      </w:r>
      <w:r>
        <w:rPr>
          <w:b/>
          <w:spacing w:val="-4"/>
        </w:rPr>
        <w:t> </w:t>
      </w:r>
      <w:r>
        <w:rPr>
          <w:b/>
        </w:rPr>
        <w:t>4</w:t>
      </w:r>
      <w:r>
        <w:rPr/>
        <w:t>:</w:t>
      </w:r>
      <w:r>
        <w:rPr>
          <w:spacing w:val="-5"/>
        </w:rPr>
        <w:t> </w:t>
      </w:r>
      <w:r>
        <w:rPr/>
        <w:t>Shpërndarja</w:t>
      </w:r>
      <w:r>
        <w:rPr>
          <w:spacing w:val="-6"/>
        </w:rPr>
        <w:t> </w:t>
      </w:r>
      <w:r>
        <w:rPr/>
        <w:t>e</w:t>
      </w:r>
      <w:r>
        <w:rPr>
          <w:spacing w:val="-4"/>
        </w:rPr>
        <w:t> </w:t>
      </w:r>
      <w:r>
        <w:rPr/>
        <w:t>moshave</w:t>
      </w:r>
      <w:r>
        <w:rPr>
          <w:spacing w:val="-4"/>
        </w:rPr>
        <w:t> </w:t>
      </w:r>
      <w:r>
        <w:rPr/>
        <w:t>në</w:t>
      </w:r>
      <w:r>
        <w:rPr>
          <w:spacing w:val="-4"/>
        </w:rPr>
        <w:t> </w:t>
      </w:r>
      <w:r>
        <w:rPr/>
        <w:t>komunën</w:t>
      </w:r>
      <w:r>
        <w:rPr>
          <w:spacing w:val="-4"/>
        </w:rPr>
        <w:t> </w:t>
      </w:r>
      <w:r>
        <w:rPr/>
        <w:t>e</w:t>
      </w:r>
      <w:r>
        <w:rPr>
          <w:spacing w:val="-5"/>
        </w:rPr>
        <w:t> </w:t>
      </w:r>
      <w:r>
        <w:rPr/>
        <w:t>Hani</w:t>
      </w:r>
      <w:r>
        <w:rPr>
          <w:spacing w:val="-4"/>
        </w:rPr>
        <w:t> </w:t>
      </w:r>
      <w:r>
        <w:rPr/>
        <w:t>të</w:t>
      </w:r>
      <w:r>
        <w:rPr>
          <w:spacing w:val="40"/>
        </w:rPr>
        <w:t> </w:t>
      </w:r>
      <w:r>
        <w:rPr/>
        <w:t>Elezit </w:t>
      </w:r>
      <w:r>
        <w:rPr>
          <w:b/>
        </w:rPr>
        <w:t>Grafiku 5: </w:t>
      </w:r>
      <w:r>
        <w:rPr/>
        <w:t>Regjistrimi bizneseve sipas llojit të biznesit</w:t>
      </w:r>
    </w:p>
    <w:p>
      <w:pPr>
        <w:pStyle w:val="BodyText"/>
        <w:spacing w:line="275" w:lineRule="exact"/>
        <w:ind w:left="740"/>
      </w:pPr>
      <w:r>
        <w:rPr>
          <w:b/>
        </w:rPr>
        <w:t>Grafiku</w:t>
      </w:r>
      <w:r>
        <w:rPr>
          <w:b/>
          <w:spacing w:val="-7"/>
        </w:rPr>
        <w:t> </w:t>
      </w:r>
      <w:r>
        <w:rPr>
          <w:b/>
        </w:rPr>
        <w:t>6:</w:t>
      </w:r>
      <w:r>
        <w:rPr>
          <w:b/>
          <w:spacing w:val="-7"/>
        </w:rPr>
        <w:t> </w:t>
      </w:r>
      <w:r>
        <w:rPr/>
        <w:t>Regjistrimi</w:t>
      </w:r>
      <w:r>
        <w:rPr>
          <w:spacing w:val="-7"/>
        </w:rPr>
        <w:t> </w:t>
      </w:r>
      <w:r>
        <w:rPr/>
        <w:t>i</w:t>
      </w:r>
      <w:r>
        <w:rPr>
          <w:spacing w:val="-8"/>
        </w:rPr>
        <w:t> </w:t>
      </w:r>
      <w:r>
        <w:rPr/>
        <w:t>pronarëve</w:t>
      </w:r>
      <w:r>
        <w:rPr>
          <w:spacing w:val="-7"/>
        </w:rPr>
        <w:t> </w:t>
      </w:r>
      <w:r>
        <w:rPr/>
        <w:t>të</w:t>
      </w:r>
      <w:r>
        <w:rPr>
          <w:spacing w:val="-7"/>
        </w:rPr>
        <w:t> </w:t>
      </w:r>
      <w:r>
        <w:rPr/>
        <w:t>bizneseve</w:t>
      </w:r>
      <w:r>
        <w:rPr>
          <w:spacing w:val="-8"/>
        </w:rPr>
        <w:t> </w:t>
      </w:r>
      <w:r>
        <w:rPr/>
        <w:t>sipas</w:t>
      </w:r>
      <w:r>
        <w:rPr>
          <w:spacing w:val="-6"/>
        </w:rPr>
        <w:t> </w:t>
      </w:r>
      <w:r>
        <w:rPr>
          <w:spacing w:val="-2"/>
        </w:rPr>
        <w:t>gjinisë</w:t>
      </w:r>
    </w:p>
    <w:p>
      <w:pPr>
        <w:spacing w:before="55"/>
        <w:ind w:left="740" w:right="0" w:firstLine="0"/>
        <w:jc w:val="left"/>
        <w:rPr>
          <w:sz w:val="24"/>
        </w:rPr>
      </w:pPr>
      <w:r>
        <w:rPr>
          <w:b/>
          <w:sz w:val="24"/>
        </w:rPr>
        <w:t>Grafiku</w:t>
      </w:r>
      <w:r>
        <w:rPr>
          <w:b/>
          <w:spacing w:val="-11"/>
          <w:sz w:val="24"/>
        </w:rPr>
        <w:t> </w:t>
      </w:r>
      <w:r>
        <w:rPr>
          <w:b/>
          <w:sz w:val="24"/>
        </w:rPr>
        <w:t>7:</w:t>
      </w:r>
      <w:r>
        <w:rPr>
          <w:b/>
          <w:spacing w:val="-10"/>
          <w:sz w:val="24"/>
        </w:rPr>
        <w:t> </w:t>
      </w:r>
      <w:r>
        <w:rPr>
          <w:sz w:val="24"/>
        </w:rPr>
        <w:t>Regjistrimi</w:t>
      </w:r>
      <w:r>
        <w:rPr>
          <w:spacing w:val="-11"/>
          <w:sz w:val="24"/>
        </w:rPr>
        <w:t> </w:t>
      </w:r>
      <w:r>
        <w:rPr>
          <w:sz w:val="24"/>
        </w:rPr>
        <w:t>bizneseve</w:t>
      </w:r>
      <w:r>
        <w:rPr>
          <w:spacing w:val="-10"/>
          <w:sz w:val="24"/>
        </w:rPr>
        <w:t> </w:t>
      </w:r>
      <w:r>
        <w:rPr>
          <w:sz w:val="24"/>
        </w:rPr>
        <w:t>2019-</w:t>
      </w:r>
      <w:r>
        <w:rPr>
          <w:spacing w:val="-4"/>
          <w:sz w:val="24"/>
        </w:rPr>
        <w:t>2022</w:t>
      </w:r>
    </w:p>
    <w:p>
      <w:pPr>
        <w:pStyle w:val="BodyText"/>
        <w:spacing w:line="288" w:lineRule="auto" w:before="55"/>
        <w:ind w:left="740" w:right="2474"/>
      </w:pPr>
      <w:r>
        <w:rPr>
          <w:b/>
        </w:rPr>
        <w:t>Grafiku 8: </w:t>
      </w:r>
      <w:r>
        <w:rPr/>
        <w:t>Numri i stafit në institucionet publike parauniversitare, 2018-2022 </w:t>
      </w:r>
      <w:r>
        <w:rPr>
          <w:b/>
        </w:rPr>
        <w:t>Grafiku</w:t>
      </w:r>
      <w:r>
        <w:rPr>
          <w:b/>
          <w:spacing w:val="-5"/>
        </w:rPr>
        <w:t> </w:t>
      </w:r>
      <w:r>
        <w:rPr>
          <w:b/>
        </w:rPr>
        <w:t>9:</w:t>
      </w:r>
      <w:r>
        <w:rPr>
          <w:b/>
          <w:spacing w:val="-5"/>
        </w:rPr>
        <w:t> </w:t>
      </w:r>
      <w:r>
        <w:rPr/>
        <w:t>Numri</w:t>
      </w:r>
      <w:r>
        <w:rPr>
          <w:spacing w:val="-5"/>
        </w:rPr>
        <w:t> </w:t>
      </w:r>
      <w:r>
        <w:rPr/>
        <w:t>i</w:t>
      </w:r>
      <w:r>
        <w:rPr>
          <w:spacing w:val="-5"/>
        </w:rPr>
        <w:t> </w:t>
      </w:r>
      <w:r>
        <w:rPr/>
        <w:t>nxënësve</w:t>
      </w:r>
      <w:r>
        <w:rPr>
          <w:spacing w:val="-5"/>
        </w:rPr>
        <w:t> </w:t>
      </w:r>
      <w:r>
        <w:rPr/>
        <w:t>në</w:t>
      </w:r>
      <w:r>
        <w:rPr>
          <w:spacing w:val="-5"/>
        </w:rPr>
        <w:t> </w:t>
      </w:r>
      <w:r>
        <w:rPr/>
        <w:t>institucionet</w:t>
      </w:r>
      <w:r>
        <w:rPr>
          <w:spacing w:val="-5"/>
        </w:rPr>
        <w:t> </w:t>
      </w:r>
      <w:r>
        <w:rPr/>
        <w:t>publike</w:t>
      </w:r>
      <w:r>
        <w:rPr>
          <w:spacing w:val="-5"/>
        </w:rPr>
        <w:t> </w:t>
      </w:r>
      <w:r>
        <w:rPr/>
        <w:t>parauniversitare,</w:t>
      </w:r>
      <w:r>
        <w:rPr>
          <w:spacing w:val="-4"/>
        </w:rPr>
        <w:t> </w:t>
      </w:r>
      <w:r>
        <w:rPr/>
        <w:t>2018-2022 </w:t>
      </w:r>
      <w:r>
        <w:rPr>
          <w:b/>
        </w:rPr>
        <w:t>Grafiku 10: </w:t>
      </w:r>
      <w:r>
        <w:rPr/>
        <w:t>Buxheti i komunës së Hanit të Elezit për vitet 2021-2025</w:t>
      </w:r>
    </w:p>
    <w:p>
      <w:pPr>
        <w:spacing w:after="0" w:line="288" w:lineRule="auto"/>
        <w:sectPr>
          <w:pgSz w:w="12240" w:h="15840"/>
          <w:pgMar w:header="0" w:footer="990" w:top="1380" w:bottom="1180" w:left="700" w:right="0"/>
        </w:sectPr>
      </w:pPr>
    </w:p>
    <w:p>
      <w:pPr>
        <w:pStyle w:val="ListParagraph"/>
        <w:numPr>
          <w:ilvl w:val="0"/>
          <w:numId w:val="4"/>
        </w:numPr>
        <w:tabs>
          <w:tab w:pos="2734" w:val="left" w:leader="none"/>
        </w:tabs>
        <w:spacing w:line="240" w:lineRule="auto" w:before="165" w:after="0"/>
        <w:ind w:left="2733" w:right="0" w:hanging="361"/>
        <w:jc w:val="left"/>
        <w:rPr>
          <w:b/>
          <w:color w:val="FFFFFF"/>
          <w:sz w:val="36"/>
        </w:rPr>
      </w:pPr>
      <w:r>
        <w:rPr/>
        <w:pict>
          <v:group style="position:absolute;margin-left:-.5pt;margin-top:-.503pt;width:612.2pt;height:52.6pt;mso-position-horizontal-relative:page;mso-position-vertical-relative:page;z-index:-19993088" id="docshapegroup24" coordorigin="-10,-10" coordsize="12244,1052">
            <v:rect style="position:absolute;left:0;top:-1;width:7067;height:1027" id="docshape25" filled="true" fillcolor="#f8caac" stroked="false">
              <v:fill type="solid"/>
            </v:rect>
            <v:rect style="position:absolute;left:0;top:-1;width:7067;height:1027" id="docshape26" filled="false" stroked="true" strokeweight="1pt" strokecolor="#f8caac">
              <v:stroke dashstyle="solid"/>
            </v:rect>
            <v:rect style="position:absolute;left:7077;top:-1;width:5147;height:547" id="docshape27" filled="true" fillcolor="#f8caac" stroked="false">
              <v:fill type="solid"/>
            </v:rect>
            <v:rect style="position:absolute;left:7077;top:-1;width:5147;height:547" id="docshape28" filled="false" stroked="true" strokeweight="1pt" strokecolor="#f8caac">
              <v:stroke dashstyle="solid"/>
            </v:rect>
            <v:shape style="position:absolute;left:5651;top:13;width:2820;height:1018" id="docshape29" coordorigin="5651,14" coordsize="2820,1018" path="m8471,14l6772,14,5651,1031,7350,1031,8471,14xe" filled="true" fillcolor="#f8caac" stroked="false">
              <v:path arrowok="t"/>
              <v:fill type="solid"/>
            </v:shape>
            <v:shape style="position:absolute;left:5651;top:13;width:2820;height:1018" id="docshape30" coordorigin="5651,14" coordsize="2820,1018" path="m5651,1031l6772,14,8471,14,7350,1031,5651,1031xe" filled="false" stroked="true" strokeweight="1pt" strokecolor="#f8caac">
              <v:path arrowok="t"/>
              <v:stroke dashstyle="solid"/>
            </v:shape>
            <w10:wrap type="none"/>
          </v:group>
        </w:pict>
      </w:r>
      <w:r>
        <w:rPr>
          <w:b/>
          <w:color w:val="FFFFFF"/>
          <w:spacing w:val="-2"/>
          <w:sz w:val="36"/>
        </w:rPr>
        <w:t>Hyrja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BodyText"/>
        <w:spacing w:line="288" w:lineRule="auto" w:before="90"/>
        <w:ind w:left="1100" w:right="1437"/>
        <w:jc w:val="both"/>
      </w:pPr>
      <w:r>
        <w:rPr/>
        <w:t>Zhvillimi i qëndrueshëm urban i një vendi, me rini që janë të orientuar nga inovacioni dhe teknologjia, promovimi i potencialeve dhe resurseve natyrore pa ndikuar negativisht në ambient,</w:t>
      </w:r>
      <w:r>
        <w:rPr>
          <w:spacing w:val="-13"/>
        </w:rPr>
        <w:t> </w:t>
      </w:r>
      <w:r>
        <w:rPr/>
        <w:t>përkrahje</w:t>
      </w:r>
      <w:r>
        <w:rPr>
          <w:spacing w:val="-13"/>
        </w:rPr>
        <w:t> </w:t>
      </w:r>
      <w:r>
        <w:rPr/>
        <w:t>të</w:t>
      </w:r>
      <w:r>
        <w:rPr>
          <w:spacing w:val="-14"/>
        </w:rPr>
        <w:t> </w:t>
      </w:r>
      <w:r>
        <w:rPr/>
        <w:t>bizneseve</w:t>
      </w:r>
      <w:r>
        <w:rPr>
          <w:spacing w:val="-13"/>
        </w:rPr>
        <w:t> </w:t>
      </w:r>
      <w:r>
        <w:rPr/>
        <w:t>dhe</w:t>
      </w:r>
      <w:r>
        <w:rPr>
          <w:spacing w:val="-13"/>
        </w:rPr>
        <w:t> </w:t>
      </w:r>
      <w:r>
        <w:rPr/>
        <w:t>industrisë</w:t>
      </w:r>
      <w:r>
        <w:rPr>
          <w:spacing w:val="-13"/>
        </w:rPr>
        <w:t> </w:t>
      </w:r>
      <w:r>
        <w:rPr/>
        <w:t>në</w:t>
      </w:r>
      <w:r>
        <w:rPr>
          <w:spacing w:val="-13"/>
        </w:rPr>
        <w:t> </w:t>
      </w:r>
      <w:r>
        <w:rPr/>
        <w:t>tërësi</w:t>
      </w:r>
      <w:r>
        <w:rPr>
          <w:spacing w:val="-13"/>
        </w:rPr>
        <w:t> </w:t>
      </w:r>
      <w:r>
        <w:rPr/>
        <w:t>e</w:t>
      </w:r>
      <w:r>
        <w:rPr>
          <w:spacing w:val="-13"/>
        </w:rPr>
        <w:t> </w:t>
      </w:r>
      <w:r>
        <w:rPr/>
        <w:t>përbëjnë</w:t>
      </w:r>
      <w:r>
        <w:rPr>
          <w:spacing w:val="-12"/>
        </w:rPr>
        <w:t> </w:t>
      </w:r>
      <w:r>
        <w:rPr/>
        <w:t>procesin</w:t>
      </w:r>
      <w:r>
        <w:rPr>
          <w:spacing w:val="-14"/>
        </w:rPr>
        <w:t> </w:t>
      </w:r>
      <w:r>
        <w:rPr/>
        <w:t>zhvillim</w:t>
      </w:r>
      <w:r>
        <w:rPr>
          <w:spacing w:val="-13"/>
        </w:rPr>
        <w:t> </w:t>
      </w:r>
      <w:r>
        <w:rPr/>
        <w:t>ekonomik të një vendi, me qëllim të gjenerimit të vendeve të reja të punës.</w:t>
      </w:r>
    </w:p>
    <w:p>
      <w:pPr>
        <w:pStyle w:val="BodyText"/>
        <w:spacing w:line="288" w:lineRule="auto" w:before="1"/>
        <w:ind w:left="1100" w:right="1438"/>
        <w:jc w:val="both"/>
      </w:pPr>
      <w:r>
        <w:rPr/>
        <w:t>Strategjia e zhvillimit ekonomik lokal është një dokument që prezanton përcaktimin e synimeve, qëllimet strategjike, sfidave që përballet vendi, objektivat e së ardhmes, buxhetin dhe</w:t>
      </w:r>
      <w:r>
        <w:rPr>
          <w:spacing w:val="-15"/>
        </w:rPr>
        <w:t> </w:t>
      </w:r>
      <w:r>
        <w:rPr/>
        <w:t>proceset</w:t>
      </w:r>
      <w:r>
        <w:rPr>
          <w:spacing w:val="-15"/>
        </w:rPr>
        <w:t> </w:t>
      </w:r>
      <w:r>
        <w:rPr/>
        <w:t>e</w:t>
      </w:r>
      <w:r>
        <w:rPr>
          <w:spacing w:val="-15"/>
        </w:rPr>
        <w:t> </w:t>
      </w:r>
      <w:r>
        <w:rPr/>
        <w:t>vlerësimit</w:t>
      </w:r>
      <w:r>
        <w:rPr>
          <w:spacing w:val="-15"/>
        </w:rPr>
        <w:t> </w:t>
      </w:r>
      <w:r>
        <w:rPr/>
        <w:t>të</w:t>
      </w:r>
      <w:r>
        <w:rPr>
          <w:spacing w:val="-15"/>
        </w:rPr>
        <w:t> </w:t>
      </w:r>
      <w:r>
        <w:rPr/>
        <w:t>projekteve,</w:t>
      </w:r>
      <w:r>
        <w:rPr>
          <w:spacing w:val="-15"/>
        </w:rPr>
        <w:t> </w:t>
      </w:r>
      <w:r>
        <w:rPr/>
        <w:t>duke</w:t>
      </w:r>
      <w:r>
        <w:rPr>
          <w:spacing w:val="-14"/>
        </w:rPr>
        <w:t> </w:t>
      </w:r>
      <w:r>
        <w:rPr/>
        <w:t>zhvilluar</w:t>
      </w:r>
      <w:r>
        <w:rPr>
          <w:spacing w:val="-15"/>
        </w:rPr>
        <w:t> </w:t>
      </w:r>
      <w:r>
        <w:rPr/>
        <w:t>një</w:t>
      </w:r>
      <w:r>
        <w:rPr>
          <w:spacing w:val="-14"/>
        </w:rPr>
        <w:t> </w:t>
      </w:r>
      <w:r>
        <w:rPr/>
        <w:t>vizion</w:t>
      </w:r>
      <w:r>
        <w:rPr>
          <w:spacing w:val="-15"/>
        </w:rPr>
        <w:t> </w:t>
      </w:r>
      <w:r>
        <w:rPr/>
        <w:t>afatgjatë</w:t>
      </w:r>
      <w:r>
        <w:rPr>
          <w:spacing w:val="-12"/>
        </w:rPr>
        <w:t> </w:t>
      </w:r>
      <w:r>
        <w:rPr/>
        <w:t>të</w:t>
      </w:r>
      <w:r>
        <w:rPr>
          <w:spacing w:val="-15"/>
        </w:rPr>
        <w:t> </w:t>
      </w:r>
      <w:r>
        <w:rPr/>
        <w:t>Komunës</w:t>
      </w:r>
      <w:r>
        <w:rPr>
          <w:spacing w:val="-15"/>
        </w:rPr>
        <w:t> </w:t>
      </w:r>
      <w:r>
        <w:rPr/>
        <w:t>së</w:t>
      </w:r>
      <w:r>
        <w:rPr>
          <w:spacing w:val="-14"/>
        </w:rPr>
        <w:t> </w:t>
      </w:r>
      <w:r>
        <w:rPr/>
        <w:t>Hanit të Elezit. Ajo ka rëndësinë e një materiali largpamës dhe vizionar duke tentuar drejtë një zhvillimi të qëndrueshëm ndërmjet shfrytëzimit të potencialeve poseduese.</w:t>
      </w:r>
    </w:p>
    <w:p>
      <w:pPr>
        <w:pStyle w:val="BodyText"/>
        <w:spacing w:line="288" w:lineRule="auto"/>
        <w:ind w:left="1100" w:right="1437"/>
        <w:jc w:val="both"/>
      </w:pPr>
      <w:r>
        <w:rPr/>
        <w:t>Përmes këtij dokumenti strategjik Komuna e Hanit të Elezit paraqet një planifikim gjithëpërfshirës për një orientim drejtë një zhvillimi të qëndrueshëm duke prekur të gjithë sektorët që do të ndikojnë për një periudhe kohore, 2023-2027. Vizioni për pesë vitet e ardhshme e projekton Hanin e Elezit si një qytet relativisht të ri por njëkohësisht mjaftë të zhvilluar duke rigjeneruar zonat urbane, zhvillim të balancuar, arsim cilësor, kushte</w:t>
      </w:r>
      <w:r>
        <w:rPr>
          <w:spacing w:val="-1"/>
        </w:rPr>
        <w:t> </w:t>
      </w:r>
      <w:r>
        <w:rPr/>
        <w:t>shumë të mira shëndetësore, infrastrukturë të përmirësuar teknike duke siguruar një mirëqenie për të </w:t>
      </w:r>
      <w:r>
        <w:rPr>
          <w:spacing w:val="-2"/>
        </w:rPr>
        <w:t>gjithë.</w:t>
      </w:r>
    </w:p>
    <w:p>
      <w:pPr>
        <w:pStyle w:val="BodyText"/>
        <w:spacing w:line="288" w:lineRule="auto"/>
        <w:ind w:left="1100" w:right="1442"/>
        <w:jc w:val="both"/>
      </w:pPr>
      <w:r>
        <w:rPr/>
        <w:t>Institucioni duhet të strukturojë dhe menaxhojë administratën e saj, buxhetin dhe proceset e planifikimit për t'i dhënë përparësi nevojave themelore të komunitetit dhe të promovojnë zhvillimin social dhe ekonomik të saj.</w:t>
      </w:r>
    </w:p>
    <w:p>
      <w:pPr>
        <w:spacing w:after="0" w:line="288" w:lineRule="auto"/>
        <w:jc w:val="both"/>
        <w:sectPr>
          <w:pgSz w:w="12240" w:h="15840"/>
          <w:pgMar w:header="0" w:footer="990" w:top="0" w:bottom="1180" w:left="700" w:right="0"/>
        </w:sectPr>
      </w:pPr>
    </w:p>
    <w:p>
      <w:pPr>
        <w:pStyle w:val="BodyText"/>
        <w:spacing w:before="5"/>
        <w:rPr>
          <w:sz w:val="10"/>
        </w:rPr>
      </w:pPr>
      <w:r>
        <w:rPr/>
        <w:pict>
          <v:group style="position:absolute;margin-left:.25pt;margin-top:.247pt;width:612.2pt;height:52.6pt;mso-position-horizontal-relative:page;mso-position-vertical-relative:page;z-index:-19991040" id="docshapegroup31" coordorigin="5,5" coordsize="12244,1052">
            <v:rect style="position:absolute;left:15;top:14;width:7067;height:1027" id="docshape32" filled="true" fillcolor="#f8caac" stroked="false">
              <v:fill type="solid"/>
            </v:rect>
            <v:rect style="position:absolute;left:15;top:14;width:7067;height:1027" id="docshape33" filled="false" stroked="true" strokeweight="1pt" strokecolor="#f8caac">
              <v:stroke dashstyle="solid"/>
            </v:rect>
            <v:rect style="position:absolute;left:7092;top:14;width:5147;height:547" id="docshape34" filled="true" fillcolor="#f8caac" stroked="false">
              <v:fill type="solid"/>
            </v:rect>
            <v:rect style="position:absolute;left:7092;top:14;width:5147;height:547" id="docshape35" filled="false" stroked="true" strokeweight="1pt" strokecolor="#f8caac">
              <v:stroke dashstyle="solid"/>
            </v:rect>
            <v:shape style="position:absolute;left:5666;top:28;width:2820;height:1018" id="docshape36" coordorigin="5666,29" coordsize="2820,1018" path="m8486,29l6787,29,5666,1046,7365,1046,8486,29xe" filled="true" fillcolor="#f8caac" stroked="false">
              <v:path arrowok="t"/>
              <v:fill type="solid"/>
            </v:shape>
            <v:shape style="position:absolute;left:5666;top:28;width:2820;height:1018" id="docshape37" coordorigin="5666,29" coordsize="2820,1018" path="m5666,1046l6787,29,8486,29,7365,1046,5666,1046xe" filled="false" stroked="true" strokeweight="1pt" strokecolor="#f8caac">
              <v:path arrowok="t"/>
              <v:stroke dashstyle="solid"/>
            </v:shape>
            <w10:wrap type="none"/>
          </v:group>
        </w:pict>
      </w:r>
    </w:p>
    <w:p>
      <w:pPr>
        <w:tabs>
          <w:tab w:pos="2705" w:val="left" w:leader="none"/>
        </w:tabs>
        <w:spacing w:before="87"/>
        <w:ind w:left="1986" w:right="0" w:firstLine="0"/>
        <w:jc w:val="left"/>
        <w:rPr>
          <w:sz w:val="32"/>
        </w:rPr>
      </w:pPr>
      <w:r>
        <w:rPr>
          <w:color w:val="FFFFFF"/>
          <w:spacing w:val="-4"/>
          <w:sz w:val="32"/>
        </w:rPr>
        <w:t>2.1.</w:t>
      </w:r>
      <w:r>
        <w:rPr>
          <w:color w:val="FFFFFF"/>
          <w:sz w:val="32"/>
        </w:rPr>
        <w:tab/>
      </w:r>
      <w:r>
        <w:rPr>
          <w:color w:val="FFFFFF"/>
          <w:spacing w:val="-2"/>
          <w:sz w:val="32"/>
        </w:rPr>
        <w:t>Metodologjia</w:t>
      </w:r>
    </w:p>
    <w:p>
      <w:pPr>
        <w:pStyle w:val="BodyText"/>
        <w:rPr>
          <w:sz w:val="20"/>
        </w:rPr>
      </w:pPr>
    </w:p>
    <w:p>
      <w:pPr>
        <w:pStyle w:val="BodyText"/>
        <w:rPr>
          <w:sz w:val="20"/>
        </w:rPr>
      </w:pPr>
    </w:p>
    <w:p>
      <w:pPr>
        <w:pStyle w:val="BodyText"/>
        <w:spacing w:before="5"/>
        <w:rPr>
          <w:sz w:val="27"/>
        </w:rPr>
      </w:pPr>
    </w:p>
    <w:p>
      <w:pPr>
        <w:pStyle w:val="BodyText"/>
        <w:spacing w:line="288" w:lineRule="auto" w:before="90"/>
        <w:ind w:left="740" w:right="1437"/>
        <w:jc w:val="both"/>
      </w:pPr>
      <w:r>
        <w:rPr/>
        <w:t>Me</w:t>
      </w:r>
      <w:r>
        <w:rPr>
          <w:spacing w:val="-4"/>
        </w:rPr>
        <w:t> </w:t>
      </w:r>
      <w:r>
        <w:rPr/>
        <w:t>rekomandim</w:t>
      </w:r>
      <w:r>
        <w:rPr>
          <w:spacing w:val="-4"/>
        </w:rPr>
        <w:t> </w:t>
      </w:r>
      <w:r>
        <w:rPr/>
        <w:t>të</w:t>
      </w:r>
      <w:r>
        <w:rPr>
          <w:spacing w:val="-3"/>
        </w:rPr>
        <w:t> </w:t>
      </w:r>
      <w:r>
        <w:rPr/>
        <w:t>Drejtorisë</w:t>
      </w:r>
      <w:r>
        <w:rPr>
          <w:spacing w:val="-4"/>
        </w:rPr>
        <w:t> </w:t>
      </w:r>
      <w:r>
        <w:rPr/>
        <w:t>për</w:t>
      </w:r>
      <w:r>
        <w:rPr>
          <w:spacing w:val="-4"/>
        </w:rPr>
        <w:t> </w:t>
      </w:r>
      <w:r>
        <w:rPr/>
        <w:t>Zhvillim</w:t>
      </w:r>
      <w:r>
        <w:rPr>
          <w:spacing w:val="-4"/>
        </w:rPr>
        <w:t> </w:t>
      </w:r>
      <w:r>
        <w:rPr/>
        <w:t>Ekonomik</w:t>
      </w:r>
      <w:r>
        <w:rPr>
          <w:spacing w:val="-5"/>
        </w:rPr>
        <w:t> </w:t>
      </w:r>
      <w:r>
        <w:rPr/>
        <w:t>pranë</w:t>
      </w:r>
      <w:r>
        <w:rPr>
          <w:spacing w:val="-6"/>
        </w:rPr>
        <w:t> </w:t>
      </w:r>
      <w:r>
        <w:rPr/>
        <w:t>Komunës</w:t>
      </w:r>
      <w:r>
        <w:rPr>
          <w:spacing w:val="-4"/>
        </w:rPr>
        <w:t> </w:t>
      </w:r>
      <w:r>
        <w:rPr/>
        <w:t>së</w:t>
      </w:r>
      <w:r>
        <w:rPr>
          <w:spacing w:val="-5"/>
        </w:rPr>
        <w:t> </w:t>
      </w:r>
      <w:r>
        <w:rPr/>
        <w:t>Hanit</w:t>
      </w:r>
      <w:r>
        <w:rPr>
          <w:spacing w:val="-3"/>
        </w:rPr>
        <w:t> </w:t>
      </w:r>
      <w:r>
        <w:rPr/>
        <w:t>të</w:t>
      </w:r>
      <w:r>
        <w:rPr>
          <w:spacing w:val="-4"/>
        </w:rPr>
        <w:t> </w:t>
      </w:r>
      <w:r>
        <w:rPr/>
        <w:t>Elezit,</w:t>
      </w:r>
      <w:r>
        <w:rPr>
          <w:spacing w:val="-5"/>
        </w:rPr>
        <w:t> </w:t>
      </w:r>
      <w:r>
        <w:rPr/>
        <w:t>Kryetari i Komunës ka themeluar grupin punues për hartimin e Strategjisë për Zhvillim Ekonomik në të cilin janë përfshire të gjitha grupet e interest. Në këtë strukturë kanë qenë pjesëmarrës drejtoritë komunale,</w:t>
      </w:r>
      <w:r>
        <w:rPr>
          <w:spacing w:val="-7"/>
        </w:rPr>
        <w:t> </w:t>
      </w:r>
      <w:r>
        <w:rPr/>
        <w:t>zyrtar</w:t>
      </w:r>
      <w:r>
        <w:rPr>
          <w:spacing w:val="-7"/>
        </w:rPr>
        <w:t> </w:t>
      </w:r>
      <w:r>
        <w:rPr/>
        <w:t>komunal,</w:t>
      </w:r>
      <w:r>
        <w:rPr>
          <w:spacing w:val="-7"/>
        </w:rPr>
        <w:t> </w:t>
      </w:r>
      <w:r>
        <w:rPr/>
        <w:t>organizata</w:t>
      </w:r>
      <w:r>
        <w:rPr>
          <w:spacing w:val="-7"/>
        </w:rPr>
        <w:t> </w:t>
      </w:r>
      <w:r>
        <w:rPr/>
        <w:t>joqeveritare,</w:t>
      </w:r>
      <w:r>
        <w:rPr>
          <w:spacing w:val="-7"/>
        </w:rPr>
        <w:t> </w:t>
      </w:r>
      <w:r>
        <w:rPr/>
        <w:t>agjenci</w:t>
      </w:r>
      <w:r>
        <w:rPr>
          <w:spacing w:val="-6"/>
        </w:rPr>
        <w:t> </w:t>
      </w:r>
      <w:r>
        <w:rPr/>
        <w:t>zhvillimore,</w:t>
      </w:r>
      <w:r>
        <w:rPr>
          <w:spacing w:val="-6"/>
        </w:rPr>
        <w:t> </w:t>
      </w:r>
      <w:r>
        <w:rPr/>
        <w:t>përfaqësues</w:t>
      </w:r>
      <w:r>
        <w:rPr>
          <w:spacing w:val="-7"/>
        </w:rPr>
        <w:t> </w:t>
      </w:r>
      <w:r>
        <w:rPr/>
        <w:t>të</w:t>
      </w:r>
      <w:r>
        <w:rPr>
          <w:spacing w:val="-9"/>
        </w:rPr>
        <w:t> </w:t>
      </w:r>
      <w:r>
        <w:rPr/>
        <w:t>bizneseve, konsulentë të jashtëm dhe pjesë të shoqerisë civile.</w:t>
      </w:r>
    </w:p>
    <w:p>
      <w:pPr>
        <w:pStyle w:val="BodyText"/>
        <w:spacing w:line="288" w:lineRule="auto" w:before="201"/>
        <w:ind w:left="740" w:right="1444"/>
        <w:jc w:val="both"/>
      </w:pPr>
      <w:r>
        <w:rPr/>
        <w:t>Për hartimin e këtij dokumenti, udhëheqesi i grupit, ka përgatitur planin e hartimit të tij e që ka përfshirë këto faza:</w:t>
      </w:r>
    </w:p>
    <w:p>
      <w:pPr>
        <w:pStyle w:val="BodyText"/>
        <w:spacing w:before="10"/>
        <w:rPr>
          <w:sz w:val="17"/>
        </w:rPr>
      </w:pPr>
      <w:r>
        <w:rPr/>
        <w:pict>
          <v:group style="position:absolute;margin-left:116.5pt;margin-top:11.490166pt;width:375pt;height:103.15pt;mso-position-horizontal-relative:page;mso-position-vertical-relative:paragraph;z-index:-15725056;mso-wrap-distance-left:0;mso-wrap-distance-right:0" id="docshapegroup38" coordorigin="2330,230" coordsize="7500,2063">
            <v:shape style="position:absolute;left:5336;top:229;width:4494;height:978" id="docshape39" coordorigin="5336,230" coordsize="4494,978" path="m9341,230l9341,352,5336,352,5336,1085,9341,1085,9341,1207,9830,718,9341,230xe" filled="true" fillcolor="#e8d1cd" stroked="false">
              <v:path arrowok="t"/>
              <v:fill opacity="59110f" type="solid"/>
            </v:shape>
            <v:shape style="position:absolute;left:2340;top:260;width:2996;height:978" id="docshape40" coordorigin="2340,260" coordsize="2996,978" path="m5173,260l2503,260,2439,273,2388,308,2353,360,2340,423,2340,1075,2353,1138,2388,1190,2439,1225,2503,1237,5173,1237,5237,1225,5288,1190,5323,1138,5336,1075,5336,423,5323,360,5288,308,5237,273,5173,260xe" filled="true" fillcolor="#bc572c" stroked="false">
              <v:path arrowok="t"/>
              <v:fill opacity="59110f" type="solid"/>
            </v:shape>
            <v:shape style="position:absolute;left:2340;top:260;width:2996;height:978" id="docshape41" coordorigin="2340,260" coordsize="2996,978" path="m2340,423l2353,360,2388,308,2439,273,2503,260,5173,260,5237,273,5288,308,5323,360,5336,423,5336,1075,5323,1138,5288,1190,5237,1225,5173,1237,2503,1237,2439,1225,2388,1190,2353,1138,2340,1075,2340,423xe" filled="false" stroked="true" strokeweight="1pt" strokecolor="#ffffff">
              <v:path arrowok="t"/>
              <v:stroke dashstyle="solid"/>
            </v:shape>
            <v:shape style="position:absolute;left:5336;top:1304;width:4494;height:978" id="docshape42" coordorigin="5336,1305" coordsize="4494,978" path="m9341,1305l9341,1427,5336,1427,5336,2160,9341,2160,9341,2282,9830,1793,9341,1305xe" filled="true" fillcolor="#e8d1cd" stroked="false">
              <v:path arrowok="t"/>
              <v:fill opacity="59110f" type="solid"/>
            </v:shape>
            <v:shape style="position:absolute;left:2340;top:1304;width:2996;height:978" id="docshape43" coordorigin="2340,1305" coordsize="2996,978" path="m5173,1305l2503,1305,2439,1318,2388,1353,2353,1404,2340,1468,2340,2119,2353,2183,2388,2234,2439,2269,2503,2282,5173,2282,5237,2269,5288,2234,5323,2183,5336,2119,5336,1468,5323,1404,5288,1353,5237,1318,5173,1305xe" filled="true" fillcolor="#bc572c" stroked="false">
              <v:path arrowok="t"/>
              <v:fill opacity="50372f" type="solid"/>
            </v:shape>
            <v:shape style="position:absolute;left:2340;top:1304;width:2996;height:978" id="docshape44" coordorigin="2340,1305" coordsize="2996,978" path="m2340,1468l2353,1404,2388,1353,2439,1318,2503,1305,5173,1305,5237,1318,5288,1353,5323,1404,5336,1468,5336,2119,5323,2183,5288,2234,5237,2269,5173,2282,2503,2282,2439,2269,2388,2234,2353,2183,2340,2119,2340,1468xe" filled="false" stroked="true" strokeweight="1pt" strokecolor="#ffffff">
              <v:path arrowok="t"/>
              <v:stroke dashstyle="solid"/>
            </v:shape>
            <v:shape style="position:absolute;left:2612;top:483;width:2472;height:515" type="#_x0000_t202" id="docshape45" filled="false" stroked="false">
              <v:textbox inset="0,0,0,0">
                <w:txbxContent>
                  <w:p>
                    <w:pPr>
                      <w:spacing w:line="216" w:lineRule="auto" w:before="12"/>
                      <w:ind w:left="660" w:right="15" w:hanging="660"/>
                      <w:jc w:val="left"/>
                      <w:rPr>
                        <w:sz w:val="24"/>
                      </w:rPr>
                    </w:pPr>
                    <w:r>
                      <w:rPr>
                        <w:color w:val="FFFFFF"/>
                        <w:sz w:val="24"/>
                      </w:rPr>
                      <w:t>ANALIZA</w:t>
                    </w:r>
                    <w:r>
                      <w:rPr>
                        <w:color w:val="FFFFFF"/>
                        <w:spacing w:val="-15"/>
                        <w:sz w:val="24"/>
                      </w:rPr>
                      <w:t> </w:t>
                    </w:r>
                    <w:r>
                      <w:rPr>
                        <w:color w:val="FFFFFF"/>
                        <w:sz w:val="24"/>
                      </w:rPr>
                      <w:t>E</w:t>
                    </w:r>
                    <w:r>
                      <w:rPr>
                        <w:color w:val="FFFFFF"/>
                        <w:spacing w:val="-15"/>
                        <w:sz w:val="24"/>
                      </w:rPr>
                      <w:t> </w:t>
                    </w:r>
                    <w:r>
                      <w:rPr>
                        <w:color w:val="FFFFFF"/>
                        <w:sz w:val="24"/>
                      </w:rPr>
                      <w:t>GJENDJES </w:t>
                    </w:r>
                    <w:r>
                      <w:rPr>
                        <w:color w:val="FFFFFF"/>
                        <w:spacing w:val="-2"/>
                        <w:sz w:val="24"/>
                      </w:rPr>
                      <w:t>AKTUALE</w:t>
                    </w:r>
                  </w:p>
                </w:txbxContent>
              </v:textbox>
              <w10:wrap type="none"/>
            </v:shape>
            <v:shape style="position:absolute;left:5343;top:370;width:1630;height:500" type="#_x0000_t202" id="docshape46" filled="false" stroked="false">
              <v:textbox inset="0,0,0,0">
                <w:txbxContent>
                  <w:p>
                    <w:pPr>
                      <w:numPr>
                        <w:ilvl w:val="0"/>
                        <w:numId w:val="5"/>
                      </w:numPr>
                      <w:tabs>
                        <w:tab w:pos="90" w:val="left" w:leader="none"/>
                      </w:tabs>
                      <w:spacing w:line="143" w:lineRule="exact" w:before="0"/>
                      <w:ind w:left="90" w:right="0" w:hanging="90"/>
                      <w:jc w:val="left"/>
                      <w:rPr>
                        <w:rFonts w:ascii="Calibri"/>
                        <w:sz w:val="14"/>
                      </w:rPr>
                    </w:pPr>
                    <w:r>
                      <w:rPr>
                        <w:rFonts w:ascii="Calibri"/>
                        <w:sz w:val="14"/>
                      </w:rPr>
                      <w:t>GRUPI</w:t>
                    </w:r>
                    <w:r>
                      <w:rPr>
                        <w:rFonts w:ascii="Calibri"/>
                        <w:spacing w:val="-3"/>
                        <w:sz w:val="14"/>
                      </w:rPr>
                      <w:t> </w:t>
                    </w:r>
                    <w:r>
                      <w:rPr>
                        <w:rFonts w:ascii="Calibri"/>
                        <w:spacing w:val="-2"/>
                        <w:sz w:val="14"/>
                      </w:rPr>
                      <w:t>PUNUES</w:t>
                    </w:r>
                  </w:p>
                  <w:p>
                    <w:pPr>
                      <w:numPr>
                        <w:ilvl w:val="0"/>
                        <w:numId w:val="5"/>
                      </w:numPr>
                      <w:tabs>
                        <w:tab w:pos="90" w:val="left" w:leader="none"/>
                      </w:tabs>
                      <w:spacing w:before="8"/>
                      <w:ind w:left="90" w:right="0" w:hanging="90"/>
                      <w:jc w:val="left"/>
                      <w:rPr>
                        <w:rFonts w:ascii="Calibri" w:hAnsi="Calibri"/>
                        <w:sz w:val="14"/>
                      </w:rPr>
                    </w:pPr>
                    <w:r>
                      <w:rPr>
                        <w:rFonts w:ascii="Calibri" w:hAnsi="Calibri"/>
                        <w:sz w:val="14"/>
                      </w:rPr>
                      <w:t>MBLEDHJA</w:t>
                    </w:r>
                    <w:r>
                      <w:rPr>
                        <w:rFonts w:ascii="Calibri" w:hAnsi="Calibri"/>
                        <w:spacing w:val="-3"/>
                        <w:sz w:val="14"/>
                      </w:rPr>
                      <w:t> </w:t>
                    </w:r>
                    <w:r>
                      <w:rPr>
                        <w:rFonts w:ascii="Calibri" w:hAnsi="Calibri"/>
                        <w:sz w:val="14"/>
                      </w:rPr>
                      <w:t>E</w:t>
                    </w:r>
                    <w:r>
                      <w:rPr>
                        <w:rFonts w:ascii="Calibri" w:hAnsi="Calibri"/>
                        <w:spacing w:val="-1"/>
                        <w:sz w:val="14"/>
                      </w:rPr>
                      <w:t> </w:t>
                    </w:r>
                    <w:r>
                      <w:rPr>
                        <w:rFonts w:ascii="Calibri" w:hAnsi="Calibri"/>
                        <w:sz w:val="14"/>
                      </w:rPr>
                      <w:t>TË </w:t>
                    </w:r>
                    <w:r>
                      <w:rPr>
                        <w:rFonts w:ascii="Calibri" w:hAnsi="Calibri"/>
                        <w:spacing w:val="-2"/>
                        <w:sz w:val="14"/>
                      </w:rPr>
                      <w:t>DHËNAVE</w:t>
                    </w:r>
                  </w:p>
                  <w:p>
                    <w:pPr>
                      <w:numPr>
                        <w:ilvl w:val="0"/>
                        <w:numId w:val="5"/>
                      </w:numPr>
                      <w:tabs>
                        <w:tab w:pos="90" w:val="left" w:leader="none"/>
                      </w:tabs>
                      <w:spacing w:line="168" w:lineRule="exact" w:before="9"/>
                      <w:ind w:left="90" w:right="0" w:hanging="90"/>
                      <w:jc w:val="left"/>
                      <w:rPr>
                        <w:rFonts w:ascii="Calibri" w:hAnsi="Calibri"/>
                        <w:sz w:val="14"/>
                      </w:rPr>
                    </w:pPr>
                    <w:r>
                      <w:rPr>
                        <w:rFonts w:ascii="Calibri" w:hAnsi="Calibri"/>
                        <w:sz w:val="14"/>
                      </w:rPr>
                      <w:t>SONDAZHE</w:t>
                    </w:r>
                    <w:r>
                      <w:rPr>
                        <w:rFonts w:ascii="Calibri" w:hAnsi="Calibri"/>
                        <w:spacing w:val="-8"/>
                        <w:sz w:val="14"/>
                      </w:rPr>
                      <w:t> </w:t>
                    </w:r>
                    <w:r>
                      <w:rPr>
                        <w:rFonts w:ascii="Calibri" w:hAnsi="Calibri"/>
                        <w:sz w:val="14"/>
                      </w:rPr>
                      <w:t>DHE</w:t>
                    </w:r>
                    <w:r>
                      <w:rPr>
                        <w:rFonts w:ascii="Calibri" w:hAnsi="Calibri"/>
                        <w:spacing w:val="-4"/>
                        <w:sz w:val="14"/>
                      </w:rPr>
                      <w:t> </w:t>
                    </w:r>
                    <w:r>
                      <w:rPr>
                        <w:rFonts w:ascii="Calibri" w:hAnsi="Calibri"/>
                        <w:spacing w:val="-2"/>
                        <w:sz w:val="14"/>
                      </w:rPr>
                      <w:t>PYETËSOR</w:t>
                    </w:r>
                  </w:p>
                </w:txbxContent>
              </v:textbox>
              <w10:wrap type="none"/>
            </v:shape>
            <v:shape style="position:absolute;left:3151;top:1447;width:1392;height:713" type="#_x0000_t202" id="docshape47" filled="false" stroked="false">
              <v:textbox inset="0,0,0,0">
                <w:txbxContent>
                  <w:p>
                    <w:pPr>
                      <w:spacing w:line="325" w:lineRule="exact" w:before="0"/>
                      <w:ind w:left="0" w:right="0" w:firstLine="0"/>
                      <w:jc w:val="left"/>
                      <w:rPr>
                        <w:rFonts w:ascii="Calibri"/>
                        <w:sz w:val="34"/>
                      </w:rPr>
                    </w:pPr>
                    <w:r>
                      <w:rPr>
                        <w:rFonts w:ascii="Calibri"/>
                        <w:color w:val="FFFFFF"/>
                        <w:spacing w:val="-2"/>
                        <w:sz w:val="34"/>
                      </w:rPr>
                      <w:t>DRAFTIMI</w:t>
                    </w:r>
                  </w:p>
                  <w:p>
                    <w:pPr>
                      <w:spacing w:line="388" w:lineRule="exact" w:before="0"/>
                      <w:ind w:left="4" w:right="0" w:firstLine="0"/>
                      <w:jc w:val="left"/>
                      <w:rPr>
                        <w:rFonts w:ascii="Calibri"/>
                        <w:sz w:val="34"/>
                      </w:rPr>
                    </w:pPr>
                    <w:r>
                      <w:rPr>
                        <w:rFonts w:ascii="Calibri"/>
                        <w:color w:val="FFFFFF"/>
                        <w:spacing w:val="-4"/>
                        <w:sz w:val="34"/>
                      </w:rPr>
                      <w:t>FILLESTAR</w:t>
                    </w:r>
                  </w:p>
                </w:txbxContent>
              </v:textbox>
              <w10:wrap type="none"/>
            </v:shape>
            <v:shape style="position:absolute;left:5343;top:1445;width:1877;height:500" type="#_x0000_t202" id="docshape48" filled="false" stroked="false">
              <v:textbox inset="0,0,0,0">
                <w:txbxContent>
                  <w:p>
                    <w:pPr>
                      <w:numPr>
                        <w:ilvl w:val="0"/>
                        <w:numId w:val="6"/>
                      </w:numPr>
                      <w:tabs>
                        <w:tab w:pos="90" w:val="left" w:leader="none"/>
                      </w:tabs>
                      <w:spacing w:line="143" w:lineRule="exact" w:before="0"/>
                      <w:ind w:left="90" w:right="0" w:hanging="90"/>
                      <w:jc w:val="left"/>
                      <w:rPr>
                        <w:rFonts w:ascii="Calibri" w:hAnsi="Calibri"/>
                        <w:sz w:val="14"/>
                      </w:rPr>
                    </w:pPr>
                    <w:r>
                      <w:rPr>
                        <w:rFonts w:ascii="Calibri" w:hAnsi="Calibri"/>
                        <w:spacing w:val="-2"/>
                        <w:sz w:val="14"/>
                      </w:rPr>
                      <w:t>GJITHËPËRFSHIRJE</w:t>
                    </w:r>
                    <w:r>
                      <w:rPr>
                        <w:rFonts w:ascii="Calibri" w:hAnsi="Calibri"/>
                        <w:spacing w:val="20"/>
                        <w:sz w:val="14"/>
                      </w:rPr>
                      <w:t> </w:t>
                    </w:r>
                    <w:r>
                      <w:rPr>
                        <w:rFonts w:ascii="Calibri" w:hAnsi="Calibri"/>
                        <w:spacing w:val="-2"/>
                        <w:sz w:val="14"/>
                      </w:rPr>
                      <w:t>SEKTORIALE</w:t>
                    </w:r>
                  </w:p>
                  <w:p>
                    <w:pPr>
                      <w:numPr>
                        <w:ilvl w:val="0"/>
                        <w:numId w:val="6"/>
                      </w:numPr>
                      <w:tabs>
                        <w:tab w:pos="90" w:val="left" w:leader="none"/>
                      </w:tabs>
                      <w:spacing w:before="8"/>
                      <w:ind w:left="90" w:right="0" w:hanging="90"/>
                      <w:jc w:val="left"/>
                      <w:rPr>
                        <w:rFonts w:ascii="Calibri"/>
                        <w:sz w:val="14"/>
                      </w:rPr>
                    </w:pPr>
                    <w:r>
                      <w:rPr>
                        <w:rFonts w:ascii="Calibri"/>
                        <w:spacing w:val="-2"/>
                        <w:sz w:val="14"/>
                      </w:rPr>
                      <w:t>FLEKSIBILITET</w:t>
                    </w:r>
                  </w:p>
                  <w:p>
                    <w:pPr>
                      <w:numPr>
                        <w:ilvl w:val="0"/>
                        <w:numId w:val="6"/>
                      </w:numPr>
                      <w:tabs>
                        <w:tab w:pos="90" w:val="left" w:leader="none"/>
                      </w:tabs>
                      <w:spacing w:line="168" w:lineRule="exact" w:before="9"/>
                      <w:ind w:left="90" w:right="0" w:hanging="90"/>
                      <w:jc w:val="left"/>
                      <w:rPr>
                        <w:rFonts w:ascii="Calibri"/>
                        <w:sz w:val="14"/>
                      </w:rPr>
                    </w:pPr>
                    <w:r>
                      <w:rPr>
                        <w:rFonts w:ascii="Calibri"/>
                        <w:spacing w:val="-2"/>
                        <w:sz w:val="14"/>
                      </w:rPr>
                      <w:t>KONSULTIME</w:t>
                    </w:r>
                  </w:p>
                </w:txbxContent>
              </v:textbox>
              <w10:wrap type="none"/>
            </v:shape>
            <w10:wrap type="topAndBottom"/>
          </v:group>
        </w:pict>
      </w:r>
      <w:r>
        <w:rPr/>
        <w:pict>
          <v:group style="position:absolute;margin-left:116.5pt;margin-top:118.490166pt;width:375pt;height:49.9pt;mso-position-horizontal-relative:page;mso-position-vertical-relative:paragraph;z-index:-15724544;mso-wrap-distance-left:0;mso-wrap-distance-right:0" id="docshapegroup49" coordorigin="2330,2370" coordsize="7500,998">
            <v:shape style="position:absolute;left:5336;top:2379;width:4494;height:978" id="docshape50" coordorigin="5336,2380" coordsize="4494,978" path="m9341,2380l9341,2502,5336,2502,5336,3235,9341,3235,9341,3357,9830,2869,9341,2380xe" filled="true" fillcolor="#e8d1cd" stroked="false">
              <v:path arrowok="t"/>
              <v:fill opacity="59110f" type="solid"/>
            </v:shape>
            <v:shape style="position:absolute;left:2340;top:2379;width:2996;height:978" id="docshape51" coordorigin="2340,2380" coordsize="2996,978" path="m5173,2380l2503,2380,2439,2393,2388,2428,2353,2479,2340,2543,2340,3194,2353,3258,2388,3309,2439,3344,2503,3357,5173,3357,5237,3344,5288,3309,5323,3258,5336,3194,5336,2543,5323,2479,5288,2428,5237,2393,5173,2380xe" filled="true" fillcolor="#bc572c" stroked="false">
              <v:path arrowok="t"/>
              <v:fill opacity="41377f" type="solid"/>
            </v:shape>
            <v:shape style="position:absolute;left:2340;top:2379;width:2996;height:978" id="docshape52" coordorigin="2340,2380" coordsize="2996,978" path="m2340,2543l2353,2479,2388,2428,2439,2393,2503,2380,5173,2380,5237,2393,5288,2428,5323,2479,5336,2543,5336,3194,5323,3258,5288,3309,5237,3344,5173,3357,2503,3357,2439,3344,2388,3309,2353,3258,2340,3194,2340,2543xe" filled="false" stroked="true" strokeweight="1pt" strokecolor="#ffffff">
              <v:path arrowok="t"/>
              <v:stroke dashstyle="solid"/>
            </v:shape>
            <v:shape style="position:absolute;left:2989;top:2709;width:1720;height:340" type="#_x0000_t202" id="docshape53" filled="false" stroked="false">
              <v:textbox inset="0,0,0,0">
                <w:txbxContent>
                  <w:p>
                    <w:pPr>
                      <w:spacing w:line="340" w:lineRule="exact" w:before="0"/>
                      <w:ind w:left="0" w:right="0" w:firstLine="0"/>
                      <w:jc w:val="left"/>
                      <w:rPr>
                        <w:rFonts w:ascii="Calibri"/>
                        <w:sz w:val="34"/>
                      </w:rPr>
                    </w:pPr>
                    <w:r>
                      <w:rPr>
                        <w:rFonts w:ascii="Calibri"/>
                        <w:color w:val="FFFFFF"/>
                        <w:spacing w:val="-2"/>
                        <w:sz w:val="34"/>
                      </w:rPr>
                      <w:t>PLANIFIKIMI</w:t>
                    </w:r>
                  </w:p>
                </w:txbxContent>
              </v:textbox>
              <w10:wrap type="none"/>
            </v:shape>
            <v:shape style="position:absolute;left:5343;top:2520;width:1600;height:678" type="#_x0000_t202" id="docshape54" filled="false" stroked="false">
              <v:textbox inset="0,0,0,0">
                <w:txbxContent>
                  <w:p>
                    <w:pPr>
                      <w:numPr>
                        <w:ilvl w:val="0"/>
                        <w:numId w:val="7"/>
                      </w:numPr>
                      <w:tabs>
                        <w:tab w:pos="90" w:val="left" w:leader="none"/>
                      </w:tabs>
                      <w:spacing w:line="143" w:lineRule="exact" w:before="0"/>
                      <w:ind w:left="90" w:right="0" w:hanging="90"/>
                      <w:jc w:val="left"/>
                      <w:rPr>
                        <w:rFonts w:ascii="Calibri" w:hAnsi="Calibri"/>
                        <w:sz w:val="14"/>
                      </w:rPr>
                    </w:pPr>
                    <w:r>
                      <w:rPr>
                        <w:rFonts w:ascii="Calibri" w:hAnsi="Calibri"/>
                        <w:sz w:val="14"/>
                      </w:rPr>
                      <w:t>PUNËTORITË</w:t>
                    </w:r>
                    <w:r>
                      <w:rPr>
                        <w:rFonts w:ascii="Calibri" w:hAnsi="Calibri"/>
                        <w:spacing w:val="-2"/>
                        <w:sz w:val="14"/>
                      </w:rPr>
                      <w:t> </w:t>
                    </w:r>
                    <w:r>
                      <w:rPr>
                        <w:rFonts w:ascii="Calibri" w:hAnsi="Calibri"/>
                        <w:sz w:val="14"/>
                      </w:rPr>
                      <w:t>E</w:t>
                    </w:r>
                    <w:r>
                      <w:rPr>
                        <w:rFonts w:ascii="Calibri" w:hAnsi="Calibri"/>
                        <w:spacing w:val="-1"/>
                        <w:sz w:val="14"/>
                      </w:rPr>
                      <w:t> </w:t>
                    </w:r>
                    <w:r>
                      <w:rPr>
                        <w:rFonts w:ascii="Calibri" w:hAnsi="Calibri"/>
                        <w:spacing w:val="-2"/>
                        <w:sz w:val="14"/>
                      </w:rPr>
                      <w:t>CAKTUARA</w:t>
                    </w:r>
                  </w:p>
                  <w:p>
                    <w:pPr>
                      <w:numPr>
                        <w:ilvl w:val="0"/>
                        <w:numId w:val="7"/>
                      </w:numPr>
                      <w:tabs>
                        <w:tab w:pos="90" w:val="left" w:leader="none"/>
                      </w:tabs>
                      <w:spacing w:before="8"/>
                      <w:ind w:left="90" w:right="0" w:hanging="90"/>
                      <w:jc w:val="left"/>
                      <w:rPr>
                        <w:rFonts w:ascii="Calibri"/>
                        <w:sz w:val="14"/>
                      </w:rPr>
                    </w:pPr>
                    <w:r>
                      <w:rPr>
                        <w:rFonts w:ascii="Calibri"/>
                        <w:spacing w:val="-2"/>
                        <w:sz w:val="14"/>
                      </w:rPr>
                      <w:t>KONSULTIME</w:t>
                    </w:r>
                  </w:p>
                  <w:p>
                    <w:pPr>
                      <w:numPr>
                        <w:ilvl w:val="0"/>
                        <w:numId w:val="7"/>
                      </w:numPr>
                      <w:tabs>
                        <w:tab w:pos="90" w:val="left" w:leader="none"/>
                      </w:tabs>
                      <w:spacing w:before="9"/>
                      <w:ind w:left="90" w:right="0" w:hanging="90"/>
                      <w:jc w:val="left"/>
                      <w:rPr>
                        <w:rFonts w:ascii="Calibri"/>
                        <w:sz w:val="14"/>
                      </w:rPr>
                    </w:pPr>
                    <w:r>
                      <w:rPr>
                        <w:rFonts w:ascii="Calibri"/>
                        <w:sz w:val="14"/>
                      </w:rPr>
                      <w:t>KONSULTIME</w:t>
                    </w:r>
                    <w:r>
                      <w:rPr>
                        <w:rFonts w:ascii="Calibri"/>
                        <w:spacing w:val="-5"/>
                        <w:sz w:val="14"/>
                      </w:rPr>
                      <w:t> </w:t>
                    </w:r>
                    <w:r>
                      <w:rPr>
                        <w:rFonts w:ascii="Calibri"/>
                        <w:spacing w:val="-2"/>
                        <w:sz w:val="14"/>
                      </w:rPr>
                      <w:t>PUBLIKE</w:t>
                    </w:r>
                  </w:p>
                  <w:p>
                    <w:pPr>
                      <w:numPr>
                        <w:ilvl w:val="0"/>
                        <w:numId w:val="7"/>
                      </w:numPr>
                      <w:tabs>
                        <w:tab w:pos="90" w:val="left" w:leader="none"/>
                      </w:tabs>
                      <w:spacing w:line="168" w:lineRule="exact" w:before="8"/>
                      <w:ind w:left="90" w:right="0" w:hanging="90"/>
                      <w:jc w:val="left"/>
                      <w:rPr>
                        <w:rFonts w:ascii="Calibri"/>
                        <w:sz w:val="14"/>
                      </w:rPr>
                    </w:pPr>
                    <w:r>
                      <w:rPr>
                        <w:rFonts w:ascii="Calibri"/>
                        <w:sz w:val="14"/>
                      </w:rPr>
                      <w:t>DRAFTIM</w:t>
                    </w:r>
                    <w:r>
                      <w:rPr>
                        <w:rFonts w:ascii="Calibri"/>
                        <w:spacing w:val="-5"/>
                        <w:sz w:val="14"/>
                      </w:rPr>
                      <w:t> </w:t>
                    </w:r>
                    <w:r>
                      <w:rPr>
                        <w:rFonts w:ascii="Calibri"/>
                        <w:spacing w:val="-2"/>
                        <w:sz w:val="14"/>
                      </w:rPr>
                      <w:t>FINAL</w:t>
                    </w:r>
                  </w:p>
                </w:txbxContent>
              </v:textbox>
              <w10:wrap type="none"/>
            </v:shape>
            <w10:wrap type="topAndBottom"/>
          </v:group>
        </w:pict>
      </w:r>
      <w:r>
        <w:rPr/>
        <w:pict>
          <v:group style="position:absolute;margin-left:116.5pt;margin-top:172.240173pt;width:375pt;height:49.9pt;mso-position-horizontal-relative:page;mso-position-vertical-relative:paragraph;z-index:-15724032;mso-wrap-distance-left:0;mso-wrap-distance-right:0" id="docshapegroup55" coordorigin="2330,3445" coordsize="7500,998">
            <v:shape style="position:absolute;left:5336;top:3454;width:4494;height:978" id="docshape56" coordorigin="5336,3455" coordsize="4494,978" path="m9341,3455l9341,3577,5336,3577,5336,4310,9341,4310,9341,4432,9830,3944,9341,3455xe" filled="true" fillcolor="#e8d1cd" stroked="false">
              <v:path arrowok="t"/>
              <v:fill opacity="59110f" type="solid"/>
            </v:shape>
            <v:shape style="position:absolute;left:2340;top:3454;width:2996;height:978" id="docshape57" coordorigin="2340,3455" coordsize="2996,978" path="m5173,3455l2503,3455,2439,3468,2388,3503,2353,3554,2340,3618,2340,4269,2353,4333,2388,4384,2439,4419,2503,4432,5173,4432,5237,4419,5288,4384,5323,4333,5336,4269,5336,3618,5323,3554,5288,3503,5237,3468,5173,3455xe" filled="true" fillcolor="#bc572c" stroked="false">
              <v:path arrowok="t"/>
              <v:fill opacity="32896f" type="solid"/>
            </v:shape>
            <v:shape style="position:absolute;left:2340;top:3454;width:2996;height:978" id="docshape58" coordorigin="2340,3455" coordsize="2996,978" path="m2340,3618l2353,3554,2388,3503,2439,3468,2503,3455,5173,3455,5237,3468,5288,3503,5323,3554,5336,3618,5336,4269,5323,4333,5288,4384,5237,4419,5173,4432,2503,4432,2439,4419,2388,4384,2353,4333,2340,4269,2340,3618xe" filled="false" stroked="true" strokeweight="1pt" strokecolor="#ffffff">
              <v:path arrowok="t"/>
              <v:stroke dashstyle="solid"/>
            </v:shape>
            <v:shape style="position:absolute;left:2880;top:3598;width:1936;height:713" type="#_x0000_t202" id="docshape59" filled="false" stroked="false">
              <v:textbox inset="0,0,0,0">
                <w:txbxContent>
                  <w:p>
                    <w:pPr>
                      <w:spacing w:line="325" w:lineRule="exact" w:before="0"/>
                      <w:ind w:left="122" w:right="0" w:firstLine="0"/>
                      <w:jc w:val="left"/>
                      <w:rPr>
                        <w:rFonts w:ascii="Calibri"/>
                        <w:sz w:val="34"/>
                      </w:rPr>
                    </w:pPr>
                    <w:r>
                      <w:rPr>
                        <w:rFonts w:ascii="Calibri"/>
                        <w:color w:val="FFFFFF"/>
                        <w:spacing w:val="-2"/>
                        <w:sz w:val="34"/>
                      </w:rPr>
                      <w:t>FINALIZIMI</w:t>
                    </w:r>
                    <w:r>
                      <w:rPr>
                        <w:rFonts w:ascii="Calibri"/>
                        <w:color w:val="FFFFFF"/>
                        <w:spacing w:val="-4"/>
                        <w:sz w:val="34"/>
                      </w:rPr>
                      <w:t> </w:t>
                    </w:r>
                    <w:r>
                      <w:rPr>
                        <w:rFonts w:ascii="Calibri"/>
                        <w:color w:val="FFFFFF"/>
                        <w:spacing w:val="-10"/>
                        <w:sz w:val="34"/>
                      </w:rPr>
                      <w:t>I</w:t>
                    </w:r>
                  </w:p>
                  <w:p>
                    <w:pPr>
                      <w:spacing w:line="388" w:lineRule="exact" w:before="0"/>
                      <w:ind w:left="0" w:right="0" w:firstLine="0"/>
                      <w:jc w:val="left"/>
                      <w:rPr>
                        <w:rFonts w:ascii="Calibri"/>
                        <w:sz w:val="34"/>
                      </w:rPr>
                    </w:pPr>
                    <w:r>
                      <w:rPr>
                        <w:rFonts w:ascii="Calibri"/>
                        <w:color w:val="FFFFFF"/>
                        <w:spacing w:val="-2"/>
                        <w:sz w:val="34"/>
                      </w:rPr>
                      <w:t>DOKUMENTIT</w:t>
                    </w:r>
                  </w:p>
                </w:txbxContent>
              </v:textbox>
              <w10:wrap type="none"/>
            </v:shape>
            <v:shape style="position:absolute;left:5343;top:3595;width:1664;height:500" type="#_x0000_t202" id="docshape60" filled="false" stroked="false">
              <v:textbox inset="0,0,0,0">
                <w:txbxContent>
                  <w:p>
                    <w:pPr>
                      <w:numPr>
                        <w:ilvl w:val="0"/>
                        <w:numId w:val="8"/>
                      </w:numPr>
                      <w:tabs>
                        <w:tab w:pos="90" w:val="left" w:leader="none"/>
                      </w:tabs>
                      <w:spacing w:line="143" w:lineRule="exact" w:before="0"/>
                      <w:ind w:left="90" w:right="0" w:hanging="90"/>
                      <w:jc w:val="left"/>
                      <w:rPr>
                        <w:rFonts w:ascii="Calibri"/>
                        <w:sz w:val="14"/>
                      </w:rPr>
                    </w:pPr>
                    <w:r>
                      <w:rPr>
                        <w:rFonts w:ascii="Calibri"/>
                        <w:spacing w:val="-2"/>
                        <w:sz w:val="14"/>
                      </w:rPr>
                      <w:t>PUBLIKIMI</w:t>
                    </w:r>
                  </w:p>
                  <w:p>
                    <w:pPr>
                      <w:numPr>
                        <w:ilvl w:val="0"/>
                        <w:numId w:val="8"/>
                      </w:numPr>
                      <w:tabs>
                        <w:tab w:pos="90" w:val="left" w:leader="none"/>
                      </w:tabs>
                      <w:spacing w:before="8"/>
                      <w:ind w:left="90" w:right="0" w:hanging="90"/>
                      <w:jc w:val="left"/>
                      <w:rPr>
                        <w:rFonts w:ascii="Calibri"/>
                        <w:sz w:val="14"/>
                      </w:rPr>
                    </w:pPr>
                    <w:r>
                      <w:rPr>
                        <w:rFonts w:ascii="Calibri"/>
                        <w:sz w:val="14"/>
                      </w:rPr>
                      <w:t>FILLIMI</w:t>
                    </w:r>
                    <w:r>
                      <w:rPr>
                        <w:rFonts w:ascii="Calibri"/>
                        <w:spacing w:val="-3"/>
                        <w:sz w:val="14"/>
                      </w:rPr>
                      <w:t> </w:t>
                    </w:r>
                    <w:r>
                      <w:rPr>
                        <w:rFonts w:ascii="Calibri"/>
                        <w:sz w:val="14"/>
                      </w:rPr>
                      <w:t>I</w:t>
                    </w:r>
                    <w:r>
                      <w:rPr>
                        <w:rFonts w:ascii="Calibri"/>
                        <w:spacing w:val="-2"/>
                        <w:sz w:val="14"/>
                      </w:rPr>
                      <w:t> IMPLEMENTIMIT</w:t>
                    </w:r>
                  </w:p>
                  <w:p>
                    <w:pPr>
                      <w:numPr>
                        <w:ilvl w:val="0"/>
                        <w:numId w:val="8"/>
                      </w:numPr>
                      <w:tabs>
                        <w:tab w:pos="90" w:val="left" w:leader="none"/>
                      </w:tabs>
                      <w:spacing w:line="168" w:lineRule="exact" w:before="9"/>
                      <w:ind w:left="90" w:right="0" w:hanging="90"/>
                      <w:jc w:val="left"/>
                      <w:rPr>
                        <w:rFonts w:ascii="Calibri"/>
                        <w:sz w:val="14"/>
                      </w:rPr>
                    </w:pPr>
                    <w:r>
                      <w:rPr>
                        <w:rFonts w:ascii="Calibri"/>
                        <w:sz w:val="14"/>
                      </w:rPr>
                      <w:t>MONITORIMI</w:t>
                    </w:r>
                    <w:r>
                      <w:rPr>
                        <w:rFonts w:ascii="Calibri"/>
                        <w:spacing w:val="-6"/>
                        <w:sz w:val="14"/>
                      </w:rPr>
                      <w:t> </w:t>
                    </w:r>
                    <w:r>
                      <w:rPr>
                        <w:rFonts w:ascii="Calibri"/>
                        <w:sz w:val="14"/>
                      </w:rPr>
                      <w:t>DHE</w:t>
                    </w:r>
                    <w:r>
                      <w:rPr>
                        <w:rFonts w:ascii="Calibri"/>
                        <w:spacing w:val="-4"/>
                        <w:sz w:val="14"/>
                      </w:rPr>
                      <w:t> </w:t>
                    </w:r>
                    <w:r>
                      <w:rPr>
                        <w:rFonts w:ascii="Calibri"/>
                        <w:spacing w:val="-2"/>
                        <w:sz w:val="14"/>
                      </w:rPr>
                      <w:t>ZBATIMI</w:t>
                    </w:r>
                  </w:p>
                </w:txbxContent>
              </v:textbox>
              <w10:wrap type="none"/>
            </v:shape>
            <w10:wrap type="topAndBottom"/>
          </v:group>
        </w:pict>
      </w:r>
    </w:p>
    <w:p>
      <w:pPr>
        <w:pStyle w:val="BodyText"/>
        <w:spacing w:before="7"/>
        <w:rPr>
          <w:sz w:val="4"/>
        </w:rPr>
      </w:pPr>
    </w:p>
    <w:p>
      <w:pPr>
        <w:pStyle w:val="BodyText"/>
        <w:spacing w:before="7"/>
        <w:rPr>
          <w:sz w:val="4"/>
        </w:rPr>
      </w:pPr>
    </w:p>
    <w:p>
      <w:pPr>
        <w:pStyle w:val="BodyText"/>
        <w:spacing w:before="132"/>
        <w:ind w:left="1883"/>
      </w:pPr>
      <w:r>
        <w:rPr>
          <w:b/>
        </w:rPr>
        <w:t>Figura.</w:t>
      </w:r>
      <w:r>
        <w:rPr>
          <w:b/>
          <w:spacing w:val="-7"/>
        </w:rPr>
        <w:t> </w:t>
      </w:r>
      <w:r>
        <w:rPr>
          <w:b/>
        </w:rPr>
        <w:t>2</w:t>
      </w:r>
      <w:r>
        <w:rPr>
          <w:b/>
          <w:spacing w:val="47"/>
        </w:rPr>
        <w:t> </w:t>
      </w:r>
      <w:r>
        <w:rPr/>
        <w:t>Metodologjia</w:t>
      </w:r>
      <w:r>
        <w:rPr>
          <w:spacing w:val="-6"/>
        </w:rPr>
        <w:t> </w:t>
      </w:r>
      <w:r>
        <w:rPr/>
        <w:t>e</w:t>
      </w:r>
      <w:r>
        <w:rPr>
          <w:spacing w:val="-7"/>
        </w:rPr>
        <w:t> </w:t>
      </w:r>
      <w:r>
        <w:rPr/>
        <w:t>hartimit</w:t>
      </w:r>
      <w:r>
        <w:rPr>
          <w:spacing w:val="-7"/>
        </w:rPr>
        <w:t> </w:t>
      </w:r>
      <w:r>
        <w:rPr/>
        <w:t>të</w:t>
      </w:r>
      <w:r>
        <w:rPr>
          <w:spacing w:val="-7"/>
        </w:rPr>
        <w:t> </w:t>
      </w:r>
      <w:r>
        <w:rPr/>
        <w:t>Strategjisë</w:t>
      </w:r>
      <w:r>
        <w:rPr>
          <w:spacing w:val="-6"/>
        </w:rPr>
        <w:t> </w:t>
      </w:r>
      <w:r>
        <w:rPr/>
        <w:t>për</w:t>
      </w:r>
      <w:r>
        <w:rPr>
          <w:spacing w:val="-7"/>
        </w:rPr>
        <w:t> </w:t>
      </w:r>
      <w:r>
        <w:rPr/>
        <w:t>Zhvillim</w:t>
      </w:r>
      <w:r>
        <w:rPr>
          <w:spacing w:val="-6"/>
        </w:rPr>
        <w:t> </w:t>
      </w:r>
      <w:r>
        <w:rPr>
          <w:spacing w:val="-2"/>
        </w:rPr>
        <w:t>Ekonomike</w:t>
      </w:r>
    </w:p>
    <w:p>
      <w:pPr>
        <w:pStyle w:val="BodyText"/>
        <w:rPr>
          <w:sz w:val="26"/>
        </w:rPr>
      </w:pPr>
    </w:p>
    <w:p>
      <w:pPr>
        <w:pStyle w:val="BodyText"/>
        <w:rPr>
          <w:sz w:val="26"/>
        </w:rPr>
      </w:pPr>
    </w:p>
    <w:p>
      <w:pPr>
        <w:pStyle w:val="BodyText"/>
        <w:spacing w:line="288" w:lineRule="auto" w:before="166"/>
        <w:ind w:left="740" w:right="1438"/>
        <w:jc w:val="both"/>
      </w:pPr>
      <w:r>
        <w:rPr/>
        <w:t>Gjatë hartimit të Strategjisë për Zhvillim Ekonomike të komunës së Hanit të Elezit janë mbajtur takime të rregullta pune me përfaqësuesit e komunës së Hanit të Elezit, përfaqësues te shoqërisë civile, bizneset lokale etj.. Si rrjedhojë janë identifikuar akterët kryesorë dhe përfaqësuesit e tyre janë përfshirë në ekipin e punës. Tutje është bërë planifikimi i procesit të hartimit të Strategjisë për Zhvillim Ekonomike. Pastaj janë mbledhur të dhënat nga mbi veçoritë gjeografike dhe demografike, arsimin, shëndetësinë, mirëqenien sociale, tregun e punës, industrinë, shërbimet administrative të komunës, infrastrukturën, furnizimin me ujë të pijshëm, mbeturinat, ndotjen, kulturën, sportin dhe ekonomin lokal të komunës së Hanit të Elezit</w:t>
      </w:r>
    </w:p>
    <w:p>
      <w:pPr>
        <w:pStyle w:val="BodyText"/>
        <w:spacing w:line="288" w:lineRule="auto" w:before="199"/>
        <w:ind w:left="740" w:right="1437"/>
        <w:jc w:val="both"/>
      </w:pPr>
      <w:r>
        <w:rPr/>
        <w:t>Strategjia</w:t>
      </w:r>
      <w:r>
        <w:rPr>
          <w:spacing w:val="-5"/>
        </w:rPr>
        <w:t> </w:t>
      </w:r>
      <w:r>
        <w:rPr/>
        <w:t>për</w:t>
      </w:r>
      <w:r>
        <w:rPr>
          <w:spacing w:val="-4"/>
        </w:rPr>
        <w:t> </w:t>
      </w:r>
      <w:r>
        <w:rPr/>
        <w:t>Zhvillimit</w:t>
      </w:r>
      <w:r>
        <w:rPr>
          <w:spacing w:val="-5"/>
        </w:rPr>
        <w:t> </w:t>
      </w:r>
      <w:r>
        <w:rPr/>
        <w:t>Ekonomik</w:t>
      </w:r>
      <w:r>
        <w:rPr>
          <w:spacing w:val="40"/>
        </w:rPr>
        <w:t> </w:t>
      </w:r>
      <w:r>
        <w:rPr/>
        <w:t>mbështetet</w:t>
      </w:r>
      <w:r>
        <w:rPr>
          <w:spacing w:val="-4"/>
        </w:rPr>
        <w:t> </w:t>
      </w:r>
      <w:r>
        <w:rPr/>
        <w:t>me</w:t>
      </w:r>
      <w:r>
        <w:rPr>
          <w:spacing w:val="-3"/>
        </w:rPr>
        <w:t> </w:t>
      </w:r>
      <w:r>
        <w:rPr/>
        <w:t>projekte</w:t>
      </w:r>
      <w:r>
        <w:rPr>
          <w:spacing w:val="-6"/>
        </w:rPr>
        <w:t> </w:t>
      </w:r>
      <w:r>
        <w:rPr/>
        <w:t>për</w:t>
      </w:r>
      <w:r>
        <w:rPr>
          <w:spacing w:val="-4"/>
        </w:rPr>
        <w:t> </w:t>
      </w:r>
      <w:r>
        <w:rPr/>
        <w:t>arritjen</w:t>
      </w:r>
      <w:r>
        <w:rPr>
          <w:spacing w:val="-4"/>
        </w:rPr>
        <w:t> </w:t>
      </w:r>
      <w:r>
        <w:rPr/>
        <w:t>e</w:t>
      </w:r>
      <w:r>
        <w:rPr>
          <w:spacing w:val="-6"/>
        </w:rPr>
        <w:t> </w:t>
      </w:r>
      <w:r>
        <w:rPr/>
        <w:t>objektivave</w:t>
      </w:r>
      <w:r>
        <w:rPr>
          <w:spacing w:val="-5"/>
        </w:rPr>
        <w:t> </w:t>
      </w:r>
      <w:r>
        <w:rPr/>
        <w:t>zhvillimore të cilat reflektojnë interesat e qytetarëve, komunitetit të biznesit dhe akterëve tjerë në komunën e Hani</w:t>
      </w:r>
      <w:r>
        <w:rPr>
          <w:spacing w:val="-4"/>
        </w:rPr>
        <w:t> </w:t>
      </w:r>
      <w:r>
        <w:rPr/>
        <w:t>të</w:t>
      </w:r>
      <w:r>
        <w:rPr>
          <w:spacing w:val="-5"/>
        </w:rPr>
        <w:t> </w:t>
      </w:r>
      <w:r>
        <w:rPr/>
        <w:t>Elezit,</w:t>
      </w:r>
      <w:r>
        <w:rPr>
          <w:spacing w:val="-5"/>
        </w:rPr>
        <w:t> </w:t>
      </w:r>
      <w:r>
        <w:rPr/>
        <w:t>për</w:t>
      </w:r>
      <w:r>
        <w:rPr>
          <w:spacing w:val="-5"/>
        </w:rPr>
        <w:t> </w:t>
      </w:r>
      <w:r>
        <w:rPr/>
        <w:t>të</w:t>
      </w:r>
      <w:r>
        <w:rPr>
          <w:spacing w:val="-5"/>
        </w:rPr>
        <w:t> </w:t>
      </w:r>
      <w:r>
        <w:rPr/>
        <w:t>krijuar</w:t>
      </w:r>
      <w:r>
        <w:rPr>
          <w:spacing w:val="-4"/>
        </w:rPr>
        <w:t> </w:t>
      </w:r>
      <w:r>
        <w:rPr/>
        <w:t>dhe</w:t>
      </w:r>
      <w:r>
        <w:rPr>
          <w:spacing w:val="-6"/>
        </w:rPr>
        <w:t> </w:t>
      </w:r>
      <w:r>
        <w:rPr/>
        <w:t>ofruar</w:t>
      </w:r>
      <w:r>
        <w:rPr>
          <w:spacing w:val="-3"/>
        </w:rPr>
        <w:t> </w:t>
      </w:r>
      <w:r>
        <w:rPr/>
        <w:t>kushte</w:t>
      </w:r>
      <w:r>
        <w:rPr>
          <w:spacing w:val="-5"/>
        </w:rPr>
        <w:t> </w:t>
      </w:r>
      <w:r>
        <w:rPr/>
        <w:t>cilësore</w:t>
      </w:r>
      <w:r>
        <w:rPr>
          <w:spacing w:val="-4"/>
        </w:rPr>
        <w:t> </w:t>
      </w:r>
      <w:r>
        <w:rPr/>
        <w:t>të</w:t>
      </w:r>
      <w:r>
        <w:rPr>
          <w:spacing w:val="-5"/>
        </w:rPr>
        <w:t> </w:t>
      </w:r>
      <w:r>
        <w:rPr/>
        <w:t>jetesës</w:t>
      </w:r>
      <w:r>
        <w:rPr>
          <w:spacing w:val="-3"/>
        </w:rPr>
        <w:t> </w:t>
      </w:r>
      <w:r>
        <w:rPr/>
        <w:t>për</w:t>
      </w:r>
      <w:r>
        <w:rPr>
          <w:spacing w:val="-4"/>
        </w:rPr>
        <w:t> </w:t>
      </w:r>
      <w:r>
        <w:rPr/>
        <w:t>qytetarët</w:t>
      </w:r>
      <w:r>
        <w:rPr>
          <w:spacing w:val="-5"/>
        </w:rPr>
        <w:t> </w:t>
      </w:r>
      <w:r>
        <w:rPr/>
        <w:t>e</w:t>
      </w:r>
      <w:r>
        <w:rPr>
          <w:spacing w:val="-4"/>
        </w:rPr>
        <w:t> </w:t>
      </w:r>
      <w:r>
        <w:rPr/>
        <w:t>kësaj</w:t>
      </w:r>
      <w:r>
        <w:rPr>
          <w:spacing w:val="-6"/>
        </w:rPr>
        <w:t> </w:t>
      </w:r>
      <w:r>
        <w:rPr/>
        <w:t>komune.</w:t>
      </w:r>
      <w:r>
        <w:rPr>
          <w:spacing w:val="-5"/>
        </w:rPr>
        <w:t> </w:t>
      </w:r>
      <w:r>
        <w:rPr/>
        <w:t>Ky dokument strategjik bazohet në politikat strategjike për zhvillim ekonomik lokal si:</w:t>
      </w:r>
    </w:p>
    <w:p>
      <w:pPr>
        <w:spacing w:after="0" w:line="288" w:lineRule="auto"/>
        <w:jc w:val="both"/>
        <w:sectPr>
          <w:pgSz w:w="12240" w:h="15840"/>
          <w:pgMar w:header="0" w:footer="990" w:top="0" w:bottom="1180" w:left="700" w:right="0"/>
        </w:sectPr>
      </w:pPr>
    </w:p>
    <w:tbl>
      <w:tblPr>
        <w:tblW w:w="0" w:type="auto"/>
        <w:jc w:val="left"/>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27"/>
      </w:tblGrid>
      <w:tr>
        <w:trPr>
          <w:trHeight w:val="483" w:hRule="atLeast"/>
        </w:trPr>
        <w:tc>
          <w:tcPr>
            <w:tcW w:w="3652" w:type="dxa"/>
            <w:shd w:val="clear" w:color="auto" w:fill="EAB8A3"/>
          </w:tcPr>
          <w:p>
            <w:pPr>
              <w:pStyle w:val="TableParagraph"/>
              <w:ind w:left="100" w:right="91"/>
              <w:jc w:val="center"/>
              <w:rPr>
                <w:rFonts w:ascii="Cambria"/>
                <w:b/>
                <w:sz w:val="21"/>
              </w:rPr>
            </w:pPr>
            <w:r>
              <w:rPr>
                <w:rFonts w:ascii="Cambria"/>
                <w:b/>
                <w:spacing w:val="-2"/>
                <w:sz w:val="21"/>
              </w:rPr>
              <w:t>Dokumenti</w:t>
            </w:r>
          </w:p>
        </w:tc>
        <w:tc>
          <w:tcPr>
            <w:tcW w:w="6027" w:type="dxa"/>
            <w:shd w:val="clear" w:color="auto" w:fill="EAB8A3"/>
          </w:tcPr>
          <w:p>
            <w:pPr>
              <w:pStyle w:val="TableParagraph"/>
              <w:ind w:left="1788"/>
              <w:rPr>
                <w:rFonts w:ascii="Cambria" w:hAnsi="Cambria"/>
                <w:b/>
                <w:sz w:val="21"/>
              </w:rPr>
            </w:pPr>
            <w:r>
              <w:rPr>
                <w:rFonts w:ascii="Cambria" w:hAnsi="Cambria"/>
                <w:b/>
                <w:sz w:val="21"/>
              </w:rPr>
              <w:t>Qëllimi</w:t>
            </w:r>
            <w:r>
              <w:rPr>
                <w:rFonts w:ascii="Cambria" w:hAnsi="Cambria"/>
                <w:b/>
                <w:spacing w:val="-5"/>
                <w:sz w:val="21"/>
              </w:rPr>
              <w:t> </w:t>
            </w:r>
            <w:r>
              <w:rPr>
                <w:rFonts w:ascii="Cambria" w:hAnsi="Cambria"/>
                <w:b/>
                <w:sz w:val="21"/>
              </w:rPr>
              <w:t>dhe</w:t>
            </w:r>
            <w:r>
              <w:rPr>
                <w:rFonts w:ascii="Cambria" w:hAnsi="Cambria"/>
                <w:b/>
                <w:spacing w:val="-4"/>
                <w:sz w:val="21"/>
              </w:rPr>
              <w:t> </w:t>
            </w:r>
            <w:r>
              <w:rPr>
                <w:rFonts w:ascii="Cambria" w:hAnsi="Cambria"/>
                <w:b/>
                <w:spacing w:val="-2"/>
                <w:sz w:val="21"/>
              </w:rPr>
              <w:t>fushëveprimi</w:t>
            </w:r>
          </w:p>
        </w:tc>
      </w:tr>
      <w:tr>
        <w:trPr>
          <w:trHeight w:val="593" w:hRule="atLeast"/>
        </w:trPr>
        <w:tc>
          <w:tcPr>
            <w:tcW w:w="3652" w:type="dxa"/>
          </w:tcPr>
          <w:p>
            <w:pPr>
              <w:pStyle w:val="TableParagraph"/>
              <w:ind w:left="86" w:right="144"/>
              <w:jc w:val="center"/>
              <w:rPr>
                <w:rFonts w:ascii="Cambria" w:hAnsi="Cambria"/>
                <w:b/>
                <w:sz w:val="21"/>
              </w:rPr>
            </w:pPr>
            <w:r>
              <w:rPr>
                <w:rFonts w:ascii="Cambria" w:hAnsi="Cambria"/>
                <w:b/>
                <w:sz w:val="21"/>
              </w:rPr>
              <w:t>Statuti</w:t>
            </w:r>
            <w:r>
              <w:rPr>
                <w:rFonts w:ascii="Cambria" w:hAnsi="Cambria"/>
                <w:b/>
                <w:spacing w:val="-3"/>
                <w:sz w:val="21"/>
              </w:rPr>
              <w:t> </w:t>
            </w:r>
            <w:r>
              <w:rPr>
                <w:rFonts w:ascii="Cambria" w:hAnsi="Cambria"/>
                <w:b/>
                <w:sz w:val="21"/>
              </w:rPr>
              <w:t>i</w:t>
            </w:r>
            <w:r>
              <w:rPr>
                <w:rFonts w:ascii="Cambria" w:hAnsi="Cambria"/>
                <w:b/>
                <w:spacing w:val="-1"/>
                <w:sz w:val="21"/>
              </w:rPr>
              <w:t> </w:t>
            </w:r>
            <w:r>
              <w:rPr>
                <w:rFonts w:ascii="Cambria" w:hAnsi="Cambria"/>
                <w:b/>
                <w:sz w:val="21"/>
              </w:rPr>
              <w:t>Komunës</w:t>
            </w:r>
            <w:r>
              <w:rPr>
                <w:rFonts w:ascii="Cambria" w:hAnsi="Cambria"/>
                <w:b/>
                <w:spacing w:val="-1"/>
                <w:sz w:val="21"/>
              </w:rPr>
              <w:t> </w:t>
            </w:r>
            <w:r>
              <w:rPr>
                <w:rFonts w:ascii="Cambria" w:hAnsi="Cambria"/>
                <w:b/>
                <w:sz w:val="21"/>
              </w:rPr>
              <w:t>së</w:t>
            </w:r>
            <w:r>
              <w:rPr>
                <w:rFonts w:ascii="Cambria" w:hAnsi="Cambria"/>
                <w:b/>
                <w:spacing w:val="-2"/>
                <w:sz w:val="21"/>
              </w:rPr>
              <w:t> </w:t>
            </w:r>
            <w:r>
              <w:rPr>
                <w:rFonts w:ascii="Cambria" w:hAnsi="Cambria"/>
                <w:b/>
                <w:sz w:val="21"/>
              </w:rPr>
              <w:t>Hanit</w:t>
            </w:r>
            <w:r>
              <w:rPr>
                <w:rFonts w:ascii="Cambria" w:hAnsi="Cambria"/>
                <w:b/>
                <w:spacing w:val="-1"/>
                <w:sz w:val="21"/>
              </w:rPr>
              <w:t> </w:t>
            </w:r>
            <w:r>
              <w:rPr>
                <w:rFonts w:ascii="Cambria" w:hAnsi="Cambria"/>
                <w:b/>
                <w:sz w:val="21"/>
              </w:rPr>
              <w:t>të</w:t>
            </w:r>
            <w:r>
              <w:rPr>
                <w:rFonts w:ascii="Cambria" w:hAnsi="Cambria"/>
                <w:b/>
                <w:spacing w:val="-2"/>
                <w:sz w:val="21"/>
              </w:rPr>
              <w:t> Elezit</w:t>
            </w:r>
          </w:p>
        </w:tc>
        <w:tc>
          <w:tcPr>
            <w:tcW w:w="6027" w:type="dxa"/>
          </w:tcPr>
          <w:p>
            <w:pPr>
              <w:pStyle w:val="TableParagraph"/>
              <w:spacing w:line="257" w:lineRule="exact"/>
              <w:ind w:left="107"/>
              <w:rPr>
                <w:rFonts w:ascii="Cambria" w:hAnsi="Cambria"/>
                <w:sz w:val="22"/>
              </w:rPr>
            </w:pPr>
            <w:r>
              <w:rPr>
                <w:rFonts w:ascii="Cambria" w:hAnsi="Cambria"/>
                <w:sz w:val="22"/>
              </w:rPr>
              <w:t>Rregullon</w:t>
            </w:r>
            <w:r>
              <w:rPr>
                <w:rFonts w:ascii="Cambria" w:hAnsi="Cambria"/>
                <w:spacing w:val="45"/>
                <w:sz w:val="22"/>
              </w:rPr>
              <w:t>  </w:t>
            </w:r>
            <w:r>
              <w:rPr>
                <w:rFonts w:ascii="Cambria" w:hAnsi="Cambria"/>
                <w:sz w:val="22"/>
              </w:rPr>
              <w:t>organizimin</w:t>
            </w:r>
            <w:r>
              <w:rPr>
                <w:rFonts w:ascii="Cambria" w:hAnsi="Cambria"/>
                <w:spacing w:val="46"/>
                <w:sz w:val="22"/>
              </w:rPr>
              <w:t>  </w:t>
            </w:r>
            <w:r>
              <w:rPr>
                <w:rFonts w:ascii="Cambria" w:hAnsi="Cambria"/>
                <w:sz w:val="22"/>
              </w:rPr>
              <w:t>e</w:t>
            </w:r>
            <w:r>
              <w:rPr>
                <w:rFonts w:ascii="Cambria" w:hAnsi="Cambria"/>
                <w:spacing w:val="45"/>
                <w:sz w:val="22"/>
              </w:rPr>
              <w:t>  </w:t>
            </w:r>
            <w:r>
              <w:rPr>
                <w:rFonts w:ascii="Cambria" w:hAnsi="Cambria"/>
                <w:sz w:val="22"/>
              </w:rPr>
              <w:t>brendshëm</w:t>
            </w:r>
            <w:r>
              <w:rPr>
                <w:rFonts w:ascii="Cambria" w:hAnsi="Cambria"/>
                <w:spacing w:val="45"/>
                <w:sz w:val="22"/>
              </w:rPr>
              <w:t>  </w:t>
            </w:r>
            <w:r>
              <w:rPr>
                <w:rFonts w:ascii="Cambria" w:hAnsi="Cambria"/>
                <w:sz w:val="22"/>
              </w:rPr>
              <w:t>të</w:t>
            </w:r>
            <w:r>
              <w:rPr>
                <w:rFonts w:ascii="Cambria" w:hAnsi="Cambria"/>
                <w:spacing w:val="45"/>
                <w:sz w:val="22"/>
              </w:rPr>
              <w:t>  </w:t>
            </w:r>
            <w:r>
              <w:rPr>
                <w:rFonts w:ascii="Cambria" w:hAnsi="Cambria"/>
                <w:sz w:val="22"/>
              </w:rPr>
              <w:t>komunës</w:t>
            </w:r>
            <w:r>
              <w:rPr>
                <w:rFonts w:ascii="Cambria" w:hAnsi="Cambria"/>
                <w:spacing w:val="45"/>
                <w:sz w:val="22"/>
              </w:rPr>
              <w:t>  </w:t>
            </w:r>
            <w:r>
              <w:rPr>
                <w:rFonts w:ascii="Cambria" w:hAnsi="Cambria"/>
                <w:spacing w:val="-5"/>
                <w:sz w:val="22"/>
              </w:rPr>
              <w:t>dhe</w:t>
            </w:r>
          </w:p>
          <w:p>
            <w:pPr>
              <w:pStyle w:val="TableParagraph"/>
              <w:spacing w:before="38"/>
              <w:ind w:left="107"/>
              <w:rPr>
                <w:rFonts w:ascii="Cambria" w:hAnsi="Cambria"/>
                <w:sz w:val="22"/>
              </w:rPr>
            </w:pPr>
            <w:r>
              <w:rPr>
                <w:rFonts w:ascii="Cambria" w:hAnsi="Cambria"/>
                <w:sz w:val="22"/>
              </w:rPr>
              <w:t>përcakton</w:t>
            </w:r>
            <w:r>
              <w:rPr>
                <w:rFonts w:ascii="Cambria" w:hAnsi="Cambria"/>
                <w:spacing w:val="-11"/>
                <w:sz w:val="22"/>
              </w:rPr>
              <w:t> </w:t>
            </w:r>
            <w:r>
              <w:rPr>
                <w:rFonts w:ascii="Cambria" w:hAnsi="Cambria"/>
                <w:sz w:val="22"/>
              </w:rPr>
              <w:t>përgjegjësitë</w:t>
            </w:r>
            <w:r>
              <w:rPr>
                <w:rFonts w:ascii="Cambria" w:hAnsi="Cambria"/>
                <w:spacing w:val="-11"/>
                <w:sz w:val="22"/>
              </w:rPr>
              <w:t> </w:t>
            </w:r>
            <w:r>
              <w:rPr>
                <w:rFonts w:ascii="Cambria" w:hAnsi="Cambria"/>
                <w:sz w:val="22"/>
              </w:rPr>
              <w:t>vetanake</w:t>
            </w:r>
            <w:r>
              <w:rPr>
                <w:rFonts w:ascii="Cambria" w:hAnsi="Cambria"/>
                <w:spacing w:val="-12"/>
                <w:sz w:val="22"/>
              </w:rPr>
              <w:t> </w:t>
            </w:r>
            <w:r>
              <w:rPr>
                <w:rFonts w:ascii="Cambria" w:hAnsi="Cambria"/>
                <w:sz w:val="22"/>
              </w:rPr>
              <w:t>te</w:t>
            </w:r>
            <w:r>
              <w:rPr>
                <w:rFonts w:ascii="Cambria" w:hAnsi="Cambria"/>
                <w:spacing w:val="-12"/>
                <w:sz w:val="22"/>
              </w:rPr>
              <w:t> </w:t>
            </w:r>
            <w:r>
              <w:rPr>
                <w:rFonts w:ascii="Cambria" w:hAnsi="Cambria"/>
                <w:sz w:val="22"/>
              </w:rPr>
              <w:t>organeve</w:t>
            </w:r>
            <w:r>
              <w:rPr>
                <w:rFonts w:ascii="Cambria" w:hAnsi="Cambria"/>
                <w:spacing w:val="-12"/>
                <w:sz w:val="22"/>
              </w:rPr>
              <w:t> </w:t>
            </w:r>
            <w:r>
              <w:rPr>
                <w:rFonts w:ascii="Cambria" w:hAnsi="Cambria"/>
                <w:spacing w:val="-2"/>
                <w:sz w:val="22"/>
              </w:rPr>
              <w:t>komunale.</w:t>
            </w:r>
          </w:p>
        </w:tc>
      </w:tr>
      <w:tr>
        <w:trPr>
          <w:trHeight w:val="494" w:hRule="atLeast"/>
        </w:trPr>
        <w:tc>
          <w:tcPr>
            <w:tcW w:w="3652" w:type="dxa"/>
          </w:tcPr>
          <w:p>
            <w:pPr>
              <w:pStyle w:val="TableParagraph"/>
              <w:ind w:left="100" w:right="142"/>
              <w:jc w:val="center"/>
              <w:rPr>
                <w:rFonts w:ascii="Calibri" w:hAnsi="Calibri"/>
                <w:b/>
                <w:sz w:val="21"/>
              </w:rPr>
            </w:pPr>
            <w:r>
              <w:rPr>
                <w:rFonts w:ascii="Calibri" w:hAnsi="Calibri"/>
                <w:b/>
                <w:sz w:val="21"/>
              </w:rPr>
              <w:t>Profili</w:t>
            </w:r>
            <w:r>
              <w:rPr>
                <w:rFonts w:ascii="Calibri" w:hAnsi="Calibri"/>
                <w:b/>
                <w:spacing w:val="-3"/>
                <w:sz w:val="21"/>
              </w:rPr>
              <w:t> </w:t>
            </w:r>
            <w:r>
              <w:rPr>
                <w:rFonts w:ascii="Calibri" w:hAnsi="Calibri"/>
                <w:b/>
                <w:sz w:val="21"/>
              </w:rPr>
              <w:t>Ekonomik</w:t>
            </w:r>
            <w:r>
              <w:rPr>
                <w:rFonts w:ascii="Calibri" w:hAnsi="Calibri"/>
                <w:b/>
                <w:spacing w:val="-2"/>
                <w:sz w:val="21"/>
              </w:rPr>
              <w:t> </w:t>
            </w:r>
            <w:r>
              <w:rPr>
                <w:rFonts w:ascii="Calibri" w:hAnsi="Calibri"/>
                <w:b/>
                <w:sz w:val="21"/>
              </w:rPr>
              <w:t>i</w:t>
            </w:r>
            <w:r>
              <w:rPr>
                <w:rFonts w:ascii="Calibri" w:hAnsi="Calibri"/>
                <w:b/>
                <w:spacing w:val="-2"/>
                <w:sz w:val="21"/>
              </w:rPr>
              <w:t> </w:t>
            </w:r>
            <w:r>
              <w:rPr>
                <w:rFonts w:ascii="Calibri" w:hAnsi="Calibri"/>
                <w:b/>
                <w:sz w:val="21"/>
              </w:rPr>
              <w:t>Komunës</w:t>
            </w:r>
            <w:r>
              <w:rPr>
                <w:rFonts w:ascii="Calibri" w:hAnsi="Calibri"/>
                <w:b/>
                <w:spacing w:val="-2"/>
                <w:sz w:val="21"/>
              </w:rPr>
              <w:t> 2022/2023</w:t>
            </w:r>
          </w:p>
        </w:tc>
        <w:tc>
          <w:tcPr>
            <w:tcW w:w="6027" w:type="dxa"/>
          </w:tcPr>
          <w:p>
            <w:pPr>
              <w:pStyle w:val="TableParagraph"/>
              <w:spacing w:line="292" w:lineRule="exact"/>
              <w:ind w:left="107"/>
              <w:rPr>
                <w:rFonts w:ascii="Calibri" w:hAnsi="Calibri"/>
                <w:sz w:val="24"/>
              </w:rPr>
            </w:pPr>
            <w:r>
              <w:rPr>
                <w:rFonts w:ascii="Cambria" w:hAnsi="Cambria"/>
                <w:sz w:val="22"/>
              </w:rPr>
              <w:t>Pasqyron</w:t>
            </w:r>
            <w:r>
              <w:rPr>
                <w:rFonts w:ascii="Cambria" w:hAnsi="Cambria"/>
                <w:spacing w:val="-4"/>
                <w:sz w:val="22"/>
              </w:rPr>
              <w:t> </w:t>
            </w:r>
            <w:r>
              <w:rPr>
                <w:rFonts w:ascii="Calibri" w:hAnsi="Calibri"/>
                <w:sz w:val="24"/>
              </w:rPr>
              <w:t>Profili</w:t>
            </w:r>
            <w:r>
              <w:rPr>
                <w:rFonts w:ascii="Calibri" w:hAnsi="Calibri"/>
                <w:spacing w:val="-6"/>
                <w:sz w:val="24"/>
              </w:rPr>
              <w:t> </w:t>
            </w:r>
            <w:r>
              <w:rPr>
                <w:rFonts w:ascii="Calibri" w:hAnsi="Calibri"/>
                <w:sz w:val="24"/>
              </w:rPr>
              <w:t>Ekonomik</w:t>
            </w:r>
            <w:r>
              <w:rPr>
                <w:rFonts w:ascii="Calibri" w:hAnsi="Calibri"/>
                <w:spacing w:val="-4"/>
                <w:sz w:val="24"/>
              </w:rPr>
              <w:t> </w:t>
            </w:r>
            <w:r>
              <w:rPr>
                <w:rFonts w:ascii="Calibri" w:hAnsi="Calibri"/>
                <w:sz w:val="24"/>
              </w:rPr>
              <w:t>i</w:t>
            </w:r>
            <w:r>
              <w:rPr>
                <w:rFonts w:ascii="Calibri" w:hAnsi="Calibri"/>
                <w:spacing w:val="-4"/>
                <w:sz w:val="24"/>
              </w:rPr>
              <w:t> </w:t>
            </w:r>
            <w:r>
              <w:rPr>
                <w:rFonts w:ascii="Calibri" w:hAnsi="Calibri"/>
                <w:spacing w:val="-2"/>
                <w:sz w:val="24"/>
              </w:rPr>
              <w:t>Komunës</w:t>
            </w:r>
          </w:p>
        </w:tc>
      </w:tr>
      <w:tr>
        <w:trPr>
          <w:trHeight w:val="1899" w:hRule="atLeast"/>
        </w:trPr>
        <w:tc>
          <w:tcPr>
            <w:tcW w:w="3652" w:type="dxa"/>
          </w:tcPr>
          <w:p>
            <w:pPr>
              <w:pStyle w:val="TableParagraph"/>
              <w:spacing w:line="276" w:lineRule="auto"/>
              <w:ind w:left="107" w:right="79"/>
              <w:rPr>
                <w:rFonts w:ascii="Cambria" w:hAnsi="Cambria"/>
                <w:b/>
                <w:sz w:val="21"/>
              </w:rPr>
            </w:pPr>
            <w:r>
              <w:rPr>
                <w:rFonts w:ascii="Cambria" w:hAnsi="Cambria"/>
                <w:b/>
                <w:sz w:val="21"/>
              </w:rPr>
              <w:t>Plani Zhvillimor Komunal i Komunës</w:t>
            </w:r>
            <w:r>
              <w:rPr>
                <w:rFonts w:ascii="Cambria" w:hAnsi="Cambria"/>
                <w:b/>
                <w:spacing w:val="-7"/>
                <w:sz w:val="21"/>
              </w:rPr>
              <w:t> </w:t>
            </w:r>
            <w:r>
              <w:rPr>
                <w:rFonts w:ascii="Cambria" w:hAnsi="Cambria"/>
                <w:b/>
                <w:sz w:val="21"/>
              </w:rPr>
              <w:t>së</w:t>
            </w:r>
            <w:r>
              <w:rPr>
                <w:rFonts w:ascii="Cambria" w:hAnsi="Cambria"/>
                <w:b/>
                <w:spacing w:val="-9"/>
                <w:sz w:val="21"/>
              </w:rPr>
              <w:t> </w:t>
            </w:r>
            <w:r>
              <w:rPr>
                <w:rFonts w:ascii="Cambria" w:hAnsi="Cambria"/>
                <w:b/>
                <w:sz w:val="21"/>
              </w:rPr>
              <w:t>Hanit</w:t>
            </w:r>
            <w:r>
              <w:rPr>
                <w:rFonts w:ascii="Cambria" w:hAnsi="Cambria"/>
                <w:b/>
                <w:spacing w:val="-7"/>
                <w:sz w:val="21"/>
              </w:rPr>
              <w:t> </w:t>
            </w:r>
            <w:r>
              <w:rPr>
                <w:rFonts w:ascii="Cambria" w:hAnsi="Cambria"/>
                <w:b/>
                <w:sz w:val="21"/>
              </w:rPr>
              <w:t>të</w:t>
            </w:r>
            <w:r>
              <w:rPr>
                <w:rFonts w:ascii="Cambria" w:hAnsi="Cambria"/>
                <w:b/>
                <w:spacing w:val="-9"/>
                <w:sz w:val="21"/>
              </w:rPr>
              <w:t> </w:t>
            </w:r>
            <w:r>
              <w:rPr>
                <w:rFonts w:ascii="Cambria" w:hAnsi="Cambria"/>
                <w:b/>
                <w:sz w:val="21"/>
              </w:rPr>
              <w:t>Elezit</w:t>
            </w:r>
            <w:r>
              <w:rPr>
                <w:rFonts w:ascii="Cambria" w:hAnsi="Cambria"/>
                <w:b/>
                <w:spacing w:val="-7"/>
                <w:sz w:val="21"/>
              </w:rPr>
              <w:t> </w:t>
            </w:r>
            <w:r>
              <w:rPr>
                <w:rFonts w:ascii="Cambria" w:hAnsi="Cambria"/>
                <w:b/>
                <w:sz w:val="21"/>
              </w:rPr>
              <w:t>2010- </w:t>
            </w:r>
            <w:r>
              <w:rPr>
                <w:rFonts w:ascii="Cambria" w:hAnsi="Cambria"/>
                <w:b/>
                <w:spacing w:val="-4"/>
                <w:sz w:val="21"/>
              </w:rPr>
              <w:t>2025+</w:t>
            </w:r>
          </w:p>
        </w:tc>
        <w:tc>
          <w:tcPr>
            <w:tcW w:w="6027" w:type="dxa"/>
          </w:tcPr>
          <w:p>
            <w:pPr>
              <w:pStyle w:val="TableParagraph"/>
              <w:spacing w:line="276" w:lineRule="auto"/>
              <w:ind w:left="107" w:right="95"/>
              <w:jc w:val="both"/>
              <w:rPr>
                <w:rFonts w:ascii="Cambria" w:hAnsi="Cambria"/>
                <w:sz w:val="21"/>
              </w:rPr>
            </w:pPr>
            <w:r>
              <w:rPr>
                <w:rFonts w:ascii="Cambria" w:hAnsi="Cambria"/>
                <w:sz w:val="21"/>
              </w:rPr>
              <w:t>Është bazë për zhvillim të qëndrueshëm në komunën e Hanit të Elezit,</w:t>
            </w:r>
            <w:r>
              <w:rPr>
                <w:rFonts w:ascii="Cambria" w:hAnsi="Cambria"/>
                <w:spacing w:val="-12"/>
                <w:sz w:val="21"/>
              </w:rPr>
              <w:t> </w:t>
            </w:r>
            <w:r>
              <w:rPr>
                <w:rFonts w:ascii="Cambria" w:hAnsi="Cambria"/>
                <w:sz w:val="21"/>
              </w:rPr>
              <w:t>dhe</w:t>
            </w:r>
            <w:r>
              <w:rPr>
                <w:rFonts w:ascii="Cambria" w:hAnsi="Cambria"/>
                <w:spacing w:val="-10"/>
                <w:sz w:val="21"/>
              </w:rPr>
              <w:t> </w:t>
            </w:r>
            <w:r>
              <w:rPr>
                <w:rFonts w:ascii="Cambria" w:hAnsi="Cambria"/>
                <w:sz w:val="21"/>
              </w:rPr>
              <w:t>synon</w:t>
            </w:r>
            <w:r>
              <w:rPr>
                <w:rFonts w:ascii="Cambria" w:hAnsi="Cambria"/>
                <w:spacing w:val="-10"/>
                <w:sz w:val="21"/>
              </w:rPr>
              <w:t> </w:t>
            </w:r>
            <w:r>
              <w:rPr>
                <w:rFonts w:ascii="Cambria" w:hAnsi="Cambria"/>
                <w:sz w:val="21"/>
              </w:rPr>
              <w:t>ruajtjen</w:t>
            </w:r>
            <w:r>
              <w:rPr>
                <w:rFonts w:ascii="Cambria" w:hAnsi="Cambria"/>
                <w:spacing w:val="-12"/>
                <w:sz w:val="21"/>
              </w:rPr>
              <w:t> </w:t>
            </w:r>
            <w:r>
              <w:rPr>
                <w:rFonts w:ascii="Cambria" w:hAnsi="Cambria"/>
                <w:sz w:val="21"/>
              </w:rPr>
              <w:t>e</w:t>
            </w:r>
            <w:r>
              <w:rPr>
                <w:rFonts w:ascii="Cambria" w:hAnsi="Cambria"/>
                <w:spacing w:val="-10"/>
                <w:sz w:val="21"/>
              </w:rPr>
              <w:t> </w:t>
            </w:r>
            <w:r>
              <w:rPr>
                <w:rFonts w:ascii="Cambria" w:hAnsi="Cambria"/>
                <w:sz w:val="21"/>
              </w:rPr>
              <w:t>mjedisit,</w:t>
            </w:r>
            <w:r>
              <w:rPr>
                <w:rFonts w:ascii="Cambria" w:hAnsi="Cambria"/>
                <w:spacing w:val="-10"/>
                <w:sz w:val="21"/>
              </w:rPr>
              <w:t> </w:t>
            </w:r>
            <w:r>
              <w:rPr>
                <w:rFonts w:ascii="Cambria" w:hAnsi="Cambria"/>
                <w:sz w:val="21"/>
              </w:rPr>
              <w:t>shfrytëzimin</w:t>
            </w:r>
            <w:r>
              <w:rPr>
                <w:rFonts w:ascii="Cambria" w:hAnsi="Cambria"/>
                <w:spacing w:val="-11"/>
                <w:sz w:val="21"/>
              </w:rPr>
              <w:t> </w:t>
            </w:r>
            <w:r>
              <w:rPr>
                <w:rFonts w:ascii="Cambria" w:hAnsi="Cambria"/>
                <w:sz w:val="21"/>
              </w:rPr>
              <w:t>e</w:t>
            </w:r>
            <w:r>
              <w:rPr>
                <w:rFonts w:ascii="Cambria" w:hAnsi="Cambria"/>
                <w:spacing w:val="-11"/>
                <w:sz w:val="21"/>
              </w:rPr>
              <w:t> </w:t>
            </w:r>
            <w:r>
              <w:rPr>
                <w:rFonts w:ascii="Cambria" w:hAnsi="Cambria"/>
                <w:sz w:val="21"/>
              </w:rPr>
              <w:t>qëndrueshëm të resurseve për zhvillim ekonomik, për gjeneratat e ardhshme dhe balancimin e zhvillimeve hapësinore. Përmes këtij plani koordinohen kërkesat sociale dhe ekonomike për hapësirën me funksionet e saj kulturore dhe ekologjike.</w:t>
            </w:r>
          </w:p>
        </w:tc>
      </w:tr>
      <w:tr>
        <w:trPr>
          <w:trHeight w:val="1049" w:hRule="atLeast"/>
        </w:trPr>
        <w:tc>
          <w:tcPr>
            <w:tcW w:w="3652" w:type="dxa"/>
          </w:tcPr>
          <w:p>
            <w:pPr>
              <w:pStyle w:val="TableParagraph"/>
              <w:spacing w:line="278" w:lineRule="auto"/>
              <w:ind w:left="107" w:right="79"/>
              <w:rPr>
                <w:rFonts w:ascii="Cambria" w:hAnsi="Cambria"/>
                <w:b/>
                <w:sz w:val="21"/>
              </w:rPr>
            </w:pPr>
            <w:r>
              <w:rPr>
                <w:rFonts w:ascii="Cambria" w:hAnsi="Cambria"/>
                <w:b/>
                <w:sz w:val="21"/>
              </w:rPr>
              <w:t>Plani</w:t>
            </w:r>
            <w:r>
              <w:rPr>
                <w:rFonts w:ascii="Cambria" w:hAnsi="Cambria"/>
                <w:b/>
                <w:spacing w:val="-9"/>
                <w:sz w:val="21"/>
              </w:rPr>
              <w:t> </w:t>
            </w:r>
            <w:r>
              <w:rPr>
                <w:rFonts w:ascii="Cambria" w:hAnsi="Cambria"/>
                <w:b/>
                <w:sz w:val="21"/>
              </w:rPr>
              <w:t>Rregullues</w:t>
            </w:r>
            <w:r>
              <w:rPr>
                <w:rFonts w:ascii="Cambria" w:hAnsi="Cambria"/>
                <w:b/>
                <w:spacing w:val="-10"/>
                <w:sz w:val="21"/>
              </w:rPr>
              <w:t> </w:t>
            </w:r>
            <w:r>
              <w:rPr>
                <w:rFonts w:ascii="Cambria" w:hAnsi="Cambria"/>
                <w:b/>
                <w:sz w:val="21"/>
              </w:rPr>
              <w:t>Urban</w:t>
            </w:r>
            <w:r>
              <w:rPr>
                <w:rFonts w:ascii="Cambria" w:hAnsi="Cambria"/>
                <w:b/>
                <w:spacing w:val="-9"/>
                <w:sz w:val="21"/>
              </w:rPr>
              <w:t> </w:t>
            </w:r>
            <w:r>
              <w:rPr>
                <w:rFonts w:ascii="Cambria" w:hAnsi="Cambria"/>
                <w:b/>
                <w:sz w:val="21"/>
              </w:rPr>
              <w:t>i</w:t>
            </w:r>
            <w:r>
              <w:rPr>
                <w:rFonts w:ascii="Cambria" w:hAnsi="Cambria"/>
                <w:b/>
                <w:spacing w:val="-11"/>
                <w:sz w:val="21"/>
              </w:rPr>
              <w:t> </w:t>
            </w:r>
            <w:r>
              <w:rPr>
                <w:rFonts w:ascii="Cambria" w:hAnsi="Cambria"/>
                <w:b/>
                <w:sz w:val="21"/>
              </w:rPr>
              <w:t>Komunës së Hanit të Elezit</w:t>
            </w:r>
          </w:p>
        </w:tc>
        <w:tc>
          <w:tcPr>
            <w:tcW w:w="6027" w:type="dxa"/>
          </w:tcPr>
          <w:p>
            <w:pPr>
              <w:pStyle w:val="TableParagraph"/>
              <w:spacing w:line="276" w:lineRule="auto"/>
              <w:ind w:left="107" w:right="97"/>
              <w:jc w:val="both"/>
              <w:rPr>
                <w:rFonts w:ascii="Cambria" w:hAnsi="Cambria"/>
                <w:sz w:val="21"/>
              </w:rPr>
            </w:pPr>
            <w:r>
              <w:rPr>
                <w:rFonts w:ascii="Cambria" w:hAnsi="Cambria"/>
                <w:sz w:val="21"/>
              </w:rPr>
              <w:t>Qëllimi i këtij plani është që të organizojë ndërtimet në pjesën urbane të qytetit që është edhe pjesa identifikuese e komunës së Hanit të Elezit.</w:t>
            </w:r>
          </w:p>
        </w:tc>
      </w:tr>
      <w:tr>
        <w:trPr>
          <w:trHeight w:val="1897" w:hRule="atLeast"/>
        </w:trPr>
        <w:tc>
          <w:tcPr>
            <w:tcW w:w="3652" w:type="dxa"/>
          </w:tcPr>
          <w:p>
            <w:pPr>
              <w:pStyle w:val="TableParagraph"/>
              <w:spacing w:line="278" w:lineRule="auto"/>
              <w:ind w:left="107" w:right="458"/>
              <w:rPr>
                <w:rFonts w:ascii="Cambria" w:hAnsi="Cambria"/>
                <w:b/>
                <w:sz w:val="21"/>
              </w:rPr>
            </w:pPr>
            <w:r>
              <w:rPr>
                <w:rFonts w:ascii="Cambria" w:hAnsi="Cambria"/>
                <w:b/>
                <w:sz w:val="21"/>
              </w:rPr>
              <w:t>Plani</w:t>
            </w:r>
            <w:r>
              <w:rPr>
                <w:rFonts w:ascii="Cambria" w:hAnsi="Cambria"/>
                <w:b/>
                <w:spacing w:val="-7"/>
                <w:sz w:val="21"/>
              </w:rPr>
              <w:t> </w:t>
            </w:r>
            <w:r>
              <w:rPr>
                <w:rFonts w:ascii="Cambria" w:hAnsi="Cambria"/>
                <w:b/>
                <w:sz w:val="21"/>
              </w:rPr>
              <w:t>Lokal</w:t>
            </w:r>
            <w:r>
              <w:rPr>
                <w:rFonts w:ascii="Cambria" w:hAnsi="Cambria"/>
                <w:b/>
                <w:spacing w:val="-7"/>
                <w:sz w:val="21"/>
              </w:rPr>
              <w:t> </w:t>
            </w:r>
            <w:r>
              <w:rPr>
                <w:rFonts w:ascii="Cambria" w:hAnsi="Cambria"/>
                <w:b/>
                <w:sz w:val="21"/>
              </w:rPr>
              <w:t>i</w:t>
            </w:r>
            <w:r>
              <w:rPr>
                <w:rFonts w:ascii="Cambria" w:hAnsi="Cambria"/>
                <w:b/>
                <w:spacing w:val="-9"/>
                <w:sz w:val="21"/>
              </w:rPr>
              <w:t> </w:t>
            </w:r>
            <w:r>
              <w:rPr>
                <w:rFonts w:ascii="Cambria" w:hAnsi="Cambria"/>
                <w:b/>
                <w:sz w:val="21"/>
              </w:rPr>
              <w:t>Veprimit</w:t>
            </w:r>
            <w:r>
              <w:rPr>
                <w:rFonts w:ascii="Cambria" w:hAnsi="Cambria"/>
                <w:b/>
                <w:spacing w:val="-7"/>
                <w:sz w:val="21"/>
              </w:rPr>
              <w:t> </w:t>
            </w:r>
            <w:r>
              <w:rPr>
                <w:rFonts w:ascii="Cambria" w:hAnsi="Cambria"/>
                <w:b/>
                <w:sz w:val="21"/>
              </w:rPr>
              <w:t>në</w:t>
            </w:r>
            <w:r>
              <w:rPr>
                <w:rFonts w:ascii="Cambria" w:hAnsi="Cambria"/>
                <w:b/>
                <w:spacing w:val="-9"/>
                <w:sz w:val="21"/>
              </w:rPr>
              <w:t> </w:t>
            </w:r>
            <w:r>
              <w:rPr>
                <w:rFonts w:ascii="Cambria" w:hAnsi="Cambria"/>
                <w:b/>
                <w:sz w:val="21"/>
              </w:rPr>
              <w:t>Mjedis </w:t>
            </w:r>
            <w:r>
              <w:rPr>
                <w:rFonts w:ascii="Cambria" w:hAnsi="Cambria"/>
                <w:b/>
                <w:spacing w:val="-2"/>
                <w:sz w:val="21"/>
              </w:rPr>
              <w:t>2012-2017</w:t>
            </w:r>
          </w:p>
        </w:tc>
        <w:tc>
          <w:tcPr>
            <w:tcW w:w="6027" w:type="dxa"/>
          </w:tcPr>
          <w:p>
            <w:pPr>
              <w:pStyle w:val="TableParagraph"/>
              <w:spacing w:line="276" w:lineRule="auto"/>
              <w:ind w:left="107" w:right="96"/>
              <w:jc w:val="both"/>
              <w:rPr>
                <w:rFonts w:ascii="Cambria" w:hAnsi="Cambria"/>
                <w:sz w:val="21"/>
              </w:rPr>
            </w:pPr>
            <w:r>
              <w:rPr>
                <w:rFonts w:ascii="Cambria" w:hAnsi="Cambria"/>
                <w:sz w:val="21"/>
              </w:rPr>
              <w:t>Dokument lokal që është zbatuar gjatë periudhës 2012-2017 me synim që të zgjidh problemet mjedisore nëpërmjet identifikimit të</w:t>
            </w:r>
            <w:r>
              <w:rPr>
                <w:rFonts w:ascii="Cambria" w:hAnsi="Cambria"/>
                <w:spacing w:val="-5"/>
                <w:sz w:val="21"/>
              </w:rPr>
              <w:t> </w:t>
            </w:r>
            <w:r>
              <w:rPr>
                <w:rFonts w:ascii="Cambria" w:hAnsi="Cambria"/>
                <w:sz w:val="21"/>
              </w:rPr>
              <w:t>prioriteteve</w:t>
            </w:r>
            <w:r>
              <w:rPr>
                <w:rFonts w:ascii="Cambria" w:hAnsi="Cambria"/>
                <w:spacing w:val="-4"/>
                <w:sz w:val="21"/>
              </w:rPr>
              <w:t> </w:t>
            </w:r>
            <w:r>
              <w:rPr>
                <w:rFonts w:ascii="Cambria" w:hAnsi="Cambria"/>
                <w:sz w:val="21"/>
              </w:rPr>
              <w:t>dhe</w:t>
            </w:r>
            <w:r>
              <w:rPr>
                <w:rFonts w:ascii="Cambria" w:hAnsi="Cambria"/>
                <w:spacing w:val="-4"/>
                <w:sz w:val="21"/>
              </w:rPr>
              <w:t> </w:t>
            </w:r>
            <w:r>
              <w:rPr>
                <w:rFonts w:ascii="Cambria" w:hAnsi="Cambria"/>
                <w:sz w:val="21"/>
              </w:rPr>
              <w:t>përcaktimit</w:t>
            </w:r>
            <w:r>
              <w:rPr>
                <w:rFonts w:ascii="Cambria" w:hAnsi="Cambria"/>
                <w:spacing w:val="-4"/>
                <w:sz w:val="21"/>
              </w:rPr>
              <w:t> </w:t>
            </w:r>
            <w:r>
              <w:rPr>
                <w:rFonts w:ascii="Cambria" w:hAnsi="Cambria"/>
                <w:sz w:val="21"/>
              </w:rPr>
              <w:t>të</w:t>
            </w:r>
            <w:r>
              <w:rPr>
                <w:rFonts w:ascii="Cambria" w:hAnsi="Cambria"/>
                <w:spacing w:val="-5"/>
                <w:sz w:val="21"/>
              </w:rPr>
              <w:t> </w:t>
            </w:r>
            <w:r>
              <w:rPr>
                <w:rFonts w:ascii="Cambria" w:hAnsi="Cambria"/>
                <w:sz w:val="21"/>
              </w:rPr>
              <w:t>veprimeve</w:t>
            </w:r>
            <w:r>
              <w:rPr>
                <w:rFonts w:ascii="Cambria" w:hAnsi="Cambria"/>
                <w:spacing w:val="-5"/>
                <w:sz w:val="21"/>
              </w:rPr>
              <w:t> </w:t>
            </w:r>
            <w:r>
              <w:rPr>
                <w:rFonts w:ascii="Cambria" w:hAnsi="Cambria"/>
                <w:sz w:val="21"/>
              </w:rPr>
              <w:t>për</w:t>
            </w:r>
            <w:r>
              <w:rPr>
                <w:rFonts w:ascii="Cambria" w:hAnsi="Cambria"/>
                <w:spacing w:val="-5"/>
                <w:sz w:val="21"/>
              </w:rPr>
              <w:t> </w:t>
            </w:r>
            <w:r>
              <w:rPr>
                <w:rFonts w:ascii="Cambria" w:hAnsi="Cambria"/>
                <w:sz w:val="21"/>
              </w:rPr>
              <w:t>zgjidhjen</w:t>
            </w:r>
            <w:r>
              <w:rPr>
                <w:rFonts w:ascii="Cambria" w:hAnsi="Cambria"/>
                <w:spacing w:val="-4"/>
                <w:sz w:val="21"/>
              </w:rPr>
              <w:t> </w:t>
            </w:r>
            <w:r>
              <w:rPr>
                <w:rFonts w:ascii="Cambria" w:hAnsi="Cambria"/>
                <w:sz w:val="21"/>
              </w:rPr>
              <w:t>e</w:t>
            </w:r>
            <w:r>
              <w:rPr>
                <w:rFonts w:ascii="Cambria" w:hAnsi="Cambria"/>
                <w:spacing w:val="-4"/>
                <w:sz w:val="21"/>
              </w:rPr>
              <w:t> </w:t>
            </w:r>
            <w:r>
              <w:rPr>
                <w:rFonts w:ascii="Cambria" w:hAnsi="Cambria"/>
                <w:sz w:val="21"/>
              </w:rPr>
              <w:t>tyre, duke përfshirë të gjithë aktorët e mundshëm për përcaktimin e këtyre</w:t>
            </w:r>
            <w:r>
              <w:rPr>
                <w:rFonts w:ascii="Cambria" w:hAnsi="Cambria"/>
                <w:spacing w:val="-12"/>
                <w:sz w:val="21"/>
              </w:rPr>
              <w:t> </w:t>
            </w:r>
            <w:r>
              <w:rPr>
                <w:rFonts w:ascii="Cambria" w:hAnsi="Cambria"/>
                <w:sz w:val="21"/>
              </w:rPr>
              <w:t>veprimeve</w:t>
            </w:r>
            <w:r>
              <w:rPr>
                <w:rFonts w:ascii="Cambria" w:hAnsi="Cambria"/>
                <w:spacing w:val="-12"/>
                <w:sz w:val="21"/>
              </w:rPr>
              <w:t> </w:t>
            </w:r>
            <w:r>
              <w:rPr>
                <w:rFonts w:ascii="Cambria" w:hAnsi="Cambria"/>
                <w:sz w:val="21"/>
              </w:rPr>
              <w:t>dhe</w:t>
            </w:r>
            <w:r>
              <w:rPr>
                <w:rFonts w:ascii="Cambria" w:hAnsi="Cambria"/>
                <w:spacing w:val="-11"/>
                <w:sz w:val="21"/>
              </w:rPr>
              <w:t> </w:t>
            </w:r>
            <w:r>
              <w:rPr>
                <w:rFonts w:ascii="Cambria" w:hAnsi="Cambria"/>
                <w:sz w:val="21"/>
              </w:rPr>
              <w:t>krijimin</w:t>
            </w:r>
            <w:r>
              <w:rPr>
                <w:rFonts w:ascii="Cambria" w:hAnsi="Cambria"/>
                <w:spacing w:val="-12"/>
                <w:sz w:val="21"/>
              </w:rPr>
              <w:t> </w:t>
            </w:r>
            <w:r>
              <w:rPr>
                <w:rFonts w:ascii="Cambria" w:hAnsi="Cambria"/>
                <w:sz w:val="21"/>
              </w:rPr>
              <w:t>e</w:t>
            </w:r>
            <w:r>
              <w:rPr>
                <w:rFonts w:ascii="Cambria" w:hAnsi="Cambria"/>
                <w:spacing w:val="-11"/>
                <w:sz w:val="21"/>
              </w:rPr>
              <w:t> </w:t>
            </w:r>
            <w:r>
              <w:rPr>
                <w:rFonts w:ascii="Cambria" w:hAnsi="Cambria"/>
                <w:sz w:val="21"/>
              </w:rPr>
              <w:t>strategjive</w:t>
            </w:r>
            <w:r>
              <w:rPr>
                <w:rFonts w:ascii="Cambria" w:hAnsi="Cambria"/>
                <w:spacing w:val="-12"/>
                <w:sz w:val="21"/>
              </w:rPr>
              <w:t> </w:t>
            </w:r>
            <w:r>
              <w:rPr>
                <w:rFonts w:ascii="Cambria" w:hAnsi="Cambria"/>
                <w:sz w:val="21"/>
              </w:rPr>
              <w:t>për</w:t>
            </w:r>
            <w:r>
              <w:rPr>
                <w:rFonts w:ascii="Cambria" w:hAnsi="Cambria"/>
                <w:spacing w:val="-11"/>
                <w:sz w:val="21"/>
              </w:rPr>
              <w:t> </w:t>
            </w:r>
            <w:r>
              <w:rPr>
                <w:rFonts w:ascii="Cambria" w:hAnsi="Cambria"/>
                <w:sz w:val="21"/>
              </w:rPr>
              <w:t>zbatimin</w:t>
            </w:r>
            <w:r>
              <w:rPr>
                <w:rFonts w:ascii="Cambria" w:hAnsi="Cambria"/>
                <w:spacing w:val="-12"/>
                <w:sz w:val="21"/>
              </w:rPr>
              <w:t> </w:t>
            </w:r>
            <w:r>
              <w:rPr>
                <w:rFonts w:ascii="Cambria" w:hAnsi="Cambria"/>
                <w:sz w:val="21"/>
              </w:rPr>
              <w:t>e</w:t>
            </w:r>
            <w:r>
              <w:rPr>
                <w:rFonts w:ascii="Cambria" w:hAnsi="Cambria"/>
                <w:spacing w:val="-12"/>
                <w:sz w:val="21"/>
              </w:rPr>
              <w:t> </w:t>
            </w:r>
            <w:r>
              <w:rPr>
                <w:rFonts w:ascii="Cambria" w:hAnsi="Cambria"/>
                <w:sz w:val="21"/>
              </w:rPr>
              <w:t>tyre</w:t>
            </w:r>
            <w:r>
              <w:rPr>
                <w:rFonts w:ascii="Cambria" w:hAnsi="Cambria"/>
                <w:spacing w:val="-11"/>
                <w:sz w:val="21"/>
              </w:rPr>
              <w:t> </w:t>
            </w:r>
            <w:r>
              <w:rPr>
                <w:rFonts w:ascii="Cambria" w:hAnsi="Cambria"/>
                <w:sz w:val="21"/>
              </w:rPr>
              <w:t>në mënyrë efektive, të ndërthurura.</w:t>
            </w:r>
          </w:p>
        </w:tc>
      </w:tr>
      <w:tr>
        <w:trPr>
          <w:trHeight w:val="2100" w:hRule="atLeast"/>
        </w:trPr>
        <w:tc>
          <w:tcPr>
            <w:tcW w:w="3652" w:type="dxa"/>
          </w:tcPr>
          <w:p>
            <w:pPr>
              <w:pStyle w:val="TableParagraph"/>
              <w:spacing w:line="276" w:lineRule="auto"/>
              <w:ind w:left="107" w:right="95"/>
              <w:jc w:val="both"/>
              <w:rPr>
                <w:rFonts w:ascii="Cambria" w:hAnsi="Cambria"/>
                <w:b/>
                <w:sz w:val="21"/>
              </w:rPr>
            </w:pPr>
            <w:r>
              <w:rPr>
                <w:rFonts w:ascii="Cambria" w:hAnsi="Cambria"/>
                <w:b/>
                <w:sz w:val="21"/>
              </w:rPr>
              <w:t>Plani për Menaxhimin e Mbeturinave, Komuna e Hanit të Elezit 2016-2021</w:t>
            </w:r>
          </w:p>
        </w:tc>
        <w:tc>
          <w:tcPr>
            <w:tcW w:w="6027" w:type="dxa"/>
          </w:tcPr>
          <w:p>
            <w:pPr>
              <w:pStyle w:val="TableParagraph"/>
              <w:spacing w:line="276" w:lineRule="auto"/>
              <w:ind w:left="107" w:right="97"/>
              <w:jc w:val="both"/>
              <w:rPr>
                <w:rFonts w:ascii="Cambria" w:hAnsi="Cambria"/>
                <w:sz w:val="21"/>
              </w:rPr>
            </w:pPr>
            <w:r>
              <w:rPr>
                <w:rFonts w:ascii="Cambria" w:hAnsi="Cambria"/>
                <w:sz w:val="21"/>
              </w:rPr>
              <w:t>Plani Komunal i Menaxhimit të Mbeturinave të Hanit të Elezit është dokument planifikimi që rregullon Menaxhimin e Mbeturinave në nivel lokal. Plani synon</w:t>
            </w:r>
            <w:r>
              <w:rPr>
                <w:rFonts w:ascii="Cambria" w:hAnsi="Cambria"/>
                <w:spacing w:val="-1"/>
                <w:sz w:val="21"/>
              </w:rPr>
              <w:t> </w:t>
            </w:r>
            <w:r>
              <w:rPr>
                <w:rFonts w:ascii="Cambria" w:hAnsi="Cambria"/>
                <w:sz w:val="21"/>
              </w:rPr>
              <w:t>shtrirjen e shërbimit për menaxhimin e mbeturinave komunale në të gjithë territorin e </w:t>
            </w:r>
            <w:r>
              <w:rPr>
                <w:rFonts w:ascii="Cambria" w:hAnsi="Cambria"/>
                <w:spacing w:val="-2"/>
                <w:sz w:val="21"/>
              </w:rPr>
              <w:t>komunës.</w:t>
            </w:r>
          </w:p>
        </w:tc>
      </w:tr>
      <w:tr>
        <w:trPr>
          <w:trHeight w:val="1614" w:hRule="atLeast"/>
        </w:trPr>
        <w:tc>
          <w:tcPr>
            <w:tcW w:w="3652" w:type="dxa"/>
          </w:tcPr>
          <w:p>
            <w:pPr>
              <w:pStyle w:val="TableParagraph"/>
              <w:spacing w:line="276" w:lineRule="auto"/>
              <w:ind w:left="107" w:right="95"/>
              <w:jc w:val="both"/>
              <w:rPr>
                <w:rFonts w:ascii="Cambria" w:hAnsi="Cambria"/>
                <w:b/>
                <w:sz w:val="21"/>
              </w:rPr>
            </w:pPr>
            <w:r>
              <w:rPr>
                <w:rFonts w:ascii="Cambria" w:hAnsi="Cambria"/>
                <w:b/>
                <w:sz w:val="21"/>
              </w:rPr>
              <w:t>Plani Komunal i Veprimit për Eficencë të Energjisë për Komunën </w:t>
            </w:r>
            <w:r>
              <w:rPr>
                <w:rFonts w:ascii="Cambria" w:hAnsi="Cambria"/>
                <w:b/>
                <w:spacing w:val="-2"/>
                <w:sz w:val="21"/>
              </w:rPr>
              <w:t>e</w:t>
            </w:r>
            <w:r>
              <w:rPr>
                <w:rFonts w:ascii="Cambria" w:hAnsi="Cambria"/>
                <w:b/>
                <w:spacing w:val="-3"/>
                <w:sz w:val="21"/>
              </w:rPr>
              <w:t> </w:t>
            </w:r>
            <w:r>
              <w:rPr>
                <w:rFonts w:ascii="Cambria" w:hAnsi="Cambria"/>
                <w:b/>
                <w:spacing w:val="-2"/>
                <w:sz w:val="21"/>
              </w:rPr>
              <w:t>Hanit</w:t>
            </w:r>
            <w:r>
              <w:rPr>
                <w:rFonts w:ascii="Cambria" w:hAnsi="Cambria"/>
                <w:b/>
                <w:spacing w:val="-3"/>
                <w:sz w:val="21"/>
              </w:rPr>
              <w:t> </w:t>
            </w:r>
            <w:r>
              <w:rPr>
                <w:rFonts w:ascii="Cambria" w:hAnsi="Cambria"/>
                <w:b/>
                <w:spacing w:val="-2"/>
                <w:sz w:val="21"/>
              </w:rPr>
              <w:t>të</w:t>
            </w:r>
            <w:r>
              <w:rPr>
                <w:rFonts w:ascii="Cambria" w:hAnsi="Cambria"/>
                <w:b/>
                <w:spacing w:val="-4"/>
                <w:sz w:val="21"/>
              </w:rPr>
              <w:t> </w:t>
            </w:r>
            <w:r>
              <w:rPr>
                <w:rFonts w:ascii="Cambria" w:hAnsi="Cambria"/>
                <w:b/>
                <w:spacing w:val="-2"/>
                <w:sz w:val="21"/>
              </w:rPr>
              <w:t>Elezit</w:t>
            </w:r>
            <w:r>
              <w:rPr>
                <w:rFonts w:ascii="Cambria" w:hAnsi="Cambria"/>
                <w:b/>
                <w:spacing w:val="-1"/>
                <w:sz w:val="21"/>
              </w:rPr>
              <w:t> </w:t>
            </w:r>
            <w:r>
              <w:rPr>
                <w:rFonts w:ascii="Cambria" w:hAnsi="Cambria"/>
                <w:b/>
                <w:spacing w:val="-2"/>
                <w:sz w:val="21"/>
              </w:rPr>
              <w:t>(PKVEE)</w:t>
            </w:r>
            <w:r>
              <w:rPr>
                <w:rFonts w:ascii="Cambria" w:hAnsi="Cambria"/>
                <w:b/>
                <w:spacing w:val="-1"/>
                <w:sz w:val="21"/>
              </w:rPr>
              <w:t> </w:t>
            </w:r>
            <w:r>
              <w:rPr>
                <w:rFonts w:ascii="Cambria" w:hAnsi="Cambria"/>
                <w:b/>
                <w:spacing w:val="-2"/>
                <w:sz w:val="21"/>
              </w:rPr>
              <w:t>2019-</w:t>
            </w:r>
            <w:r>
              <w:rPr>
                <w:rFonts w:ascii="Cambria" w:hAnsi="Cambria"/>
                <w:b/>
                <w:spacing w:val="-4"/>
                <w:sz w:val="21"/>
              </w:rPr>
              <w:t>2021</w:t>
            </w:r>
          </w:p>
        </w:tc>
        <w:tc>
          <w:tcPr>
            <w:tcW w:w="6027" w:type="dxa"/>
          </w:tcPr>
          <w:p>
            <w:pPr>
              <w:pStyle w:val="TableParagraph"/>
              <w:spacing w:line="276" w:lineRule="auto"/>
              <w:ind w:left="107" w:right="94"/>
              <w:jc w:val="both"/>
              <w:rPr>
                <w:rFonts w:ascii="Cambria" w:hAnsi="Cambria"/>
                <w:sz w:val="21"/>
              </w:rPr>
            </w:pPr>
            <w:r>
              <w:rPr>
                <w:rFonts w:ascii="Cambria" w:hAnsi="Cambria"/>
                <w:sz w:val="21"/>
              </w:rPr>
              <w:t>Objektivi i PKVEE është zvogëlimi i konsumit të energjisë në objektet publike, transport dhe ndriçim publik, rritja e nivelit të komoditetit,</w:t>
            </w:r>
            <w:r>
              <w:rPr>
                <w:rFonts w:ascii="Cambria" w:hAnsi="Cambria"/>
                <w:spacing w:val="-12"/>
                <w:sz w:val="21"/>
              </w:rPr>
              <w:t> </w:t>
            </w:r>
            <w:r>
              <w:rPr>
                <w:rFonts w:ascii="Cambria" w:hAnsi="Cambria"/>
                <w:sz w:val="21"/>
              </w:rPr>
              <w:t>zvogëlimi</w:t>
            </w:r>
            <w:r>
              <w:rPr>
                <w:rFonts w:ascii="Cambria" w:hAnsi="Cambria"/>
                <w:spacing w:val="-11"/>
                <w:sz w:val="21"/>
              </w:rPr>
              <w:t> </w:t>
            </w:r>
            <w:r>
              <w:rPr>
                <w:rFonts w:ascii="Cambria" w:hAnsi="Cambria"/>
                <w:sz w:val="21"/>
              </w:rPr>
              <w:t>i</w:t>
            </w:r>
            <w:r>
              <w:rPr>
                <w:rFonts w:ascii="Cambria" w:hAnsi="Cambria"/>
                <w:spacing w:val="-12"/>
                <w:sz w:val="21"/>
              </w:rPr>
              <w:t> </w:t>
            </w:r>
            <w:r>
              <w:rPr>
                <w:rFonts w:ascii="Cambria" w:hAnsi="Cambria"/>
                <w:sz w:val="21"/>
              </w:rPr>
              <w:t>kostos</w:t>
            </w:r>
            <w:r>
              <w:rPr>
                <w:rFonts w:ascii="Cambria" w:hAnsi="Cambria"/>
                <w:spacing w:val="-11"/>
                <w:sz w:val="21"/>
              </w:rPr>
              <w:t> </w:t>
            </w:r>
            <w:r>
              <w:rPr>
                <w:rFonts w:ascii="Cambria" w:hAnsi="Cambria"/>
                <w:sz w:val="21"/>
              </w:rPr>
              <w:t>së</w:t>
            </w:r>
            <w:r>
              <w:rPr>
                <w:rFonts w:ascii="Cambria" w:hAnsi="Cambria"/>
                <w:spacing w:val="-12"/>
                <w:sz w:val="21"/>
              </w:rPr>
              <w:t> </w:t>
            </w:r>
            <w:r>
              <w:rPr>
                <w:rFonts w:ascii="Cambria" w:hAnsi="Cambria"/>
                <w:sz w:val="21"/>
              </w:rPr>
              <w:t>shpenzimeve</w:t>
            </w:r>
            <w:r>
              <w:rPr>
                <w:rFonts w:ascii="Cambria" w:hAnsi="Cambria"/>
                <w:spacing w:val="-11"/>
                <w:sz w:val="21"/>
              </w:rPr>
              <w:t> </w:t>
            </w:r>
            <w:r>
              <w:rPr>
                <w:rFonts w:ascii="Cambria" w:hAnsi="Cambria"/>
                <w:sz w:val="21"/>
              </w:rPr>
              <w:t>të</w:t>
            </w:r>
            <w:r>
              <w:rPr>
                <w:rFonts w:ascii="Cambria" w:hAnsi="Cambria"/>
                <w:spacing w:val="-12"/>
                <w:sz w:val="21"/>
              </w:rPr>
              <w:t> </w:t>
            </w:r>
            <w:r>
              <w:rPr>
                <w:rFonts w:ascii="Cambria" w:hAnsi="Cambria"/>
                <w:sz w:val="21"/>
              </w:rPr>
              <w:t>energjisë</w:t>
            </w:r>
            <w:r>
              <w:rPr>
                <w:rFonts w:ascii="Cambria" w:hAnsi="Cambria"/>
                <w:spacing w:val="-10"/>
                <w:sz w:val="21"/>
              </w:rPr>
              <w:t> </w:t>
            </w:r>
            <w:r>
              <w:rPr>
                <w:rFonts w:ascii="Cambria" w:hAnsi="Cambria"/>
                <w:sz w:val="21"/>
              </w:rPr>
              <w:t>si</w:t>
            </w:r>
            <w:r>
              <w:rPr>
                <w:rFonts w:ascii="Cambria" w:hAnsi="Cambria"/>
                <w:spacing w:val="-12"/>
                <w:sz w:val="21"/>
              </w:rPr>
              <w:t> </w:t>
            </w:r>
            <w:r>
              <w:rPr>
                <w:rFonts w:ascii="Cambria" w:hAnsi="Cambria"/>
                <w:sz w:val="21"/>
              </w:rPr>
              <w:t>dhe krijimi</w:t>
            </w:r>
            <w:r>
              <w:rPr>
                <w:rFonts w:ascii="Cambria" w:hAnsi="Cambria"/>
                <w:spacing w:val="-7"/>
                <w:sz w:val="21"/>
              </w:rPr>
              <w:t> </w:t>
            </w:r>
            <w:r>
              <w:rPr>
                <w:rFonts w:ascii="Cambria" w:hAnsi="Cambria"/>
                <w:sz w:val="21"/>
              </w:rPr>
              <w:t>i</w:t>
            </w:r>
            <w:r>
              <w:rPr>
                <w:rFonts w:ascii="Cambria" w:hAnsi="Cambria"/>
                <w:spacing w:val="-9"/>
                <w:sz w:val="21"/>
              </w:rPr>
              <w:t> </w:t>
            </w:r>
            <w:r>
              <w:rPr>
                <w:rFonts w:ascii="Cambria" w:hAnsi="Cambria"/>
                <w:sz w:val="21"/>
              </w:rPr>
              <w:t>sistemit</w:t>
            </w:r>
            <w:r>
              <w:rPr>
                <w:rFonts w:ascii="Cambria" w:hAnsi="Cambria"/>
                <w:spacing w:val="-8"/>
                <w:sz w:val="21"/>
              </w:rPr>
              <w:t> </w:t>
            </w:r>
            <w:r>
              <w:rPr>
                <w:rFonts w:ascii="Cambria" w:hAnsi="Cambria"/>
                <w:sz w:val="21"/>
              </w:rPr>
              <w:t>për</w:t>
            </w:r>
            <w:r>
              <w:rPr>
                <w:rFonts w:ascii="Cambria" w:hAnsi="Cambria"/>
                <w:spacing w:val="-7"/>
                <w:sz w:val="21"/>
              </w:rPr>
              <w:t> </w:t>
            </w:r>
            <w:r>
              <w:rPr>
                <w:rFonts w:ascii="Cambria" w:hAnsi="Cambria"/>
                <w:sz w:val="21"/>
              </w:rPr>
              <w:t>menaxhimin</w:t>
            </w:r>
            <w:r>
              <w:rPr>
                <w:rFonts w:ascii="Cambria" w:hAnsi="Cambria"/>
                <w:spacing w:val="-9"/>
                <w:sz w:val="21"/>
              </w:rPr>
              <w:t> </w:t>
            </w:r>
            <w:r>
              <w:rPr>
                <w:rFonts w:ascii="Cambria" w:hAnsi="Cambria"/>
                <w:sz w:val="21"/>
              </w:rPr>
              <w:t>e</w:t>
            </w:r>
            <w:r>
              <w:rPr>
                <w:rFonts w:ascii="Cambria" w:hAnsi="Cambria"/>
                <w:spacing w:val="-8"/>
                <w:sz w:val="21"/>
              </w:rPr>
              <w:t> </w:t>
            </w:r>
            <w:r>
              <w:rPr>
                <w:rFonts w:ascii="Cambria" w:hAnsi="Cambria"/>
                <w:sz w:val="21"/>
              </w:rPr>
              <w:t>energjisë</w:t>
            </w:r>
            <w:r>
              <w:rPr>
                <w:rFonts w:ascii="Cambria" w:hAnsi="Cambria"/>
                <w:spacing w:val="-9"/>
                <w:sz w:val="21"/>
              </w:rPr>
              <w:t> </w:t>
            </w:r>
            <w:r>
              <w:rPr>
                <w:rFonts w:ascii="Cambria" w:hAnsi="Cambria"/>
                <w:sz w:val="21"/>
              </w:rPr>
              <w:t>në</w:t>
            </w:r>
            <w:r>
              <w:rPr>
                <w:rFonts w:ascii="Cambria" w:hAnsi="Cambria"/>
                <w:spacing w:val="-8"/>
                <w:sz w:val="21"/>
              </w:rPr>
              <w:t> </w:t>
            </w:r>
            <w:r>
              <w:rPr>
                <w:rFonts w:ascii="Cambria" w:hAnsi="Cambria"/>
                <w:sz w:val="21"/>
              </w:rPr>
              <w:t>komunën</w:t>
            </w:r>
            <w:r>
              <w:rPr>
                <w:rFonts w:ascii="Cambria" w:hAnsi="Cambria"/>
                <w:spacing w:val="-8"/>
                <w:sz w:val="21"/>
              </w:rPr>
              <w:t> </w:t>
            </w:r>
            <w:r>
              <w:rPr>
                <w:rFonts w:ascii="Cambria" w:hAnsi="Cambria"/>
                <w:sz w:val="21"/>
              </w:rPr>
              <w:t>e</w:t>
            </w:r>
            <w:r>
              <w:rPr>
                <w:rFonts w:ascii="Cambria" w:hAnsi="Cambria"/>
                <w:spacing w:val="-8"/>
                <w:sz w:val="21"/>
              </w:rPr>
              <w:t> </w:t>
            </w:r>
            <w:r>
              <w:rPr>
                <w:rFonts w:ascii="Cambria" w:hAnsi="Cambria"/>
                <w:sz w:val="21"/>
              </w:rPr>
              <w:t>Hanit të Elezit.</w:t>
            </w:r>
          </w:p>
        </w:tc>
      </w:tr>
      <w:tr>
        <w:trPr>
          <w:trHeight w:val="1049" w:hRule="atLeast"/>
        </w:trPr>
        <w:tc>
          <w:tcPr>
            <w:tcW w:w="3652" w:type="dxa"/>
          </w:tcPr>
          <w:p>
            <w:pPr>
              <w:pStyle w:val="TableParagraph"/>
              <w:spacing w:line="278" w:lineRule="auto"/>
              <w:ind w:left="107" w:right="79"/>
              <w:rPr>
                <w:rFonts w:ascii="Cambria" w:hAnsi="Cambria"/>
                <w:b/>
                <w:sz w:val="21"/>
              </w:rPr>
            </w:pPr>
            <w:r>
              <w:rPr>
                <w:rFonts w:ascii="Cambria" w:hAnsi="Cambria"/>
                <w:b/>
                <w:sz w:val="21"/>
              </w:rPr>
              <w:t>Strategjia</w:t>
            </w:r>
            <w:r>
              <w:rPr>
                <w:rFonts w:ascii="Cambria" w:hAnsi="Cambria"/>
                <w:b/>
                <w:spacing w:val="40"/>
                <w:sz w:val="21"/>
              </w:rPr>
              <w:t> </w:t>
            </w:r>
            <w:r>
              <w:rPr>
                <w:rFonts w:ascii="Cambria" w:hAnsi="Cambria"/>
                <w:b/>
                <w:sz w:val="21"/>
              </w:rPr>
              <w:t>e</w:t>
            </w:r>
            <w:r>
              <w:rPr>
                <w:rFonts w:ascii="Cambria" w:hAnsi="Cambria"/>
                <w:b/>
                <w:spacing w:val="40"/>
                <w:sz w:val="21"/>
              </w:rPr>
              <w:t> </w:t>
            </w:r>
            <w:r>
              <w:rPr>
                <w:rFonts w:ascii="Cambria" w:hAnsi="Cambria"/>
                <w:b/>
                <w:sz w:val="21"/>
              </w:rPr>
              <w:t>zhvillimit</w:t>
            </w:r>
            <w:r>
              <w:rPr>
                <w:rFonts w:ascii="Cambria" w:hAnsi="Cambria"/>
                <w:b/>
                <w:spacing w:val="40"/>
                <w:sz w:val="21"/>
              </w:rPr>
              <w:t> </w:t>
            </w:r>
            <w:r>
              <w:rPr>
                <w:rFonts w:ascii="Cambria" w:hAnsi="Cambria"/>
                <w:b/>
                <w:sz w:val="21"/>
              </w:rPr>
              <w:t>rajonal</w:t>
            </w:r>
            <w:r>
              <w:rPr>
                <w:rFonts w:ascii="Cambria" w:hAnsi="Cambria"/>
                <w:b/>
                <w:spacing w:val="40"/>
                <w:sz w:val="21"/>
              </w:rPr>
              <w:t> </w:t>
            </w:r>
            <w:r>
              <w:rPr>
                <w:rFonts w:ascii="Cambria" w:hAnsi="Cambria"/>
                <w:b/>
                <w:sz w:val="21"/>
              </w:rPr>
              <w:t>për rajonin ekonomik lindje</w:t>
            </w:r>
          </w:p>
        </w:tc>
        <w:tc>
          <w:tcPr>
            <w:tcW w:w="6027" w:type="dxa"/>
          </w:tcPr>
          <w:p>
            <w:pPr>
              <w:pStyle w:val="TableParagraph"/>
              <w:spacing w:line="276" w:lineRule="auto"/>
              <w:ind w:left="107" w:right="98"/>
              <w:jc w:val="both"/>
              <w:rPr>
                <w:rFonts w:ascii="Cambria" w:hAnsi="Cambria"/>
                <w:sz w:val="21"/>
              </w:rPr>
            </w:pPr>
            <w:r>
              <w:rPr>
                <w:rFonts w:ascii="Cambria" w:hAnsi="Cambria"/>
                <w:sz w:val="21"/>
              </w:rPr>
              <w:t>Ky document ka paraqitur zhvillimin rajonal lindje të Kosovës, objektivat ne zhvillim socio-ekonomik të komunave ne lindje te </w:t>
            </w:r>
            <w:r>
              <w:rPr>
                <w:rFonts w:ascii="Cambria" w:hAnsi="Cambria"/>
                <w:spacing w:val="-2"/>
                <w:sz w:val="21"/>
              </w:rPr>
              <w:t>Kosovës</w:t>
            </w:r>
          </w:p>
        </w:tc>
      </w:tr>
    </w:tbl>
    <w:p>
      <w:pPr>
        <w:pStyle w:val="BodyText"/>
        <w:spacing w:before="24"/>
        <w:ind w:left="1473"/>
      </w:pPr>
      <w:r>
        <w:rPr>
          <w:b/>
        </w:rPr>
        <w:t>Tabela</w:t>
      </w:r>
      <w:r>
        <w:rPr>
          <w:b/>
          <w:spacing w:val="-2"/>
        </w:rPr>
        <w:t> </w:t>
      </w:r>
      <w:r>
        <w:rPr>
          <w:b/>
        </w:rPr>
        <w:t>1</w:t>
      </w:r>
      <w:r>
        <w:rPr>
          <w:b/>
          <w:spacing w:val="-2"/>
        </w:rPr>
        <w:t> </w:t>
      </w:r>
      <w:r>
        <w:rPr>
          <w:b/>
        </w:rPr>
        <w:t>:</w:t>
      </w:r>
      <w:r>
        <w:rPr>
          <w:b/>
          <w:spacing w:val="-1"/>
        </w:rPr>
        <w:t> </w:t>
      </w:r>
      <w:r>
        <w:rPr/>
        <w:t>Dokumentet</w:t>
      </w:r>
      <w:r>
        <w:rPr>
          <w:spacing w:val="-2"/>
        </w:rPr>
        <w:t> </w:t>
      </w:r>
      <w:r>
        <w:rPr/>
        <w:t>strategjike</w:t>
      </w:r>
      <w:r>
        <w:rPr>
          <w:spacing w:val="-2"/>
        </w:rPr>
        <w:t> </w:t>
      </w:r>
      <w:r>
        <w:rPr/>
        <w:t>dhe</w:t>
      </w:r>
      <w:r>
        <w:rPr>
          <w:spacing w:val="-1"/>
        </w:rPr>
        <w:t> </w:t>
      </w:r>
      <w:r>
        <w:rPr/>
        <w:t>planifikuese</w:t>
      </w:r>
      <w:r>
        <w:rPr>
          <w:spacing w:val="-2"/>
        </w:rPr>
        <w:t> </w:t>
      </w:r>
      <w:r>
        <w:rPr/>
        <w:t>të</w:t>
      </w:r>
      <w:r>
        <w:rPr>
          <w:spacing w:val="-2"/>
        </w:rPr>
        <w:t> </w:t>
      </w:r>
      <w:r>
        <w:rPr/>
        <w:t>Komunës</w:t>
      </w:r>
      <w:r>
        <w:rPr>
          <w:spacing w:val="-1"/>
        </w:rPr>
        <w:t> </w:t>
      </w:r>
      <w:r>
        <w:rPr/>
        <w:t>së</w:t>
      </w:r>
      <w:r>
        <w:rPr>
          <w:spacing w:val="-2"/>
        </w:rPr>
        <w:t> </w:t>
      </w:r>
      <w:r>
        <w:rPr/>
        <w:t>Hanit</w:t>
      </w:r>
      <w:r>
        <w:rPr>
          <w:spacing w:val="-2"/>
        </w:rPr>
        <w:t> </w:t>
      </w:r>
      <w:r>
        <w:rPr/>
        <w:t>të</w:t>
      </w:r>
      <w:r>
        <w:rPr>
          <w:spacing w:val="-1"/>
        </w:rPr>
        <w:t> </w:t>
      </w:r>
      <w:r>
        <w:rPr>
          <w:spacing w:val="-2"/>
        </w:rPr>
        <w:t>Elezit</w:t>
      </w:r>
    </w:p>
    <w:p>
      <w:pPr>
        <w:spacing w:after="0"/>
        <w:sectPr>
          <w:pgSz w:w="12240" w:h="15840"/>
          <w:pgMar w:header="0" w:footer="990" w:top="1420" w:bottom="1180" w:left="700" w:right="0"/>
        </w:sectPr>
      </w:pPr>
    </w:p>
    <w:p>
      <w:pPr>
        <w:pStyle w:val="BodyText"/>
        <w:rPr>
          <w:sz w:val="20"/>
        </w:rPr>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62874" cy="10048873"/>
            <wp:effectExtent l="0" t="0" r="0" b="0"/>
            <wp:wrapNone/>
            <wp:docPr id="9" name="image23.jpeg"/>
            <wp:cNvGraphicFramePr>
              <a:graphicFrameLocks noChangeAspect="1"/>
            </wp:cNvGraphicFramePr>
            <a:graphic>
              <a:graphicData uri="http://schemas.openxmlformats.org/drawingml/2006/picture">
                <pic:pic>
                  <pic:nvPicPr>
                    <pic:cNvPr id="10" name="image23.jpeg"/>
                    <pic:cNvPicPr/>
                  </pic:nvPicPr>
                  <pic:blipFill>
                    <a:blip r:embed="rId29" cstate="print"/>
                    <a:stretch>
                      <a:fillRect/>
                    </a:stretch>
                  </pic:blipFill>
                  <pic:spPr>
                    <a:xfrm>
                      <a:off x="0" y="0"/>
                      <a:ext cx="7762874" cy="1004887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57"/>
        <w:ind w:left="0" w:right="1437" w:firstLine="0"/>
        <w:jc w:val="right"/>
        <w:rPr>
          <w:rFonts w:ascii="Calibri"/>
          <w:sz w:val="21"/>
        </w:rPr>
      </w:pPr>
      <w:r>
        <w:rPr>
          <w:rFonts w:ascii="Calibri"/>
          <w:spacing w:val="-5"/>
          <w:sz w:val="21"/>
        </w:rPr>
        <w:t>10</w:t>
      </w:r>
    </w:p>
    <w:p>
      <w:pPr>
        <w:spacing w:after="0"/>
        <w:jc w:val="right"/>
        <w:rPr>
          <w:rFonts w:ascii="Calibri"/>
          <w:sz w:val="21"/>
        </w:rPr>
        <w:sectPr>
          <w:footerReference w:type="default" r:id="rId28"/>
          <w:pgSz w:w="12240" w:h="15840"/>
          <w:pgMar w:footer="0" w:header="0" w:top="1820" w:bottom="280" w:left="700" w:right="0"/>
        </w:sectPr>
      </w:pPr>
    </w:p>
    <w:p>
      <w:pPr>
        <w:pStyle w:val="Heading1"/>
        <w:numPr>
          <w:ilvl w:val="0"/>
          <w:numId w:val="4"/>
        </w:numPr>
        <w:tabs>
          <w:tab w:pos="2431" w:val="left" w:leader="none"/>
          <w:tab w:pos="2432" w:val="left" w:leader="none"/>
        </w:tabs>
        <w:spacing w:line="240" w:lineRule="auto" w:before="151" w:after="0"/>
        <w:ind w:left="2431" w:right="0" w:hanging="481"/>
        <w:jc w:val="left"/>
        <w:rPr>
          <w:rFonts w:ascii="Calibri"/>
          <w:b w:val="0"/>
          <w:color w:val="FFFFFF"/>
        </w:rPr>
      </w:pPr>
      <w:r>
        <w:rPr/>
        <w:pict>
          <v:group style="position:absolute;margin-left:.25pt;margin-top:.4pt;width:612.25pt;height:46.75pt;mso-position-horizontal-relative:page;mso-position-vertical-relative:page;z-index:-19990016" id="docshapegroup62" coordorigin="5,8" coordsize="12245,935">
            <v:rect style="position:absolute;left:15;top:18;width:7067;height:915" id="docshape63" filled="true" fillcolor="#eab9a4" stroked="false">
              <v:fill type="solid"/>
            </v:rect>
            <v:rect style="position:absolute;left:15;top:18;width:7067;height:915" id="docshape64" filled="false" stroked="true" strokeweight="1pt" strokecolor="#eab9a4">
              <v:stroke dashstyle="solid"/>
            </v:rect>
            <v:rect style="position:absolute;left:7093;top:18;width:5147;height:488" id="docshape65" filled="true" fillcolor="#eab9a4" stroked="false">
              <v:fill type="solid"/>
            </v:rect>
            <v:rect style="position:absolute;left:7093;top:18;width:5147;height:488" id="docshape66" filled="false" stroked="true" strokeweight="1pt" strokecolor="#eab9a4">
              <v:stroke dashstyle="solid"/>
            </v:rect>
            <v:shape style="position:absolute;left:5665;top:28;width:2820;height:903" id="docshape67" coordorigin="5666,29" coordsize="2820,903" path="m8486,29l6660,29,5666,931,7491,931,8486,29xe" filled="true" fillcolor="#eab9a4" stroked="false">
              <v:path arrowok="t"/>
              <v:fill type="solid"/>
            </v:shape>
            <v:shape style="position:absolute;left:5665;top:28;width:2820;height:903" id="docshape68" coordorigin="5666,29" coordsize="2820,903" path="m5666,931l6660,29,8486,29,7491,931,5666,931xe" filled="false" stroked="true" strokeweight="1pt" strokecolor="#eab9a4">
              <v:path arrowok="t"/>
              <v:stroke dashstyle="solid"/>
            </v:shape>
            <w10:wrap type="none"/>
          </v:group>
        </w:pict>
      </w:r>
      <w:r>
        <w:rPr>
          <w:color w:val="FFFFFF"/>
          <w:spacing w:val="-2"/>
        </w:rPr>
        <w:t>Historiku</w:t>
      </w:r>
    </w:p>
    <w:p>
      <w:pPr>
        <w:pStyle w:val="BodyText"/>
        <w:rPr>
          <w:b/>
          <w:sz w:val="20"/>
        </w:rPr>
      </w:pPr>
    </w:p>
    <w:p>
      <w:pPr>
        <w:pStyle w:val="BodyText"/>
        <w:rPr>
          <w:b/>
          <w:sz w:val="20"/>
        </w:rPr>
      </w:pPr>
    </w:p>
    <w:p>
      <w:pPr>
        <w:pStyle w:val="BodyText"/>
        <w:rPr>
          <w:b/>
          <w:sz w:val="20"/>
        </w:rPr>
      </w:pPr>
    </w:p>
    <w:p>
      <w:pPr>
        <w:pStyle w:val="BodyText"/>
        <w:spacing w:line="288" w:lineRule="auto" w:before="208"/>
        <w:ind w:left="740" w:right="1435"/>
      </w:pPr>
      <w:r>
        <w:rPr/>
        <w:t>Komuna ka gjithsej 11 zona kadastrale, dy prej të cilave kanë qenë të shpopulluara që nga viti 1999. Sipas të dhënave të Agjencisë së Statistikave të Kosovës nga regjistrimi i popullësisë së vitit</w:t>
      </w:r>
      <w:r>
        <w:rPr>
          <w:spacing w:val="-2"/>
        </w:rPr>
        <w:t> </w:t>
      </w:r>
      <w:r>
        <w:rPr/>
        <w:t>2011,</w:t>
      </w:r>
      <w:r>
        <w:rPr>
          <w:spacing w:val="-2"/>
        </w:rPr>
        <w:t> </w:t>
      </w:r>
      <w:r>
        <w:rPr/>
        <w:t>Komuna</w:t>
      </w:r>
      <w:r>
        <w:rPr>
          <w:spacing w:val="-2"/>
        </w:rPr>
        <w:t> </w:t>
      </w:r>
      <w:r>
        <w:rPr/>
        <w:t>e</w:t>
      </w:r>
      <w:r>
        <w:rPr>
          <w:spacing w:val="-2"/>
        </w:rPr>
        <w:t> </w:t>
      </w:r>
      <w:r>
        <w:rPr/>
        <w:t>Hanit</w:t>
      </w:r>
      <w:r>
        <w:rPr>
          <w:spacing w:val="-2"/>
        </w:rPr>
        <w:t> </w:t>
      </w:r>
      <w:r>
        <w:rPr/>
        <w:t>të</w:t>
      </w:r>
      <w:r>
        <w:rPr>
          <w:spacing w:val="-2"/>
        </w:rPr>
        <w:t> </w:t>
      </w:r>
      <w:r>
        <w:rPr/>
        <w:t>Elezit</w:t>
      </w:r>
      <w:r>
        <w:rPr>
          <w:spacing w:val="-3"/>
        </w:rPr>
        <w:t> </w:t>
      </w:r>
      <w:r>
        <w:rPr/>
        <w:t>ka</w:t>
      </w:r>
      <w:r>
        <w:rPr>
          <w:spacing w:val="-2"/>
        </w:rPr>
        <w:t> </w:t>
      </w:r>
      <w:r>
        <w:rPr/>
        <w:t>9.403</w:t>
      </w:r>
      <w:r>
        <w:rPr>
          <w:spacing w:val="-2"/>
        </w:rPr>
        <w:t> </w:t>
      </w:r>
      <w:r>
        <w:rPr/>
        <w:t>banorë.</w:t>
      </w:r>
      <w:r>
        <w:rPr>
          <w:spacing w:val="-2"/>
        </w:rPr>
        <w:t> </w:t>
      </w:r>
      <w:r>
        <w:rPr/>
        <w:t>Që</w:t>
      </w:r>
      <w:r>
        <w:rPr>
          <w:spacing w:val="-2"/>
        </w:rPr>
        <w:t> </w:t>
      </w:r>
      <w:r>
        <w:rPr/>
        <w:t>nga</w:t>
      </w:r>
      <w:r>
        <w:rPr>
          <w:spacing w:val="-2"/>
        </w:rPr>
        <w:t> </w:t>
      </w:r>
      <w:r>
        <w:rPr/>
        <w:t>themelimi</w:t>
      </w:r>
      <w:r>
        <w:rPr>
          <w:spacing w:val="-3"/>
        </w:rPr>
        <w:t> </w:t>
      </w:r>
      <w:r>
        <w:rPr/>
        <w:t>i</w:t>
      </w:r>
      <w:r>
        <w:rPr>
          <w:spacing w:val="-2"/>
        </w:rPr>
        <w:t> </w:t>
      </w:r>
      <w:r>
        <w:rPr/>
        <w:t>fabrikës</w:t>
      </w:r>
      <w:r>
        <w:rPr>
          <w:spacing w:val="-2"/>
        </w:rPr>
        <w:t> </w:t>
      </w:r>
      <w:r>
        <w:rPr/>
        <w:t>së</w:t>
      </w:r>
      <w:r>
        <w:rPr>
          <w:spacing w:val="-4"/>
        </w:rPr>
        <w:t> </w:t>
      </w:r>
      <w:r>
        <w:rPr/>
        <w:t>çimentos</w:t>
      </w:r>
      <w:r>
        <w:rPr>
          <w:spacing w:val="-2"/>
        </w:rPr>
        <w:t> </w:t>
      </w:r>
      <w:r>
        <w:rPr/>
        <w:t>në vitin 1936, numri i popullsisë në Hanin e Elezit është rritur vazhdimisht.</w:t>
      </w:r>
    </w:p>
    <w:p>
      <w:pPr>
        <w:pStyle w:val="BodyText"/>
        <w:spacing w:line="288" w:lineRule="auto" w:before="201"/>
        <w:ind w:left="740" w:right="1437"/>
        <w:jc w:val="both"/>
      </w:pPr>
      <w:r>
        <w:rPr/>
        <w:t>Territori</w:t>
      </w:r>
      <w:r>
        <w:rPr>
          <w:spacing w:val="-4"/>
        </w:rPr>
        <w:t> </w:t>
      </w:r>
      <w:r>
        <w:rPr/>
        <w:t>i</w:t>
      </w:r>
      <w:r>
        <w:rPr>
          <w:spacing w:val="-4"/>
        </w:rPr>
        <w:t> </w:t>
      </w:r>
      <w:r>
        <w:rPr/>
        <w:t>sotëm</w:t>
      </w:r>
      <w:r>
        <w:rPr>
          <w:spacing w:val="-3"/>
        </w:rPr>
        <w:t> </w:t>
      </w:r>
      <w:r>
        <w:rPr/>
        <w:t>i</w:t>
      </w:r>
      <w:r>
        <w:rPr>
          <w:spacing w:val="-3"/>
        </w:rPr>
        <w:t> </w:t>
      </w:r>
      <w:r>
        <w:rPr/>
        <w:t>komunës,</w:t>
      </w:r>
      <w:r>
        <w:rPr>
          <w:spacing w:val="-3"/>
        </w:rPr>
        <w:t> </w:t>
      </w:r>
      <w:r>
        <w:rPr/>
        <w:t>dikur</w:t>
      </w:r>
      <w:r>
        <w:rPr>
          <w:spacing w:val="-3"/>
        </w:rPr>
        <w:t> </w:t>
      </w:r>
      <w:r>
        <w:rPr/>
        <w:t>ishte</w:t>
      </w:r>
      <w:r>
        <w:rPr>
          <w:spacing w:val="-3"/>
        </w:rPr>
        <w:t> </w:t>
      </w:r>
      <w:r>
        <w:rPr/>
        <w:t>i</w:t>
      </w:r>
      <w:r>
        <w:rPr>
          <w:spacing w:val="-3"/>
        </w:rPr>
        <w:t> </w:t>
      </w:r>
      <w:r>
        <w:rPr/>
        <w:t>njohur</w:t>
      </w:r>
      <w:r>
        <w:rPr>
          <w:spacing w:val="-4"/>
        </w:rPr>
        <w:t> </w:t>
      </w:r>
      <w:r>
        <w:rPr/>
        <w:t>me</w:t>
      </w:r>
      <w:r>
        <w:rPr>
          <w:spacing w:val="-2"/>
        </w:rPr>
        <w:t> </w:t>
      </w:r>
      <w:r>
        <w:rPr/>
        <w:t>emrin</w:t>
      </w:r>
      <w:r>
        <w:rPr>
          <w:spacing w:val="-4"/>
        </w:rPr>
        <w:t> </w:t>
      </w:r>
      <w:r>
        <w:rPr/>
        <w:t>Sar,</w:t>
      </w:r>
      <w:r>
        <w:rPr>
          <w:spacing w:val="-3"/>
        </w:rPr>
        <w:t> </w:t>
      </w:r>
      <w:r>
        <w:rPr/>
        <w:t>dhe</w:t>
      </w:r>
      <w:r>
        <w:rPr>
          <w:spacing w:val="-5"/>
        </w:rPr>
        <w:t> </w:t>
      </w:r>
      <w:r>
        <w:rPr/>
        <w:t>ka</w:t>
      </w:r>
      <w:r>
        <w:rPr>
          <w:spacing w:val="-4"/>
        </w:rPr>
        <w:t> </w:t>
      </w:r>
      <w:r>
        <w:rPr/>
        <w:t>qenë</w:t>
      </w:r>
      <w:r>
        <w:rPr>
          <w:spacing w:val="-4"/>
        </w:rPr>
        <w:t> </w:t>
      </w:r>
      <w:r>
        <w:rPr/>
        <w:t>i</w:t>
      </w:r>
      <w:r>
        <w:rPr>
          <w:spacing w:val="-4"/>
        </w:rPr>
        <w:t> </w:t>
      </w:r>
      <w:r>
        <w:rPr/>
        <w:t>banuar</w:t>
      </w:r>
      <w:r>
        <w:rPr>
          <w:spacing w:val="-5"/>
        </w:rPr>
        <w:t> </w:t>
      </w:r>
      <w:r>
        <w:rPr/>
        <w:t>që</w:t>
      </w:r>
      <w:r>
        <w:rPr>
          <w:spacing w:val="-4"/>
        </w:rPr>
        <w:t> </w:t>
      </w:r>
      <w:r>
        <w:rPr/>
        <w:t>prej</w:t>
      </w:r>
      <w:r>
        <w:rPr>
          <w:spacing w:val="-4"/>
        </w:rPr>
        <w:t> </w:t>
      </w:r>
      <w:r>
        <w:rPr/>
        <w:t>kohës së Romakeve. Këtë e vërtetojnë zbulimet e materialeve të ndryshme arkeologjike, siç është mbishkrimi në gjuhë latine i një perandori romak. Zbulimet e materialeve të vjetra në afërsi të rrugëve</w:t>
      </w:r>
      <w:r>
        <w:rPr>
          <w:spacing w:val="-14"/>
        </w:rPr>
        <w:t> </w:t>
      </w:r>
      <w:r>
        <w:rPr/>
        <w:t>që</w:t>
      </w:r>
      <w:r>
        <w:rPr>
          <w:spacing w:val="-15"/>
        </w:rPr>
        <w:t> </w:t>
      </w:r>
      <w:r>
        <w:rPr/>
        <w:t>e</w:t>
      </w:r>
      <w:r>
        <w:rPr>
          <w:spacing w:val="-15"/>
        </w:rPr>
        <w:t> </w:t>
      </w:r>
      <w:r>
        <w:rPr/>
        <w:t>lidhnin</w:t>
      </w:r>
      <w:r>
        <w:rPr>
          <w:spacing w:val="-14"/>
        </w:rPr>
        <w:t> </w:t>
      </w:r>
      <w:r>
        <w:rPr/>
        <w:t>dikur</w:t>
      </w:r>
      <w:r>
        <w:rPr>
          <w:spacing w:val="-14"/>
        </w:rPr>
        <w:t> </w:t>
      </w:r>
      <w:r>
        <w:rPr/>
        <w:t>rajonin</w:t>
      </w:r>
      <w:r>
        <w:rPr>
          <w:spacing w:val="-14"/>
        </w:rPr>
        <w:t> </w:t>
      </w:r>
      <w:r>
        <w:rPr/>
        <w:t>me</w:t>
      </w:r>
      <w:r>
        <w:rPr>
          <w:spacing w:val="-15"/>
        </w:rPr>
        <w:t> </w:t>
      </w:r>
      <w:r>
        <w:rPr/>
        <w:t>Scupi-n</w:t>
      </w:r>
      <w:r>
        <w:rPr>
          <w:spacing w:val="-14"/>
        </w:rPr>
        <w:t> </w:t>
      </w:r>
      <w:r>
        <w:rPr/>
        <w:t>(Shkupin</w:t>
      </w:r>
      <w:r>
        <w:rPr>
          <w:spacing w:val="-14"/>
        </w:rPr>
        <w:t> </w:t>
      </w:r>
      <w:r>
        <w:rPr/>
        <w:t>e</w:t>
      </w:r>
      <w:r>
        <w:rPr>
          <w:spacing w:val="-14"/>
        </w:rPr>
        <w:t> </w:t>
      </w:r>
      <w:r>
        <w:rPr/>
        <w:t>sotëm),</w:t>
      </w:r>
      <w:r>
        <w:rPr>
          <w:spacing w:val="-14"/>
        </w:rPr>
        <w:t> </w:t>
      </w:r>
      <w:r>
        <w:rPr/>
        <w:t>mbështesin</w:t>
      </w:r>
      <w:r>
        <w:rPr>
          <w:spacing w:val="-14"/>
        </w:rPr>
        <w:t> </w:t>
      </w:r>
      <w:r>
        <w:rPr/>
        <w:t>idenë</w:t>
      </w:r>
      <w:r>
        <w:rPr>
          <w:spacing w:val="-15"/>
        </w:rPr>
        <w:t> </w:t>
      </w:r>
      <w:r>
        <w:rPr/>
        <w:t>se</w:t>
      </w:r>
      <w:r>
        <w:rPr>
          <w:spacing w:val="-15"/>
        </w:rPr>
        <w:t> </w:t>
      </w:r>
      <w:r>
        <w:rPr/>
        <w:t>në</w:t>
      </w:r>
      <w:r>
        <w:rPr>
          <w:spacing w:val="-14"/>
        </w:rPr>
        <w:t> </w:t>
      </w:r>
      <w:r>
        <w:rPr/>
        <w:t>këtë</w:t>
      </w:r>
      <w:r>
        <w:rPr>
          <w:spacing w:val="-14"/>
        </w:rPr>
        <w:t> </w:t>
      </w:r>
      <w:r>
        <w:rPr/>
        <w:t>rajon ka</w:t>
      </w:r>
      <w:r>
        <w:rPr>
          <w:spacing w:val="-12"/>
        </w:rPr>
        <w:t> </w:t>
      </w:r>
      <w:r>
        <w:rPr/>
        <w:t>ekzistuar</w:t>
      </w:r>
      <w:r>
        <w:rPr>
          <w:spacing w:val="-13"/>
        </w:rPr>
        <w:t> </w:t>
      </w:r>
      <w:r>
        <w:rPr/>
        <w:t>një</w:t>
      </w:r>
      <w:r>
        <w:rPr>
          <w:spacing w:val="-11"/>
        </w:rPr>
        <w:t> </w:t>
      </w:r>
      <w:r>
        <w:rPr/>
        <w:t>vendbanimi</w:t>
      </w:r>
      <w:r>
        <w:rPr>
          <w:spacing w:val="-13"/>
        </w:rPr>
        <w:t> </w:t>
      </w:r>
      <w:r>
        <w:rPr/>
        <w:t>Ilir.</w:t>
      </w:r>
      <w:r>
        <w:rPr>
          <w:spacing w:val="-12"/>
        </w:rPr>
        <w:t> </w:t>
      </w:r>
      <w:r>
        <w:rPr/>
        <w:t>Kjo</w:t>
      </w:r>
      <w:r>
        <w:rPr>
          <w:spacing w:val="-13"/>
        </w:rPr>
        <w:t> </w:t>
      </w:r>
      <w:r>
        <w:rPr/>
        <w:t>argumentohet</w:t>
      </w:r>
      <w:r>
        <w:rPr>
          <w:spacing w:val="-12"/>
        </w:rPr>
        <w:t> </w:t>
      </w:r>
      <w:r>
        <w:rPr/>
        <w:t>me</w:t>
      </w:r>
      <w:r>
        <w:rPr>
          <w:spacing w:val="-12"/>
        </w:rPr>
        <w:t> </w:t>
      </w:r>
      <w:r>
        <w:rPr/>
        <w:t>gjetjen</w:t>
      </w:r>
      <w:r>
        <w:rPr>
          <w:spacing w:val="-12"/>
        </w:rPr>
        <w:t> </w:t>
      </w:r>
      <w:r>
        <w:rPr/>
        <w:t>e</w:t>
      </w:r>
      <w:r>
        <w:rPr>
          <w:spacing w:val="-13"/>
        </w:rPr>
        <w:t> </w:t>
      </w:r>
      <w:r>
        <w:rPr/>
        <w:t>materialeve</w:t>
      </w:r>
      <w:r>
        <w:rPr>
          <w:spacing w:val="-13"/>
        </w:rPr>
        <w:t> </w:t>
      </w:r>
      <w:r>
        <w:rPr/>
        <w:t>arkeologjike</w:t>
      </w:r>
      <w:r>
        <w:rPr>
          <w:spacing w:val="-12"/>
        </w:rPr>
        <w:t> </w:t>
      </w:r>
      <w:r>
        <w:rPr/>
        <w:t>të</w:t>
      </w:r>
      <w:r>
        <w:rPr>
          <w:spacing w:val="-12"/>
        </w:rPr>
        <w:t> </w:t>
      </w:r>
      <w:r>
        <w:rPr/>
        <w:t>kalasë (castela). Gjetje janë bërë edhe në shumë fshatra të kësaj komune siç janë rrënojat e kishës dhe manastirit të gjetura në Gorancë pastaj, në Paldenicë janë gjetur mbeturinat e një nekropoli, qeramika të vjetra, materiale bronzi, një stelë nga një varrezë e shekullit të tretë pas Krishtit dhe dy monedha. Në fshatin Dërmjak është gjetur një statujë romake dhe ekzistojnë edhe shumë materiale të tjerat të lashta, të cilat janë gjetur në fshatrat tjera.</w:t>
      </w:r>
    </w:p>
    <w:p>
      <w:pPr>
        <w:pStyle w:val="BodyText"/>
        <w:spacing w:line="288" w:lineRule="auto" w:before="200"/>
        <w:ind w:left="740" w:right="1438"/>
        <w:jc w:val="both"/>
      </w:pPr>
      <w:r>
        <w:rPr/>
        <w:t>Edhe pse Hani i Elezit dhe rrethinat e saj kanë pasur statusin e një komune që nga viti 1913, një ndarje e re administrative e miratuar në vitin 1961, ka themeluar komuna më të mëdha dhe ka shkrirë territorin e Hanit të Elezit në komunën e Kaçanikut. Hani i Elezit është themeluar si Pilot Njësi</w:t>
      </w:r>
      <w:r>
        <w:rPr>
          <w:spacing w:val="-1"/>
        </w:rPr>
        <w:t> </w:t>
      </w:r>
      <w:r>
        <w:rPr/>
        <w:t>Komunale</w:t>
      </w:r>
      <w:r>
        <w:rPr>
          <w:spacing w:val="-1"/>
        </w:rPr>
        <w:t> </w:t>
      </w:r>
      <w:r>
        <w:rPr/>
        <w:t>(PNJK)</w:t>
      </w:r>
      <w:r>
        <w:rPr>
          <w:spacing w:val="-3"/>
        </w:rPr>
        <w:t> </w:t>
      </w:r>
      <w:r>
        <w:rPr/>
        <w:t>si</w:t>
      </w:r>
      <w:r>
        <w:rPr>
          <w:spacing w:val="-1"/>
        </w:rPr>
        <w:t> </w:t>
      </w:r>
      <w:r>
        <w:rPr/>
        <w:t>rezultat</w:t>
      </w:r>
      <w:r>
        <w:rPr>
          <w:spacing w:val="-1"/>
        </w:rPr>
        <w:t> </w:t>
      </w:r>
      <w:r>
        <w:rPr/>
        <w:t>i</w:t>
      </w:r>
      <w:r>
        <w:rPr>
          <w:spacing w:val="-2"/>
        </w:rPr>
        <w:t> </w:t>
      </w:r>
      <w:r>
        <w:rPr/>
        <w:t>procesit</w:t>
      </w:r>
      <w:r>
        <w:rPr>
          <w:spacing w:val="-1"/>
        </w:rPr>
        <w:t> </w:t>
      </w:r>
      <w:r>
        <w:rPr/>
        <w:t>të</w:t>
      </w:r>
      <w:r>
        <w:rPr>
          <w:spacing w:val="-1"/>
        </w:rPr>
        <w:t> </w:t>
      </w:r>
      <w:r>
        <w:rPr/>
        <w:t>decentralizimit</w:t>
      </w:r>
      <w:r>
        <w:rPr>
          <w:spacing w:val="-1"/>
        </w:rPr>
        <w:t> </w:t>
      </w:r>
      <w:r>
        <w:rPr/>
        <w:t>në</w:t>
      </w:r>
      <w:r>
        <w:rPr>
          <w:spacing w:val="-1"/>
        </w:rPr>
        <w:t> </w:t>
      </w:r>
      <w:r>
        <w:rPr/>
        <w:t>shtator</w:t>
      </w:r>
      <w:r>
        <w:rPr>
          <w:spacing w:val="-2"/>
        </w:rPr>
        <w:t> </w:t>
      </w:r>
      <w:r>
        <w:rPr/>
        <w:t>të</w:t>
      </w:r>
      <w:r>
        <w:rPr>
          <w:spacing w:val="-1"/>
        </w:rPr>
        <w:t> </w:t>
      </w:r>
      <w:r>
        <w:rPr/>
        <w:t>vitit</w:t>
      </w:r>
      <w:r>
        <w:rPr>
          <w:spacing w:val="-1"/>
        </w:rPr>
        <w:t> </w:t>
      </w:r>
      <w:r>
        <w:rPr/>
        <w:t>2005,</w:t>
      </w:r>
      <w:r>
        <w:rPr>
          <w:spacing w:val="-3"/>
        </w:rPr>
        <w:t> </w:t>
      </w:r>
      <w:r>
        <w:rPr/>
        <w:t>në</w:t>
      </w:r>
      <w:r>
        <w:rPr>
          <w:spacing w:val="-1"/>
        </w:rPr>
        <w:t> </w:t>
      </w:r>
      <w:r>
        <w:rPr/>
        <w:t>bazë</w:t>
      </w:r>
      <w:r>
        <w:rPr>
          <w:spacing w:val="-1"/>
        </w:rPr>
        <w:t> </w:t>
      </w:r>
      <w:r>
        <w:rPr/>
        <w:t>të Udhëzimit</w:t>
      </w:r>
      <w:r>
        <w:rPr>
          <w:spacing w:val="-9"/>
        </w:rPr>
        <w:t> </w:t>
      </w:r>
      <w:r>
        <w:rPr/>
        <w:t>Administrativ</w:t>
      </w:r>
      <w:r>
        <w:rPr>
          <w:spacing w:val="-7"/>
        </w:rPr>
        <w:t> </w:t>
      </w:r>
      <w:r>
        <w:rPr/>
        <w:t>të</w:t>
      </w:r>
      <w:r>
        <w:rPr>
          <w:spacing w:val="-7"/>
        </w:rPr>
        <w:t> </w:t>
      </w:r>
      <w:r>
        <w:rPr/>
        <w:t>UNMIK-ut</w:t>
      </w:r>
      <w:r>
        <w:rPr>
          <w:spacing w:val="-8"/>
        </w:rPr>
        <w:t> </w:t>
      </w:r>
      <w:r>
        <w:rPr/>
        <w:t>nr.</w:t>
      </w:r>
      <w:r>
        <w:rPr>
          <w:spacing w:val="-8"/>
        </w:rPr>
        <w:t> </w:t>
      </w:r>
      <w:r>
        <w:rPr/>
        <w:t>2005/11</w:t>
      </w:r>
      <w:r>
        <w:rPr>
          <w:spacing w:val="-9"/>
        </w:rPr>
        <w:t> </w:t>
      </w:r>
      <w:r>
        <w:rPr/>
        <w:t>për</w:t>
      </w:r>
      <w:r>
        <w:rPr>
          <w:spacing w:val="-8"/>
        </w:rPr>
        <w:t> </w:t>
      </w:r>
      <w:r>
        <w:rPr/>
        <w:t>krijimin</w:t>
      </w:r>
      <w:r>
        <w:rPr>
          <w:spacing w:val="-8"/>
        </w:rPr>
        <w:t> </w:t>
      </w:r>
      <w:r>
        <w:rPr/>
        <w:t>e</w:t>
      </w:r>
      <w:r>
        <w:rPr>
          <w:spacing w:val="-8"/>
        </w:rPr>
        <w:t> </w:t>
      </w:r>
      <w:r>
        <w:rPr/>
        <w:t>Pilot</w:t>
      </w:r>
      <w:r>
        <w:rPr>
          <w:spacing w:val="-7"/>
        </w:rPr>
        <w:t> </w:t>
      </w:r>
      <w:r>
        <w:rPr/>
        <w:t>Njësive</w:t>
      </w:r>
      <w:r>
        <w:rPr>
          <w:spacing w:val="-7"/>
        </w:rPr>
        <w:t> </w:t>
      </w:r>
      <w:r>
        <w:rPr/>
        <w:t>Komunale.</w:t>
      </w:r>
      <w:r>
        <w:rPr>
          <w:spacing w:val="-7"/>
        </w:rPr>
        <w:t> </w:t>
      </w:r>
      <w:r>
        <w:rPr/>
        <w:t>Më</w:t>
      </w:r>
      <w:r>
        <w:rPr>
          <w:spacing w:val="-7"/>
        </w:rPr>
        <w:t> </w:t>
      </w:r>
      <w:r>
        <w:rPr/>
        <w:t>13 gusht</w:t>
      </w:r>
      <w:r>
        <w:rPr>
          <w:spacing w:val="-1"/>
        </w:rPr>
        <w:t> </w:t>
      </w:r>
      <w:r>
        <w:rPr/>
        <w:t>të</w:t>
      </w:r>
      <w:r>
        <w:rPr>
          <w:spacing w:val="-2"/>
        </w:rPr>
        <w:t> </w:t>
      </w:r>
      <w:r>
        <w:rPr/>
        <w:t>vitit</w:t>
      </w:r>
      <w:r>
        <w:rPr>
          <w:spacing w:val="-2"/>
        </w:rPr>
        <w:t> </w:t>
      </w:r>
      <w:r>
        <w:rPr/>
        <w:t>2008</w:t>
      </w:r>
      <w:r>
        <w:rPr>
          <w:spacing w:val="-1"/>
        </w:rPr>
        <w:t> </w:t>
      </w:r>
      <w:r>
        <w:rPr/>
        <w:t>ministria</w:t>
      </w:r>
      <w:r>
        <w:rPr>
          <w:spacing w:val="-2"/>
        </w:rPr>
        <w:t> </w:t>
      </w:r>
      <w:r>
        <w:rPr/>
        <w:t>e</w:t>
      </w:r>
      <w:r>
        <w:rPr>
          <w:spacing w:val="-1"/>
        </w:rPr>
        <w:t> </w:t>
      </w:r>
      <w:r>
        <w:rPr/>
        <w:t>Administrimit</w:t>
      </w:r>
      <w:r>
        <w:rPr>
          <w:spacing w:val="-2"/>
        </w:rPr>
        <w:t> </w:t>
      </w:r>
      <w:r>
        <w:rPr/>
        <w:t>të</w:t>
      </w:r>
      <w:r>
        <w:rPr>
          <w:spacing w:val="-1"/>
        </w:rPr>
        <w:t> </w:t>
      </w:r>
      <w:r>
        <w:rPr/>
        <w:t>Pushtetit</w:t>
      </w:r>
      <w:r>
        <w:rPr>
          <w:spacing w:val="-2"/>
        </w:rPr>
        <w:t> </w:t>
      </w:r>
      <w:r>
        <w:rPr/>
        <w:t>Lokal</w:t>
      </w:r>
      <w:r>
        <w:rPr>
          <w:spacing w:val="-2"/>
        </w:rPr>
        <w:t> </w:t>
      </w:r>
      <w:r>
        <w:rPr/>
        <w:t>(MAPL),</w:t>
      </w:r>
      <w:r>
        <w:rPr>
          <w:spacing w:val="-1"/>
        </w:rPr>
        <w:t> </w:t>
      </w:r>
      <w:r>
        <w:rPr/>
        <w:t>me</w:t>
      </w:r>
      <w:r>
        <w:rPr>
          <w:spacing w:val="-1"/>
        </w:rPr>
        <w:t> </w:t>
      </w:r>
      <w:r>
        <w:rPr/>
        <w:t>shkresë</w:t>
      </w:r>
      <w:r>
        <w:rPr>
          <w:spacing w:val="-1"/>
        </w:rPr>
        <w:t> </w:t>
      </w:r>
      <w:r>
        <w:rPr/>
        <w:t>njoftuese</w:t>
      </w:r>
      <w:r>
        <w:rPr>
          <w:spacing w:val="-2"/>
        </w:rPr>
        <w:t> </w:t>
      </w:r>
      <w:r>
        <w:rPr/>
        <w:t>nr. 02-527 njoftoi se, komuna e Hanit të Elezit është certifikuar në të njëjtin nivel të kompetencave dhe përgjegjësive me komunat tjera në Republikën e Kosovës.</w:t>
      </w:r>
    </w:p>
    <w:p>
      <w:pPr>
        <w:tabs>
          <w:tab w:pos="3641" w:val="left" w:leader="none"/>
          <w:tab w:pos="7078" w:val="left" w:leader="none"/>
          <w:tab w:pos="9331" w:val="left" w:leader="none"/>
        </w:tabs>
        <w:spacing w:line="288" w:lineRule="auto" w:before="0"/>
        <w:ind w:left="740" w:right="1437" w:firstLine="0"/>
        <w:jc w:val="both"/>
        <w:rPr>
          <w:sz w:val="24"/>
        </w:rPr>
      </w:pPr>
      <w:r>
        <w:rPr>
          <w:sz w:val="24"/>
        </w:rPr>
        <w:t>Komuna</w:t>
      </w:r>
      <w:r>
        <w:rPr>
          <w:spacing w:val="40"/>
          <w:sz w:val="24"/>
        </w:rPr>
        <w:t> </w:t>
      </w:r>
      <w:r>
        <w:rPr>
          <w:sz w:val="24"/>
        </w:rPr>
        <w:t>e</w:t>
      </w:r>
      <w:r>
        <w:rPr>
          <w:sz w:val="24"/>
        </w:rPr>
        <w:t> Hanit</w:t>
      </w:r>
      <w:r>
        <w:rPr>
          <w:sz w:val="24"/>
        </w:rPr>
        <w:t> të</w:t>
      </w:r>
      <w:r>
        <w:rPr>
          <w:sz w:val="24"/>
        </w:rPr>
        <w:t> Elezit</w:t>
      </w:r>
      <w:r>
        <w:rPr>
          <w:spacing w:val="40"/>
          <w:sz w:val="24"/>
        </w:rPr>
        <w:t> </w:t>
      </w:r>
      <w:r>
        <w:rPr>
          <w:sz w:val="24"/>
        </w:rPr>
        <w:t>është</w:t>
      </w:r>
      <w:r>
        <w:rPr>
          <w:spacing w:val="40"/>
          <w:sz w:val="24"/>
        </w:rPr>
        <w:t> </w:t>
      </w:r>
      <w:r>
        <w:rPr>
          <w:sz w:val="24"/>
        </w:rPr>
        <w:t>njësi</w:t>
      </w:r>
      <w:r>
        <w:rPr>
          <w:spacing w:val="40"/>
          <w:sz w:val="24"/>
        </w:rPr>
        <w:t> </w:t>
      </w:r>
      <w:r>
        <w:rPr>
          <w:sz w:val="24"/>
        </w:rPr>
        <w:t>themelore</w:t>
      </w:r>
      <w:r>
        <w:rPr>
          <w:spacing w:val="40"/>
          <w:sz w:val="24"/>
        </w:rPr>
        <w:t> </w:t>
      </w:r>
      <w:r>
        <w:rPr>
          <w:sz w:val="24"/>
        </w:rPr>
        <w:t>e</w:t>
      </w:r>
      <w:r>
        <w:rPr>
          <w:spacing w:val="40"/>
          <w:sz w:val="24"/>
        </w:rPr>
        <w:t> </w:t>
      </w:r>
      <w:r>
        <w:rPr>
          <w:sz w:val="24"/>
        </w:rPr>
        <w:t>vetëqeverisjes</w:t>
      </w:r>
      <w:r>
        <w:rPr>
          <w:spacing w:val="40"/>
          <w:sz w:val="24"/>
        </w:rPr>
        <w:t> </w:t>
      </w:r>
      <w:r>
        <w:rPr>
          <w:sz w:val="24"/>
        </w:rPr>
        <w:t>lokale</w:t>
      </w:r>
      <w:r>
        <w:rPr>
          <w:spacing w:val="40"/>
          <w:sz w:val="24"/>
        </w:rPr>
        <w:t> </w:t>
      </w:r>
      <w:r>
        <w:rPr>
          <w:sz w:val="24"/>
        </w:rPr>
        <w:t>në Republikën</w:t>
      </w:r>
      <w:r>
        <w:rPr>
          <w:spacing w:val="40"/>
          <w:sz w:val="24"/>
        </w:rPr>
        <w:t> </w:t>
      </w:r>
      <w:r>
        <w:rPr>
          <w:sz w:val="24"/>
        </w:rPr>
        <w:t>e </w:t>
      </w:r>
      <w:r>
        <w:rPr>
          <w:sz w:val="21"/>
        </w:rPr>
        <w:t>Kosovës, e cila</w:t>
        <w:tab/>
        <w:t>brenda territorit të saj</w:t>
        <w:tab/>
      </w:r>
      <w:r>
        <w:rPr>
          <w:spacing w:val="-2"/>
          <w:sz w:val="21"/>
        </w:rPr>
        <w:t>ushtron</w:t>
      </w:r>
      <w:r>
        <w:rPr>
          <w:sz w:val="21"/>
        </w:rPr>
        <w:tab/>
      </w:r>
      <w:r>
        <w:rPr>
          <w:spacing w:val="-2"/>
          <w:sz w:val="21"/>
        </w:rPr>
        <w:t>pushtetin </w:t>
      </w:r>
      <w:r>
        <w:rPr>
          <w:sz w:val="24"/>
        </w:rPr>
        <w:t>dhe</w:t>
      </w:r>
      <w:r>
        <w:rPr>
          <w:spacing w:val="40"/>
          <w:sz w:val="24"/>
        </w:rPr>
        <w:t> </w:t>
      </w:r>
      <w:r>
        <w:rPr>
          <w:sz w:val="24"/>
        </w:rPr>
        <w:t>përgjegjësitë,</w:t>
      </w:r>
      <w:r>
        <w:rPr>
          <w:spacing w:val="40"/>
          <w:sz w:val="24"/>
        </w:rPr>
        <w:t> </w:t>
      </w:r>
      <w:r>
        <w:rPr>
          <w:sz w:val="24"/>
        </w:rPr>
        <w:t>të</w:t>
      </w:r>
      <w:r>
        <w:rPr>
          <w:spacing w:val="40"/>
          <w:sz w:val="24"/>
        </w:rPr>
        <w:t> </w:t>
      </w:r>
      <w:r>
        <w:rPr>
          <w:sz w:val="24"/>
        </w:rPr>
        <w:t>cilat</w:t>
      </w:r>
      <w:r>
        <w:rPr>
          <w:spacing w:val="40"/>
          <w:sz w:val="24"/>
        </w:rPr>
        <w:t> </w:t>
      </w:r>
      <w:r>
        <w:rPr>
          <w:sz w:val="24"/>
        </w:rPr>
        <w:t>nuk</w:t>
      </w:r>
      <w:r>
        <w:rPr>
          <w:spacing w:val="40"/>
          <w:sz w:val="24"/>
        </w:rPr>
        <w:t> </w:t>
      </w:r>
      <w:r>
        <w:rPr>
          <w:sz w:val="24"/>
        </w:rPr>
        <w:t>janë</w:t>
      </w:r>
      <w:r>
        <w:rPr>
          <w:spacing w:val="40"/>
          <w:sz w:val="24"/>
        </w:rPr>
        <w:t> </w:t>
      </w:r>
      <w:r>
        <w:rPr>
          <w:sz w:val="24"/>
        </w:rPr>
        <w:t>rezervuar</w:t>
      </w:r>
      <w:r>
        <w:rPr>
          <w:spacing w:val="40"/>
          <w:sz w:val="24"/>
        </w:rPr>
        <w:t> </w:t>
      </w:r>
      <w:r>
        <w:rPr>
          <w:sz w:val="24"/>
        </w:rPr>
        <w:t>shprehimisht</w:t>
      </w:r>
      <w:r>
        <w:rPr>
          <w:spacing w:val="40"/>
          <w:sz w:val="24"/>
        </w:rPr>
        <w:t> </w:t>
      </w:r>
      <w:r>
        <w:rPr>
          <w:sz w:val="24"/>
        </w:rPr>
        <w:t>për institucionet qendrore.</w:t>
      </w:r>
    </w:p>
    <w:p>
      <w:pPr>
        <w:pStyle w:val="BodyText"/>
        <w:spacing w:line="288" w:lineRule="auto"/>
        <w:ind w:left="740" w:right="1436"/>
        <w:jc w:val="both"/>
      </w:pPr>
      <w:r>
        <w:rPr/>
        <w:t>Statuti i Komunës është akti më i lartë juridik i Komunës</w:t>
      </w:r>
      <w:r>
        <w:rPr>
          <w:spacing w:val="80"/>
        </w:rPr>
        <w:t> </w:t>
      </w:r>
      <w:r>
        <w:rPr/>
        <w:t>që zbatohet brenda kufijve të</w:t>
      </w:r>
      <w:r>
        <w:rPr>
          <w:spacing w:val="40"/>
        </w:rPr>
        <w:t> </w:t>
      </w:r>
      <w:r>
        <w:rPr/>
        <w:t>Komunës</w:t>
      </w:r>
      <w:r>
        <w:rPr>
          <w:spacing w:val="40"/>
        </w:rPr>
        <w:t> </w:t>
      </w:r>
      <w:r>
        <w:rPr/>
        <w:t>së Hanit të Elezit.</w:t>
      </w:r>
      <w:r>
        <w:rPr>
          <w:spacing w:val="40"/>
        </w:rPr>
        <w:t> </w:t>
      </w:r>
      <w:r>
        <w:rPr/>
        <w:t>Kuvendi</w:t>
      </w:r>
      <w:r>
        <w:rPr>
          <w:spacing w:val="40"/>
        </w:rPr>
        <w:t> </w:t>
      </w:r>
      <w:r>
        <w:rPr/>
        <w:t>i</w:t>
      </w:r>
      <w:r>
        <w:rPr>
          <w:spacing w:val="40"/>
        </w:rPr>
        <w:t> </w:t>
      </w:r>
      <w:r>
        <w:rPr/>
        <w:t>Komunës është organi</w:t>
      </w:r>
      <w:r>
        <w:rPr>
          <w:spacing w:val="40"/>
        </w:rPr>
        <w:t> </w:t>
      </w:r>
      <w:r>
        <w:rPr/>
        <w:t>më</w:t>
      </w:r>
      <w:r>
        <w:rPr>
          <w:spacing w:val="40"/>
        </w:rPr>
        <w:t> </w:t>
      </w:r>
      <w:r>
        <w:rPr/>
        <w:t>i</w:t>
      </w:r>
      <w:r>
        <w:rPr>
          <w:spacing w:val="40"/>
        </w:rPr>
        <w:t> </w:t>
      </w:r>
      <w:r>
        <w:rPr/>
        <w:t>lartë</w:t>
      </w:r>
      <w:r>
        <w:rPr>
          <w:spacing w:val="40"/>
        </w:rPr>
        <w:t> </w:t>
      </w:r>
      <w:r>
        <w:rPr/>
        <w:t>legjislativ,</w:t>
      </w:r>
      <w:r>
        <w:rPr>
          <w:spacing w:val="40"/>
        </w:rPr>
        <w:t> </w:t>
      </w:r>
      <w:r>
        <w:rPr/>
        <w:t>i</w:t>
      </w:r>
      <w:r>
        <w:rPr>
          <w:spacing w:val="40"/>
        </w:rPr>
        <w:t> </w:t>
      </w:r>
      <w:r>
        <w:rPr/>
        <w:t>cili miraton Rregullore dhe vendime të rëndësishme për Komunën.</w:t>
      </w:r>
    </w:p>
    <w:p>
      <w:pPr>
        <w:pStyle w:val="BodyText"/>
        <w:spacing w:line="288" w:lineRule="auto"/>
        <w:ind w:left="740" w:right="1436"/>
        <w:jc w:val="both"/>
      </w:pPr>
      <w:r>
        <w:rPr/>
        <w:t>Komuna</w:t>
      </w:r>
      <w:r>
        <w:rPr>
          <w:spacing w:val="40"/>
        </w:rPr>
        <w:t>  </w:t>
      </w:r>
      <w:r>
        <w:rPr/>
        <w:t>është</w:t>
      </w:r>
      <w:r>
        <w:rPr>
          <w:spacing w:val="40"/>
        </w:rPr>
        <w:t>  </w:t>
      </w:r>
      <w:r>
        <w:rPr/>
        <w:t>person</w:t>
      </w:r>
      <w:r>
        <w:rPr>
          <w:spacing w:val="40"/>
        </w:rPr>
        <w:t>  </w:t>
      </w:r>
      <w:r>
        <w:rPr/>
        <w:t>juridik</w:t>
      </w:r>
      <w:r>
        <w:rPr>
          <w:spacing w:val="80"/>
        </w:rPr>
        <w:t> </w:t>
      </w:r>
      <w:r>
        <w:rPr/>
        <w:t>me</w:t>
      </w:r>
      <w:r>
        <w:rPr>
          <w:spacing w:val="40"/>
        </w:rPr>
        <w:t>  </w:t>
      </w:r>
      <w:r>
        <w:rPr/>
        <w:t>të</w:t>
      </w:r>
      <w:r>
        <w:rPr>
          <w:spacing w:val="40"/>
        </w:rPr>
        <w:t>  </w:t>
      </w:r>
      <w:r>
        <w:rPr/>
        <w:t>drejtën</w:t>
      </w:r>
      <w:r>
        <w:rPr>
          <w:spacing w:val="40"/>
        </w:rPr>
        <w:t>  </w:t>
      </w:r>
      <w:r>
        <w:rPr/>
        <w:t>për</w:t>
      </w:r>
      <w:r>
        <w:rPr>
          <w:spacing w:val="40"/>
        </w:rPr>
        <w:t>  </w:t>
      </w:r>
      <w:r>
        <w:rPr/>
        <w:t>të</w:t>
      </w:r>
      <w:r>
        <w:rPr>
          <w:spacing w:val="40"/>
        </w:rPr>
        <w:t>  </w:t>
      </w:r>
      <w:r>
        <w:rPr/>
        <w:t>poseduar</w:t>
      </w:r>
      <w:r>
        <w:rPr>
          <w:spacing w:val="40"/>
        </w:rPr>
        <w:t>  </w:t>
      </w:r>
      <w:r>
        <w:rPr/>
        <w:t>dhe</w:t>
      </w:r>
      <w:r>
        <w:rPr>
          <w:spacing w:val="40"/>
        </w:rPr>
        <w:t>  </w:t>
      </w:r>
      <w:r>
        <w:rPr/>
        <w:t>administruar pronën,</w:t>
      </w:r>
      <w:r>
        <w:rPr>
          <w:spacing w:val="40"/>
        </w:rPr>
        <w:t> </w:t>
      </w:r>
      <w:r>
        <w:rPr/>
        <w:t>të</w:t>
      </w:r>
      <w:r>
        <w:rPr>
          <w:spacing w:val="40"/>
        </w:rPr>
        <w:t> </w:t>
      </w:r>
      <w:r>
        <w:rPr/>
        <w:t>jetë</w:t>
      </w:r>
      <w:r>
        <w:rPr>
          <w:spacing w:val="40"/>
        </w:rPr>
        <w:t> </w:t>
      </w:r>
      <w:r>
        <w:rPr/>
        <w:t>pronare</w:t>
      </w:r>
      <w:r>
        <w:rPr>
          <w:spacing w:val="40"/>
        </w:rPr>
        <w:t> </w:t>
      </w:r>
      <w:r>
        <w:rPr/>
        <w:t>apo</w:t>
      </w:r>
      <w:r>
        <w:rPr>
          <w:spacing w:val="40"/>
        </w:rPr>
        <w:t> </w:t>
      </w:r>
      <w:r>
        <w:rPr/>
        <w:t>bashkëpronare</w:t>
      </w:r>
      <w:r>
        <w:rPr>
          <w:spacing w:val="40"/>
        </w:rPr>
        <w:t> </w:t>
      </w:r>
      <w:r>
        <w:rPr/>
        <w:t>e</w:t>
      </w:r>
      <w:r>
        <w:rPr>
          <w:spacing w:val="40"/>
        </w:rPr>
        <w:t> </w:t>
      </w:r>
      <w:r>
        <w:rPr/>
        <w:t>ndonjë</w:t>
      </w:r>
      <w:r>
        <w:rPr>
          <w:spacing w:val="40"/>
        </w:rPr>
        <w:t> </w:t>
      </w:r>
      <w:r>
        <w:rPr/>
        <w:t>kompanie</w:t>
      </w:r>
      <w:r>
        <w:rPr>
          <w:spacing w:val="40"/>
        </w:rPr>
        <w:t> </w:t>
      </w:r>
      <w:r>
        <w:rPr/>
        <w:t>publike,</w:t>
      </w:r>
      <w:r>
        <w:rPr>
          <w:spacing w:val="40"/>
        </w:rPr>
        <w:t> </w:t>
      </w:r>
      <w:r>
        <w:rPr/>
        <w:t>për</w:t>
      </w:r>
      <w:r>
        <w:rPr>
          <w:spacing w:val="40"/>
        </w:rPr>
        <w:t> </w:t>
      </w:r>
      <w:r>
        <w:rPr/>
        <w:t>të</w:t>
      </w:r>
      <w:r>
        <w:rPr>
          <w:spacing w:val="-1"/>
        </w:rPr>
        <w:t> </w:t>
      </w:r>
      <w:r>
        <w:rPr/>
        <w:t>ushtruar</w:t>
      </w:r>
      <w:r>
        <w:rPr>
          <w:spacing w:val="-1"/>
        </w:rPr>
        <w:t> </w:t>
      </w:r>
      <w:r>
        <w:rPr/>
        <w:t>padi dhe</w:t>
      </w:r>
      <w:r>
        <w:rPr/>
        <w:t> për</w:t>
      </w:r>
      <w:r>
        <w:rPr/>
        <w:t> të</w:t>
      </w:r>
      <w:r>
        <w:rPr/>
        <w:t> qenë</w:t>
      </w:r>
      <w:r>
        <w:rPr/>
        <w:t> e</w:t>
      </w:r>
      <w:r>
        <w:rPr/>
        <w:t> paditur</w:t>
      </w:r>
      <w:r>
        <w:rPr/>
        <w:t> në</w:t>
      </w:r>
      <w:r>
        <w:rPr/>
        <w:t> gjykata,</w:t>
      </w:r>
      <w:r>
        <w:rPr/>
        <w:t> për</w:t>
      </w:r>
      <w:r>
        <w:rPr/>
        <w:t> të</w:t>
      </w:r>
      <w:r>
        <w:rPr>
          <w:spacing w:val="40"/>
        </w:rPr>
        <w:t> </w:t>
      </w:r>
      <w:r>
        <w:rPr/>
        <w:t>lidhë</w:t>
      </w:r>
      <w:r>
        <w:rPr/>
        <w:t> kontrata,</w:t>
      </w:r>
      <w:r>
        <w:rPr/>
        <w:t> për</w:t>
      </w:r>
      <w:r>
        <w:rPr/>
        <w:t> të</w:t>
      </w:r>
      <w:r>
        <w:rPr/>
        <w:t> punësuar</w:t>
      </w:r>
      <w:r>
        <w:rPr/>
        <w:t> stafin si dhe</w:t>
      </w:r>
      <w:r>
        <w:rPr>
          <w:spacing w:val="40"/>
        </w:rPr>
        <w:t> </w:t>
      </w:r>
      <w:r>
        <w:rPr/>
        <w:t>për aktivitete tjera në përmbushjen e përgjegjësive ligjore.</w:t>
      </w:r>
    </w:p>
    <w:p>
      <w:pPr>
        <w:spacing w:after="0" w:line="288" w:lineRule="auto"/>
        <w:jc w:val="both"/>
        <w:sectPr>
          <w:footerReference w:type="default" r:id="rId30"/>
          <w:pgSz w:w="12240" w:h="15840"/>
          <w:pgMar w:footer="990" w:header="0" w:top="0" w:bottom="1180" w:left="700" w:right="0"/>
          <w:pgNumType w:start="11"/>
        </w:sectPr>
      </w:pPr>
    </w:p>
    <w:p>
      <w:pPr>
        <w:pStyle w:val="Heading2"/>
        <w:numPr>
          <w:ilvl w:val="1"/>
          <w:numId w:val="4"/>
        </w:numPr>
        <w:tabs>
          <w:tab w:pos="1461" w:val="left" w:leader="none"/>
          <w:tab w:pos="10131" w:val="left" w:leader="none"/>
        </w:tabs>
        <w:spacing w:line="240" w:lineRule="auto" w:before="60" w:after="0"/>
        <w:ind w:left="1460" w:right="0" w:hanging="751"/>
        <w:jc w:val="both"/>
      </w:pPr>
      <w:r>
        <w:rPr>
          <w:color w:val="000000"/>
          <w:shd w:fill="EAB8A3" w:color="auto" w:val="clear"/>
        </w:rPr>
        <w:t>Pozita </w:t>
      </w:r>
      <w:r>
        <w:rPr>
          <w:color w:val="000000"/>
          <w:spacing w:val="-2"/>
          <w:shd w:fill="EAB8A3" w:color="auto" w:val="clear"/>
        </w:rPr>
        <w:t>gjeografike</w:t>
      </w:r>
      <w:r>
        <w:rPr>
          <w:color w:val="000000"/>
          <w:shd w:fill="EAB8A3" w:color="auto" w:val="clear"/>
        </w:rPr>
        <w:tab/>
      </w:r>
    </w:p>
    <w:p>
      <w:pPr>
        <w:pStyle w:val="BodyText"/>
        <w:rPr>
          <w:b/>
          <w:sz w:val="21"/>
        </w:rPr>
      </w:pPr>
    </w:p>
    <w:p>
      <w:pPr>
        <w:pStyle w:val="BodyText"/>
        <w:ind w:left="740" w:right="1440"/>
        <w:jc w:val="both"/>
      </w:pPr>
      <w:r>
        <w:rPr/>
        <w:t>Në pjesën jug-lindore të Kosovës shtrihet Hani i Elezit, qytet në afërsi të pikës kufitare të Republikës</w:t>
      </w:r>
      <w:r>
        <w:rPr>
          <w:spacing w:val="-10"/>
        </w:rPr>
        <w:t> </w:t>
      </w:r>
      <w:r>
        <w:rPr/>
        <w:t>së</w:t>
      </w:r>
      <w:r>
        <w:rPr>
          <w:spacing w:val="-10"/>
        </w:rPr>
        <w:t> </w:t>
      </w:r>
      <w:r>
        <w:rPr/>
        <w:t>Kosovës</w:t>
      </w:r>
      <w:r>
        <w:rPr>
          <w:spacing w:val="-10"/>
        </w:rPr>
        <w:t> </w:t>
      </w:r>
      <w:r>
        <w:rPr/>
        <w:t>dhe</w:t>
      </w:r>
      <w:r>
        <w:rPr>
          <w:spacing w:val="-10"/>
        </w:rPr>
        <w:t> </w:t>
      </w:r>
      <w:r>
        <w:rPr/>
        <w:t>Maqedonisë</w:t>
      </w:r>
      <w:r>
        <w:rPr>
          <w:spacing w:val="-10"/>
        </w:rPr>
        <w:t> </w:t>
      </w:r>
      <w:r>
        <w:rPr/>
        <w:t>së</w:t>
      </w:r>
      <w:r>
        <w:rPr>
          <w:spacing w:val="-10"/>
        </w:rPr>
        <w:t> </w:t>
      </w:r>
      <w:r>
        <w:rPr/>
        <w:t>Veriut,</w:t>
      </w:r>
      <w:r>
        <w:rPr>
          <w:spacing w:val="-11"/>
        </w:rPr>
        <w:t> </w:t>
      </w:r>
      <w:r>
        <w:rPr/>
        <w:t>pjesë</w:t>
      </w:r>
      <w:r>
        <w:rPr>
          <w:spacing w:val="-10"/>
        </w:rPr>
        <w:t> </w:t>
      </w:r>
      <w:r>
        <w:rPr/>
        <w:t>territoriale</w:t>
      </w:r>
      <w:r>
        <w:rPr>
          <w:spacing w:val="-10"/>
        </w:rPr>
        <w:t> </w:t>
      </w:r>
      <w:r>
        <w:rPr/>
        <w:t>që</w:t>
      </w:r>
      <w:r>
        <w:rPr>
          <w:spacing w:val="-10"/>
        </w:rPr>
        <w:t> </w:t>
      </w:r>
      <w:r>
        <w:rPr/>
        <w:t>përfshinë</w:t>
      </w:r>
      <w:r>
        <w:rPr>
          <w:spacing w:val="-10"/>
        </w:rPr>
        <w:t> </w:t>
      </w:r>
      <w:r>
        <w:rPr/>
        <w:t>një</w:t>
      </w:r>
      <w:r>
        <w:rPr>
          <w:spacing w:val="-10"/>
        </w:rPr>
        <w:t> </w:t>
      </w:r>
      <w:r>
        <w:rPr/>
        <w:t>sipërfaqe</w:t>
      </w:r>
      <w:r>
        <w:rPr>
          <w:spacing w:val="-10"/>
        </w:rPr>
        <w:t> </w:t>
      </w:r>
      <w:r>
        <w:rPr/>
        <w:t>prej 83 km² apo .</w:t>
      </w:r>
    </w:p>
    <w:p>
      <w:pPr>
        <w:pStyle w:val="BodyText"/>
        <w:ind w:left="740" w:right="1439"/>
        <w:jc w:val="both"/>
      </w:pPr>
      <w:r>
        <w:rPr/>
        <w:t>E</w:t>
      </w:r>
      <w:r>
        <w:rPr>
          <w:spacing w:val="-8"/>
        </w:rPr>
        <w:t> </w:t>
      </w:r>
      <w:r>
        <w:rPr/>
        <w:t>rrethuar</w:t>
      </w:r>
      <w:r>
        <w:rPr>
          <w:spacing w:val="-8"/>
        </w:rPr>
        <w:t> </w:t>
      </w:r>
      <w:r>
        <w:rPr/>
        <w:t>nga</w:t>
      </w:r>
      <w:r>
        <w:rPr>
          <w:spacing w:val="-8"/>
        </w:rPr>
        <w:t> </w:t>
      </w:r>
      <w:r>
        <w:rPr/>
        <w:t>kufijtë</w:t>
      </w:r>
      <w:r>
        <w:rPr>
          <w:spacing w:val="-9"/>
        </w:rPr>
        <w:t> </w:t>
      </w:r>
      <w:r>
        <w:rPr/>
        <w:t>natyror</w:t>
      </w:r>
      <w:r>
        <w:rPr>
          <w:spacing w:val="-9"/>
        </w:rPr>
        <w:t> </w:t>
      </w:r>
      <w:r>
        <w:rPr/>
        <w:t>që</w:t>
      </w:r>
      <w:r>
        <w:rPr>
          <w:spacing w:val="-8"/>
        </w:rPr>
        <w:t> </w:t>
      </w:r>
      <w:r>
        <w:rPr/>
        <w:t>përbëhen</w:t>
      </w:r>
      <w:r>
        <w:rPr>
          <w:spacing w:val="-9"/>
        </w:rPr>
        <w:t> </w:t>
      </w:r>
      <w:r>
        <w:rPr/>
        <w:t>nga</w:t>
      </w:r>
      <w:r>
        <w:rPr>
          <w:spacing w:val="-9"/>
        </w:rPr>
        <w:t> </w:t>
      </w:r>
      <w:r>
        <w:rPr/>
        <w:t>malet</w:t>
      </w:r>
      <w:r>
        <w:rPr>
          <w:spacing w:val="-9"/>
        </w:rPr>
        <w:t> </w:t>
      </w:r>
      <w:r>
        <w:rPr/>
        <w:t>e</w:t>
      </w:r>
      <w:r>
        <w:rPr>
          <w:spacing w:val="-8"/>
        </w:rPr>
        <w:t> </w:t>
      </w:r>
      <w:r>
        <w:rPr/>
        <w:t>bukura</w:t>
      </w:r>
      <w:r>
        <w:rPr>
          <w:spacing w:val="-9"/>
        </w:rPr>
        <w:t> </w:t>
      </w:r>
      <w:r>
        <w:rPr/>
        <w:t>të</w:t>
      </w:r>
      <w:r>
        <w:rPr>
          <w:spacing w:val="-9"/>
        </w:rPr>
        <w:t> </w:t>
      </w:r>
      <w:r>
        <w:rPr/>
        <w:t>Sharrit</w:t>
      </w:r>
      <w:r>
        <w:rPr>
          <w:spacing w:val="-9"/>
        </w:rPr>
        <w:t> </w:t>
      </w:r>
      <w:r>
        <w:rPr/>
        <w:t>dhe</w:t>
      </w:r>
      <w:r>
        <w:rPr>
          <w:spacing w:val="-8"/>
        </w:rPr>
        <w:t> </w:t>
      </w:r>
      <w:r>
        <w:rPr/>
        <w:t>Karadakut</w:t>
      </w:r>
      <w:r>
        <w:rPr>
          <w:spacing w:val="-8"/>
        </w:rPr>
        <w:t> </w:t>
      </w:r>
      <w:r>
        <w:rPr/>
        <w:t>të</w:t>
      </w:r>
      <w:r>
        <w:rPr>
          <w:spacing w:val="-9"/>
        </w:rPr>
        <w:t> </w:t>
      </w:r>
      <w:r>
        <w:rPr/>
        <w:t>Shkupit, qyteti I Hanit të Elezit shtrihet në fushëgropën që e ndanë lugina e lumit Lepenc.</w:t>
      </w:r>
    </w:p>
    <w:p>
      <w:pPr>
        <w:pStyle w:val="BodyText"/>
        <w:ind w:left="740" w:right="1439"/>
        <w:jc w:val="both"/>
      </w:pPr>
      <w:r>
        <w:rPr/>
        <w:t>Kufijtë</w:t>
      </w:r>
      <w:r>
        <w:rPr>
          <w:spacing w:val="-12"/>
        </w:rPr>
        <w:t> </w:t>
      </w:r>
      <w:r>
        <w:rPr/>
        <w:t>administrativ</w:t>
      </w:r>
      <w:r>
        <w:rPr>
          <w:spacing w:val="-11"/>
        </w:rPr>
        <w:t> </w:t>
      </w:r>
      <w:r>
        <w:rPr/>
        <w:t>përfshijnë</w:t>
      </w:r>
      <w:r>
        <w:rPr>
          <w:spacing w:val="-11"/>
        </w:rPr>
        <w:t> </w:t>
      </w:r>
      <w:r>
        <w:rPr/>
        <w:t>Komunën</w:t>
      </w:r>
      <w:r>
        <w:rPr>
          <w:spacing w:val="-11"/>
        </w:rPr>
        <w:t> </w:t>
      </w:r>
      <w:r>
        <w:rPr/>
        <w:t>e</w:t>
      </w:r>
      <w:r>
        <w:rPr>
          <w:spacing w:val="-11"/>
        </w:rPr>
        <w:t> </w:t>
      </w:r>
      <w:r>
        <w:rPr/>
        <w:t>Kacanikut</w:t>
      </w:r>
      <w:r>
        <w:rPr>
          <w:spacing w:val="-11"/>
        </w:rPr>
        <w:t> </w:t>
      </w:r>
      <w:r>
        <w:rPr/>
        <w:t>dhe</w:t>
      </w:r>
      <w:r>
        <w:rPr>
          <w:spacing w:val="-11"/>
        </w:rPr>
        <w:t> </w:t>
      </w:r>
      <w:r>
        <w:rPr/>
        <w:t>pjesën</w:t>
      </w:r>
      <w:r>
        <w:rPr>
          <w:spacing w:val="-11"/>
        </w:rPr>
        <w:t> </w:t>
      </w:r>
      <w:r>
        <w:rPr/>
        <w:t>e</w:t>
      </w:r>
      <w:r>
        <w:rPr>
          <w:spacing w:val="-11"/>
        </w:rPr>
        <w:t> </w:t>
      </w:r>
      <w:r>
        <w:rPr/>
        <w:t>Maqedonisë</w:t>
      </w:r>
      <w:r>
        <w:rPr>
          <w:spacing w:val="-11"/>
        </w:rPr>
        <w:t> </w:t>
      </w:r>
      <w:r>
        <w:rPr/>
        <w:t>së</w:t>
      </w:r>
      <w:r>
        <w:rPr>
          <w:spacing w:val="-10"/>
        </w:rPr>
        <w:t> </w:t>
      </w:r>
      <w:r>
        <w:rPr/>
        <w:t>Veriut,</w:t>
      </w:r>
      <w:r>
        <w:rPr>
          <w:spacing w:val="-10"/>
        </w:rPr>
        <w:t> </w:t>
      </w:r>
      <w:r>
        <w:rPr/>
        <w:t>si</w:t>
      </w:r>
      <w:r>
        <w:rPr>
          <w:spacing w:val="-10"/>
        </w:rPr>
        <w:t> </w:t>
      </w:r>
      <w:r>
        <w:rPr/>
        <w:t>shtet fqinj, ndërsa rrethohet nga 11 vendbanimet që ka.</w:t>
      </w:r>
    </w:p>
    <w:p>
      <w:pPr>
        <w:pStyle w:val="BodyText"/>
        <w:ind w:left="740" w:right="1438"/>
        <w:jc w:val="both"/>
      </w:pPr>
      <w:r>
        <w:rPr/>
        <w:t>Vendbanimi i qytezës së Hanit të Elezit ka një pozitë gjeografike shumë të përshtatshme pasiqë është nyje kryesore për qarkullimin e rrugëve Prishtinë-Shkup, duke përfshirë magjistralen dhe autostradën “Arbën Xhaferi”. Nga kjo pozitë e favorshme ka rezultuar me industri shumë të zhvilluar</w:t>
      </w:r>
      <w:r>
        <w:rPr>
          <w:spacing w:val="-5"/>
        </w:rPr>
        <w:t> </w:t>
      </w:r>
      <w:r>
        <w:rPr/>
        <w:t>dhe</w:t>
      </w:r>
      <w:r>
        <w:rPr>
          <w:spacing w:val="-6"/>
        </w:rPr>
        <w:t> </w:t>
      </w:r>
      <w:r>
        <w:rPr/>
        <w:t>të</w:t>
      </w:r>
      <w:r>
        <w:rPr>
          <w:spacing w:val="-5"/>
        </w:rPr>
        <w:t> </w:t>
      </w:r>
      <w:r>
        <w:rPr/>
        <w:t>njohur</w:t>
      </w:r>
      <w:r>
        <w:rPr>
          <w:spacing w:val="-6"/>
        </w:rPr>
        <w:t> </w:t>
      </w:r>
      <w:r>
        <w:rPr/>
        <w:t>jo</w:t>
      </w:r>
      <w:r>
        <w:rPr>
          <w:spacing w:val="-7"/>
        </w:rPr>
        <w:t> </w:t>
      </w:r>
      <w:r>
        <w:rPr/>
        <w:t>vetëm</w:t>
      </w:r>
      <w:r>
        <w:rPr>
          <w:spacing w:val="-6"/>
        </w:rPr>
        <w:t> </w:t>
      </w:r>
      <w:r>
        <w:rPr/>
        <w:t>për</w:t>
      </w:r>
      <w:r>
        <w:rPr>
          <w:spacing w:val="-7"/>
        </w:rPr>
        <w:t> </w:t>
      </w:r>
      <w:r>
        <w:rPr/>
        <w:t>Kosovën</w:t>
      </w:r>
      <w:r>
        <w:rPr>
          <w:spacing w:val="-6"/>
        </w:rPr>
        <w:t> </w:t>
      </w:r>
      <w:r>
        <w:rPr/>
        <w:t>por</w:t>
      </w:r>
      <w:r>
        <w:rPr>
          <w:spacing w:val="-5"/>
        </w:rPr>
        <w:t> </w:t>
      </w:r>
      <w:r>
        <w:rPr/>
        <w:t>edhe</w:t>
      </w:r>
      <w:r>
        <w:rPr>
          <w:spacing w:val="-5"/>
        </w:rPr>
        <w:t> </w:t>
      </w:r>
      <w:r>
        <w:rPr/>
        <w:t>për</w:t>
      </w:r>
      <w:r>
        <w:rPr>
          <w:spacing w:val="-5"/>
        </w:rPr>
        <w:t> </w:t>
      </w:r>
      <w:r>
        <w:rPr/>
        <w:t>vendet</w:t>
      </w:r>
      <w:r>
        <w:rPr>
          <w:spacing w:val="-6"/>
        </w:rPr>
        <w:t> </w:t>
      </w:r>
      <w:r>
        <w:rPr/>
        <w:t>jashtë</w:t>
      </w:r>
      <w:r>
        <w:rPr>
          <w:spacing w:val="-7"/>
        </w:rPr>
        <w:t> </w:t>
      </w:r>
      <w:r>
        <w:rPr/>
        <w:t>saj.</w:t>
      </w:r>
      <w:r>
        <w:rPr>
          <w:spacing w:val="-6"/>
        </w:rPr>
        <w:t> </w:t>
      </w:r>
      <w:r>
        <w:rPr/>
        <w:t>Transporti</w:t>
      </w:r>
      <w:r>
        <w:rPr>
          <w:spacing w:val="-7"/>
        </w:rPr>
        <w:t> </w:t>
      </w:r>
      <w:r>
        <w:rPr/>
        <w:t>i</w:t>
      </w:r>
      <w:r>
        <w:rPr>
          <w:spacing w:val="-7"/>
        </w:rPr>
        <w:t> </w:t>
      </w:r>
      <w:r>
        <w:rPr/>
        <w:t>mallrave kryhet përmes pikës së njohur kufitare në Han të Elezit, pikë kyqe për rajonin duke rezultuar me tregti dhe transport mjaftë të zhvilluar.</w:t>
      </w:r>
    </w:p>
    <w:p>
      <w:pPr>
        <w:pStyle w:val="BodyText"/>
        <w:ind w:left="740" w:right="1439"/>
        <w:jc w:val="both"/>
      </w:pPr>
      <w:r>
        <w:rPr/>
        <w:t>Rruga</w:t>
      </w:r>
      <w:r>
        <w:rPr>
          <w:spacing w:val="-8"/>
        </w:rPr>
        <w:t> </w:t>
      </w:r>
      <w:r>
        <w:rPr/>
        <w:t>Magjistrale</w:t>
      </w:r>
      <w:r>
        <w:rPr>
          <w:spacing w:val="-8"/>
        </w:rPr>
        <w:t> </w:t>
      </w:r>
      <w:r>
        <w:rPr/>
        <w:t>Prishtinë-Shkup</w:t>
      </w:r>
      <w:r>
        <w:rPr>
          <w:spacing w:val="-9"/>
        </w:rPr>
        <w:t> </w:t>
      </w:r>
      <w:r>
        <w:rPr/>
        <w:t>rreth</w:t>
      </w:r>
      <w:r>
        <w:rPr>
          <w:spacing w:val="-8"/>
        </w:rPr>
        <w:t> </w:t>
      </w:r>
      <w:r>
        <w:rPr/>
        <w:t>12</w:t>
      </w:r>
      <w:r>
        <w:rPr>
          <w:spacing w:val="-8"/>
        </w:rPr>
        <w:t> </w:t>
      </w:r>
      <w:r>
        <w:rPr/>
        <w:t>km</w:t>
      </w:r>
      <w:r>
        <w:rPr>
          <w:spacing w:val="-8"/>
        </w:rPr>
        <w:t> </w:t>
      </w:r>
      <w:r>
        <w:rPr/>
        <w:t>e</w:t>
      </w:r>
      <w:r>
        <w:rPr>
          <w:spacing w:val="-10"/>
        </w:rPr>
        <w:t> </w:t>
      </w:r>
      <w:r>
        <w:rPr/>
        <w:t>gjatë</w:t>
      </w:r>
      <w:r>
        <w:rPr>
          <w:spacing w:val="-9"/>
        </w:rPr>
        <w:t> </w:t>
      </w:r>
      <w:r>
        <w:rPr/>
        <w:t>në</w:t>
      </w:r>
      <w:r>
        <w:rPr>
          <w:spacing w:val="-9"/>
        </w:rPr>
        <w:t> </w:t>
      </w:r>
      <w:r>
        <w:rPr/>
        <w:t>territorin</w:t>
      </w:r>
      <w:r>
        <w:rPr>
          <w:spacing w:val="-9"/>
        </w:rPr>
        <w:t> </w:t>
      </w:r>
      <w:r>
        <w:rPr/>
        <w:t>e</w:t>
      </w:r>
      <w:r>
        <w:rPr>
          <w:spacing w:val="-8"/>
        </w:rPr>
        <w:t> </w:t>
      </w:r>
      <w:r>
        <w:rPr/>
        <w:t>Hanit</w:t>
      </w:r>
      <w:r>
        <w:rPr>
          <w:spacing w:val="-9"/>
        </w:rPr>
        <w:t> </w:t>
      </w:r>
      <w:r>
        <w:rPr/>
        <w:t>të</w:t>
      </w:r>
      <w:r>
        <w:rPr>
          <w:spacing w:val="-8"/>
        </w:rPr>
        <w:t> </w:t>
      </w:r>
      <w:r>
        <w:rPr/>
        <w:t>Elezit,</w:t>
      </w:r>
      <w:r>
        <w:rPr>
          <w:spacing w:val="-8"/>
        </w:rPr>
        <w:t> </w:t>
      </w:r>
      <w:r>
        <w:rPr/>
        <w:t>kalon</w:t>
      </w:r>
      <w:r>
        <w:rPr>
          <w:spacing w:val="-8"/>
        </w:rPr>
        <w:t> </w:t>
      </w:r>
      <w:r>
        <w:rPr/>
        <w:t>përmes Grykës së Kaçanikut, lidh Hanit të Elezit dhe më tej deri në Maqedoninë e Veriut.</w:t>
      </w:r>
    </w:p>
    <w:p>
      <w:pPr>
        <w:pStyle w:val="BodyText"/>
        <w:spacing w:before="1"/>
        <w:ind w:left="740" w:right="1439"/>
        <w:jc w:val="both"/>
      </w:pPr>
      <w:r>
        <w:rPr/>
        <w:t>Autostrada</w:t>
      </w:r>
      <w:r>
        <w:rPr>
          <w:spacing w:val="-6"/>
        </w:rPr>
        <w:t> </w:t>
      </w:r>
      <w:r>
        <w:rPr/>
        <w:t>“Arbën</w:t>
      </w:r>
      <w:r>
        <w:rPr>
          <w:spacing w:val="-5"/>
        </w:rPr>
        <w:t> </w:t>
      </w:r>
      <w:r>
        <w:rPr/>
        <w:t>Xhaferi”</w:t>
      </w:r>
      <w:r>
        <w:rPr>
          <w:spacing w:val="-5"/>
        </w:rPr>
        <w:t> </w:t>
      </w:r>
      <w:r>
        <w:rPr/>
        <w:t>është</w:t>
      </w:r>
      <w:r>
        <w:rPr>
          <w:spacing w:val="-6"/>
        </w:rPr>
        <w:t> </w:t>
      </w:r>
      <w:r>
        <w:rPr/>
        <w:t>infrastruktura</w:t>
      </w:r>
      <w:r>
        <w:rPr>
          <w:spacing w:val="-5"/>
        </w:rPr>
        <w:t> </w:t>
      </w:r>
      <w:r>
        <w:rPr/>
        <w:t>tejet</w:t>
      </w:r>
      <w:r>
        <w:rPr>
          <w:spacing w:val="-4"/>
        </w:rPr>
        <w:t> </w:t>
      </w:r>
      <w:r>
        <w:rPr/>
        <w:t>mirë</w:t>
      </w:r>
      <w:r>
        <w:rPr>
          <w:spacing w:val="-6"/>
        </w:rPr>
        <w:t> </w:t>
      </w:r>
      <w:r>
        <w:rPr/>
        <w:t>e</w:t>
      </w:r>
      <w:r>
        <w:rPr>
          <w:spacing w:val="-6"/>
        </w:rPr>
        <w:t> </w:t>
      </w:r>
      <w:r>
        <w:rPr/>
        <w:t>zhvilluar</w:t>
      </w:r>
      <w:r>
        <w:rPr>
          <w:spacing w:val="-4"/>
        </w:rPr>
        <w:t> </w:t>
      </w:r>
      <w:r>
        <w:rPr/>
        <w:t>që</w:t>
      </w:r>
      <w:r>
        <w:rPr>
          <w:spacing w:val="-6"/>
        </w:rPr>
        <w:t> </w:t>
      </w:r>
      <w:r>
        <w:rPr/>
        <w:t>ndërlidhë</w:t>
      </w:r>
      <w:r>
        <w:rPr>
          <w:spacing w:val="-5"/>
        </w:rPr>
        <w:t> </w:t>
      </w:r>
      <w:r>
        <w:rPr/>
        <w:t>Hanin</w:t>
      </w:r>
      <w:r>
        <w:rPr>
          <w:spacing w:val="-5"/>
        </w:rPr>
        <w:t> </w:t>
      </w:r>
      <w:r>
        <w:rPr/>
        <w:t>e</w:t>
      </w:r>
      <w:r>
        <w:rPr>
          <w:spacing w:val="-4"/>
        </w:rPr>
        <w:t> </w:t>
      </w:r>
      <w:r>
        <w:rPr/>
        <w:t>Elezit me qendrat më të mëdha të Kosovës, si kryeqytetin Prishtinën, Ferizaj dhe Kacanikun përmes së cilave</w:t>
      </w:r>
      <w:r>
        <w:rPr>
          <w:spacing w:val="-3"/>
        </w:rPr>
        <w:t> </w:t>
      </w:r>
      <w:r>
        <w:rPr/>
        <w:t>arrihet</w:t>
      </w:r>
      <w:r>
        <w:rPr>
          <w:spacing w:val="-4"/>
        </w:rPr>
        <w:t> </w:t>
      </w:r>
      <w:r>
        <w:rPr/>
        <w:t>edhe</w:t>
      </w:r>
      <w:r>
        <w:rPr>
          <w:spacing w:val="-3"/>
        </w:rPr>
        <w:t> </w:t>
      </w:r>
      <w:r>
        <w:rPr/>
        <w:t>në</w:t>
      </w:r>
      <w:r>
        <w:rPr>
          <w:spacing w:val="-3"/>
        </w:rPr>
        <w:t> </w:t>
      </w:r>
      <w:r>
        <w:rPr/>
        <w:t>qytetet</w:t>
      </w:r>
      <w:r>
        <w:rPr>
          <w:spacing w:val="-3"/>
        </w:rPr>
        <w:t> </w:t>
      </w:r>
      <w:r>
        <w:rPr/>
        <w:t>tjera</w:t>
      </w:r>
      <w:r>
        <w:rPr>
          <w:spacing w:val="-4"/>
        </w:rPr>
        <w:t> </w:t>
      </w:r>
      <w:r>
        <w:rPr/>
        <w:t>të</w:t>
      </w:r>
      <w:r>
        <w:rPr>
          <w:spacing w:val="-4"/>
        </w:rPr>
        <w:t> </w:t>
      </w:r>
      <w:r>
        <w:rPr/>
        <w:t>mëdha.</w:t>
      </w:r>
      <w:r>
        <w:rPr>
          <w:spacing w:val="-4"/>
        </w:rPr>
        <w:t> </w:t>
      </w:r>
      <w:r>
        <w:rPr/>
        <w:t>Kjo</w:t>
      </w:r>
      <w:r>
        <w:rPr>
          <w:spacing w:val="-5"/>
        </w:rPr>
        <w:t> </w:t>
      </w:r>
      <w:r>
        <w:rPr/>
        <w:t>rrugë</w:t>
      </w:r>
      <w:r>
        <w:rPr>
          <w:spacing w:val="-3"/>
        </w:rPr>
        <w:t> </w:t>
      </w:r>
      <w:r>
        <w:rPr/>
        <w:t>është</w:t>
      </w:r>
      <w:r>
        <w:rPr>
          <w:spacing w:val="-2"/>
        </w:rPr>
        <w:t> </w:t>
      </w:r>
      <w:r>
        <w:rPr/>
        <w:t>e</w:t>
      </w:r>
      <w:r>
        <w:rPr>
          <w:spacing w:val="-5"/>
        </w:rPr>
        <w:t> </w:t>
      </w:r>
      <w:r>
        <w:rPr/>
        <w:t>rëndësisë</w:t>
      </w:r>
      <w:r>
        <w:rPr>
          <w:spacing w:val="-3"/>
        </w:rPr>
        <w:t> </w:t>
      </w:r>
      <w:r>
        <w:rPr/>
        <w:t>së</w:t>
      </w:r>
      <w:r>
        <w:rPr>
          <w:spacing w:val="-4"/>
        </w:rPr>
        <w:t> </w:t>
      </w:r>
      <w:r>
        <w:rPr/>
        <w:t>madhe</w:t>
      </w:r>
      <w:r>
        <w:rPr>
          <w:spacing w:val="-3"/>
        </w:rPr>
        <w:t> </w:t>
      </w:r>
      <w:r>
        <w:rPr/>
        <w:t>pasi</w:t>
      </w:r>
      <w:r>
        <w:rPr>
          <w:spacing w:val="-4"/>
        </w:rPr>
        <w:t> </w:t>
      </w:r>
      <w:r>
        <w:rPr/>
        <w:t>qarkullimi i saj është relativisht i lartë duke ndikuar kështu në ekonominë e Hanit të Elezit.</w:t>
      </w:r>
    </w:p>
    <w:p>
      <w:pPr>
        <w:pStyle w:val="BodyText"/>
        <w:ind w:left="740" w:right="1439"/>
        <w:jc w:val="both"/>
      </w:pPr>
      <w:r>
        <w:rPr/>
        <w:t>Rruga që lidh dy pikat kufitare (Hani i Elezit dhe Glloboçicë) gjithashtu kalon përmes këtij territori.</w:t>
      </w:r>
      <w:r>
        <w:rPr>
          <w:spacing w:val="-5"/>
        </w:rPr>
        <w:t> </w:t>
      </w:r>
      <w:r>
        <w:rPr/>
        <w:t>Rruga</w:t>
      </w:r>
      <w:r>
        <w:rPr>
          <w:spacing w:val="-3"/>
        </w:rPr>
        <w:t> </w:t>
      </w:r>
      <w:r>
        <w:rPr/>
        <w:t>është</w:t>
      </w:r>
      <w:r>
        <w:rPr>
          <w:spacing w:val="-3"/>
        </w:rPr>
        <w:t> </w:t>
      </w:r>
      <w:r>
        <w:rPr/>
        <w:t>13</w:t>
      </w:r>
      <w:r>
        <w:rPr>
          <w:spacing w:val="-5"/>
        </w:rPr>
        <w:t> </w:t>
      </w:r>
      <w:r>
        <w:rPr/>
        <w:t>km</w:t>
      </w:r>
      <w:r>
        <w:rPr>
          <w:spacing w:val="-3"/>
        </w:rPr>
        <w:t> </w:t>
      </w:r>
      <w:r>
        <w:rPr/>
        <w:t>e</w:t>
      </w:r>
      <w:r>
        <w:rPr>
          <w:spacing w:val="-3"/>
        </w:rPr>
        <w:t> </w:t>
      </w:r>
      <w:r>
        <w:rPr/>
        <w:t>gjatë</w:t>
      </w:r>
      <w:r>
        <w:rPr>
          <w:spacing w:val="-3"/>
        </w:rPr>
        <w:t> </w:t>
      </w:r>
      <w:r>
        <w:rPr/>
        <w:t>dhe</w:t>
      </w:r>
      <w:r>
        <w:rPr>
          <w:spacing w:val="-3"/>
        </w:rPr>
        <w:t> </w:t>
      </w:r>
      <w:r>
        <w:rPr/>
        <w:t>e</w:t>
      </w:r>
      <w:r>
        <w:rPr>
          <w:spacing w:val="-5"/>
        </w:rPr>
        <w:t> </w:t>
      </w:r>
      <w:r>
        <w:rPr/>
        <w:t>asfaltuar</w:t>
      </w:r>
      <w:r>
        <w:rPr>
          <w:spacing w:val="-3"/>
        </w:rPr>
        <w:t> </w:t>
      </w:r>
      <w:r>
        <w:rPr/>
        <w:t>pjesë</w:t>
      </w:r>
      <w:r>
        <w:rPr>
          <w:spacing w:val="-4"/>
        </w:rPr>
        <w:t> </w:t>
      </w:r>
      <w:r>
        <w:rPr/>
        <w:t>e</w:t>
      </w:r>
      <w:r>
        <w:rPr>
          <w:spacing w:val="-3"/>
        </w:rPr>
        <w:t> </w:t>
      </w:r>
      <w:r>
        <w:rPr/>
        <w:t>cila</w:t>
      </w:r>
      <w:r>
        <w:rPr>
          <w:spacing w:val="-4"/>
        </w:rPr>
        <w:t> </w:t>
      </w:r>
      <w:r>
        <w:rPr/>
        <w:t>kalon</w:t>
      </w:r>
      <w:r>
        <w:rPr>
          <w:spacing w:val="-3"/>
        </w:rPr>
        <w:t> </w:t>
      </w:r>
      <w:r>
        <w:rPr/>
        <w:t>nëpër</w:t>
      </w:r>
      <w:r>
        <w:rPr>
          <w:spacing w:val="-4"/>
        </w:rPr>
        <w:t> </w:t>
      </w:r>
      <w:r>
        <w:rPr/>
        <w:t>mallet</w:t>
      </w:r>
      <w:r>
        <w:rPr>
          <w:spacing w:val="-3"/>
        </w:rPr>
        <w:t> </w:t>
      </w:r>
      <w:r>
        <w:rPr/>
        <w:t>e</w:t>
      </w:r>
      <w:r>
        <w:rPr>
          <w:spacing w:val="-4"/>
        </w:rPr>
        <w:t> </w:t>
      </w:r>
      <w:r>
        <w:rPr/>
        <w:t>Sharrit.</w:t>
      </w:r>
      <w:r>
        <w:rPr>
          <w:spacing w:val="-3"/>
        </w:rPr>
        <w:t> </w:t>
      </w:r>
      <w:r>
        <w:rPr/>
        <w:t>Rruga përmes Hanit të Elezit ndjek pjesën perëndimore të territorit, duke kaluar nëpër fshatin Gorancë dhe arrin në Glloboçicë si një pikë kufitare alternative.</w:t>
      </w:r>
    </w:p>
    <w:p>
      <w:pPr>
        <w:pStyle w:val="BodyText"/>
        <w:rPr>
          <w:sz w:val="20"/>
        </w:rPr>
      </w:pPr>
    </w:p>
    <w:p>
      <w:pPr>
        <w:pStyle w:val="BodyText"/>
        <w:spacing w:before="3"/>
        <w:rPr>
          <w:sz w:val="12"/>
        </w:rPr>
      </w:pPr>
      <w:r>
        <w:rPr/>
        <w:drawing>
          <wp:anchor distT="0" distB="0" distL="0" distR="0" allowOverlap="1" layoutInCell="1" locked="0" behindDoc="0" simplePos="0" relativeHeight="13">
            <wp:simplePos x="0" y="0"/>
            <wp:positionH relativeFrom="page">
              <wp:posOffset>1990725</wp:posOffset>
            </wp:positionH>
            <wp:positionV relativeFrom="paragraph">
              <wp:posOffset>104763</wp:posOffset>
            </wp:positionV>
            <wp:extent cx="3780523" cy="3227070"/>
            <wp:effectExtent l="0" t="0" r="0" b="0"/>
            <wp:wrapTopAndBottom/>
            <wp:docPr id="11" name="image24.jpeg"/>
            <wp:cNvGraphicFramePr>
              <a:graphicFrameLocks noChangeAspect="1"/>
            </wp:cNvGraphicFramePr>
            <a:graphic>
              <a:graphicData uri="http://schemas.openxmlformats.org/drawingml/2006/picture">
                <pic:pic>
                  <pic:nvPicPr>
                    <pic:cNvPr id="12" name="image24.jpeg"/>
                    <pic:cNvPicPr/>
                  </pic:nvPicPr>
                  <pic:blipFill>
                    <a:blip r:embed="rId31" cstate="print"/>
                    <a:stretch>
                      <a:fillRect/>
                    </a:stretch>
                  </pic:blipFill>
                  <pic:spPr>
                    <a:xfrm>
                      <a:off x="0" y="0"/>
                      <a:ext cx="3780523" cy="3227070"/>
                    </a:xfrm>
                    <a:prstGeom prst="rect">
                      <a:avLst/>
                    </a:prstGeom>
                  </pic:spPr>
                </pic:pic>
              </a:graphicData>
            </a:graphic>
          </wp:anchor>
        </w:drawing>
      </w:r>
    </w:p>
    <w:p>
      <w:pPr>
        <w:pStyle w:val="BodyText"/>
        <w:spacing w:before="14"/>
        <w:ind w:left="2677"/>
      </w:pPr>
      <w:r>
        <w:rPr>
          <w:b/>
        </w:rPr>
        <w:t>Figura</w:t>
      </w:r>
      <w:r>
        <w:rPr>
          <w:b/>
          <w:spacing w:val="-3"/>
        </w:rPr>
        <w:t> </w:t>
      </w:r>
      <w:r>
        <w:rPr>
          <w:b/>
        </w:rPr>
        <w:t>3</w:t>
      </w:r>
      <w:r>
        <w:rPr/>
        <w:t>:</w:t>
      </w:r>
      <w:r>
        <w:rPr>
          <w:spacing w:val="-2"/>
        </w:rPr>
        <w:t> </w:t>
      </w:r>
      <w:r>
        <w:rPr/>
        <w:t>Pozita</w:t>
      </w:r>
      <w:r>
        <w:rPr>
          <w:spacing w:val="-1"/>
        </w:rPr>
        <w:t> </w:t>
      </w:r>
      <w:r>
        <w:rPr/>
        <w:t>gjeografike</w:t>
      </w:r>
      <w:r>
        <w:rPr>
          <w:spacing w:val="-3"/>
        </w:rPr>
        <w:t> </w:t>
      </w:r>
      <w:r>
        <w:rPr/>
        <w:t>e</w:t>
      </w:r>
      <w:r>
        <w:rPr>
          <w:spacing w:val="-2"/>
        </w:rPr>
        <w:t> </w:t>
      </w:r>
      <w:r>
        <w:rPr/>
        <w:t>komunës</w:t>
      </w:r>
      <w:r>
        <w:rPr>
          <w:spacing w:val="-1"/>
        </w:rPr>
        <w:t> </w:t>
      </w:r>
      <w:r>
        <w:rPr/>
        <w:t>së</w:t>
      </w:r>
      <w:r>
        <w:rPr>
          <w:spacing w:val="-2"/>
        </w:rPr>
        <w:t> </w:t>
      </w:r>
      <w:r>
        <w:rPr/>
        <w:t>Hani</w:t>
      </w:r>
      <w:r>
        <w:rPr>
          <w:spacing w:val="-1"/>
        </w:rPr>
        <w:t> </w:t>
      </w:r>
      <w:r>
        <w:rPr/>
        <w:t>të</w:t>
      </w:r>
      <w:r>
        <w:rPr>
          <w:spacing w:val="-2"/>
        </w:rPr>
        <w:t> Elezit</w:t>
      </w:r>
    </w:p>
    <w:p>
      <w:pPr>
        <w:spacing w:after="0"/>
        <w:sectPr>
          <w:pgSz w:w="12240" w:h="15840"/>
          <w:pgMar w:header="0" w:footer="990" w:top="1380" w:bottom="1180" w:left="700" w:right="0"/>
        </w:sectPr>
      </w:pPr>
    </w:p>
    <w:p>
      <w:pPr>
        <w:pStyle w:val="BodyText"/>
        <w:ind w:left="710"/>
        <w:rPr>
          <w:sz w:val="20"/>
        </w:rPr>
      </w:pPr>
      <w:r>
        <w:rPr>
          <w:sz w:val="20"/>
        </w:rPr>
        <w:pict>
          <v:shape style="width:471.1pt;height:15.85pt;mso-position-horizontal-relative:char;mso-position-vertical-relative:line" type="#_x0000_t202" id="docshape69" filled="true" fillcolor="#eab8a3" stroked="false">
            <w10:anchorlock/>
            <v:textbox inset="0,0,0,0">
              <w:txbxContent>
                <w:p>
                  <w:pPr>
                    <w:tabs>
                      <w:tab w:pos="810" w:val="left" w:leader="none"/>
                    </w:tabs>
                    <w:spacing w:before="0"/>
                    <w:ind w:left="30" w:right="0" w:firstLine="0"/>
                    <w:jc w:val="left"/>
                    <w:rPr>
                      <w:b/>
                      <w:color w:val="000000"/>
                      <w:sz w:val="24"/>
                    </w:rPr>
                  </w:pPr>
                  <w:r>
                    <w:rPr>
                      <w:b/>
                      <w:color w:val="000000"/>
                      <w:spacing w:val="-4"/>
                      <w:sz w:val="24"/>
                    </w:rPr>
                    <w:t>2.2.</w:t>
                  </w:r>
                  <w:r>
                    <w:rPr>
                      <w:b/>
                      <w:color w:val="000000"/>
                      <w:sz w:val="24"/>
                    </w:rPr>
                    <w:tab/>
                    <w:t>Kushtet</w:t>
                  </w:r>
                  <w:r>
                    <w:rPr>
                      <w:b/>
                      <w:color w:val="000000"/>
                      <w:spacing w:val="-9"/>
                      <w:sz w:val="24"/>
                    </w:rPr>
                    <w:t> </w:t>
                  </w:r>
                  <w:r>
                    <w:rPr>
                      <w:b/>
                      <w:color w:val="000000"/>
                      <w:sz w:val="24"/>
                    </w:rPr>
                    <w:t>klimatike</w:t>
                  </w:r>
                  <w:r>
                    <w:rPr>
                      <w:b/>
                      <w:color w:val="000000"/>
                      <w:spacing w:val="-7"/>
                      <w:sz w:val="24"/>
                    </w:rPr>
                    <w:t> </w:t>
                  </w:r>
                  <w:r>
                    <w:rPr>
                      <w:b/>
                      <w:color w:val="000000"/>
                      <w:sz w:val="24"/>
                    </w:rPr>
                    <w:t>dhe</w:t>
                  </w:r>
                  <w:r>
                    <w:rPr>
                      <w:b/>
                      <w:color w:val="000000"/>
                      <w:spacing w:val="-10"/>
                      <w:sz w:val="24"/>
                    </w:rPr>
                    <w:t> </w:t>
                  </w:r>
                  <w:r>
                    <w:rPr>
                      <w:b/>
                      <w:color w:val="000000"/>
                      <w:spacing w:val="-2"/>
                      <w:sz w:val="24"/>
                    </w:rPr>
                    <w:t>relievi</w:t>
                  </w:r>
                </w:p>
              </w:txbxContent>
            </v:textbox>
            <v:fill type="solid"/>
          </v:shape>
        </w:pict>
      </w:r>
      <w:r>
        <w:rPr>
          <w:sz w:val="20"/>
        </w:rPr>
      </w:r>
    </w:p>
    <w:p>
      <w:pPr>
        <w:pStyle w:val="BodyText"/>
        <w:spacing w:before="2"/>
        <w:rPr>
          <w:sz w:val="7"/>
        </w:rPr>
      </w:pPr>
    </w:p>
    <w:p>
      <w:pPr>
        <w:pStyle w:val="BodyText"/>
        <w:spacing w:line="288" w:lineRule="auto" w:before="90"/>
        <w:ind w:left="740" w:right="1439"/>
        <w:jc w:val="both"/>
      </w:pPr>
      <w:r>
        <w:rPr/>
        <w:t>Klima e Hanit të Elezit është tipike kontinentale, me dimra të ashpëra dhe temperatura minimale që</w:t>
      </w:r>
      <w:r>
        <w:rPr/>
        <w:t> sillen</w:t>
      </w:r>
      <w:r>
        <w:rPr/>
        <w:t> nga</w:t>
      </w:r>
      <w:r>
        <w:rPr/>
        <w:t> -10</w:t>
      </w:r>
      <w:r>
        <w:rPr/>
        <w:t> gradë</w:t>
      </w:r>
      <w:r>
        <w:rPr/>
        <w:t> Celsius deri në 5 gradë Celsius, dhe vera të nxehta me temperatura maksimale</w:t>
      </w:r>
      <w:r>
        <w:rPr>
          <w:spacing w:val="-5"/>
        </w:rPr>
        <w:t> </w:t>
      </w:r>
      <w:r>
        <w:rPr/>
        <w:t>që</w:t>
      </w:r>
      <w:r>
        <w:rPr>
          <w:spacing w:val="-5"/>
        </w:rPr>
        <w:t> </w:t>
      </w:r>
      <w:r>
        <w:rPr/>
        <w:t>arrijnë</w:t>
      </w:r>
      <w:r>
        <w:rPr>
          <w:spacing w:val="-5"/>
        </w:rPr>
        <w:t> </w:t>
      </w:r>
      <w:r>
        <w:rPr/>
        <w:t>deri</w:t>
      </w:r>
      <w:r>
        <w:rPr>
          <w:spacing w:val="-6"/>
        </w:rPr>
        <w:t> </w:t>
      </w:r>
      <w:r>
        <w:rPr/>
        <w:t>në</w:t>
      </w:r>
      <w:r>
        <w:rPr>
          <w:spacing w:val="-5"/>
        </w:rPr>
        <w:t> </w:t>
      </w:r>
      <w:r>
        <w:rPr/>
        <w:t>40</w:t>
      </w:r>
      <w:r>
        <w:rPr>
          <w:spacing w:val="-5"/>
        </w:rPr>
        <w:t> </w:t>
      </w:r>
      <w:r>
        <w:rPr/>
        <w:t>gradë</w:t>
      </w:r>
      <w:r>
        <w:rPr>
          <w:spacing w:val="-6"/>
        </w:rPr>
        <w:t> </w:t>
      </w:r>
      <w:r>
        <w:rPr/>
        <w:t>Celsius.</w:t>
      </w:r>
      <w:r>
        <w:rPr>
          <w:spacing w:val="40"/>
        </w:rPr>
        <w:t> </w:t>
      </w:r>
      <w:r>
        <w:rPr/>
        <w:t>Muaji</w:t>
      </w:r>
      <w:r>
        <w:rPr>
          <w:spacing w:val="-5"/>
        </w:rPr>
        <w:t> </w:t>
      </w:r>
      <w:r>
        <w:rPr/>
        <w:t>më</w:t>
      </w:r>
      <w:r>
        <w:rPr>
          <w:spacing w:val="-5"/>
        </w:rPr>
        <w:t> </w:t>
      </w:r>
      <w:r>
        <w:rPr/>
        <w:t>i</w:t>
      </w:r>
      <w:r>
        <w:rPr>
          <w:spacing w:val="-4"/>
        </w:rPr>
        <w:t> </w:t>
      </w:r>
      <w:r>
        <w:rPr/>
        <w:t>nxehtë</w:t>
      </w:r>
      <w:r>
        <w:rPr>
          <w:spacing w:val="-4"/>
        </w:rPr>
        <w:t> </w:t>
      </w:r>
      <w:r>
        <w:rPr/>
        <w:t>është</w:t>
      </w:r>
      <w:r>
        <w:rPr>
          <w:spacing w:val="-4"/>
        </w:rPr>
        <w:t> </w:t>
      </w:r>
      <w:r>
        <w:rPr/>
        <w:t>Korriku,</w:t>
      </w:r>
      <w:r>
        <w:rPr>
          <w:spacing w:val="-5"/>
        </w:rPr>
        <w:t> </w:t>
      </w:r>
      <w:r>
        <w:rPr/>
        <w:t>ndërsa</w:t>
      </w:r>
      <w:r>
        <w:rPr>
          <w:spacing w:val="-6"/>
        </w:rPr>
        <w:t> </w:t>
      </w:r>
      <w:r>
        <w:rPr/>
        <w:t>muaji</w:t>
      </w:r>
      <w:r>
        <w:rPr>
          <w:spacing w:val="-7"/>
        </w:rPr>
        <w:t> </w:t>
      </w:r>
      <w:r>
        <w:rPr/>
        <w:t>me ftohtë është Janari.</w:t>
      </w:r>
    </w:p>
    <w:p>
      <w:pPr>
        <w:pStyle w:val="BodyText"/>
        <w:spacing w:line="288" w:lineRule="auto" w:before="201"/>
        <w:ind w:left="740" w:right="1440"/>
        <w:jc w:val="both"/>
      </w:pPr>
      <w:r>
        <w:rPr/>
        <w:t>Në</w:t>
      </w:r>
      <w:r>
        <w:rPr>
          <w:spacing w:val="-5"/>
        </w:rPr>
        <w:t> </w:t>
      </w:r>
      <w:r>
        <w:rPr/>
        <w:t>klimën</w:t>
      </w:r>
      <w:r>
        <w:rPr>
          <w:spacing w:val="-5"/>
        </w:rPr>
        <w:t> </w:t>
      </w:r>
      <w:r>
        <w:rPr/>
        <w:t>e</w:t>
      </w:r>
      <w:r>
        <w:rPr>
          <w:spacing w:val="-7"/>
        </w:rPr>
        <w:t> </w:t>
      </w:r>
      <w:r>
        <w:rPr/>
        <w:t>komunës</w:t>
      </w:r>
      <w:r>
        <w:rPr>
          <w:spacing w:val="-5"/>
        </w:rPr>
        <w:t> </w:t>
      </w:r>
      <w:r>
        <w:rPr/>
        <w:t>ka</w:t>
      </w:r>
      <w:r>
        <w:rPr>
          <w:spacing w:val="-7"/>
        </w:rPr>
        <w:t> </w:t>
      </w:r>
      <w:r>
        <w:rPr/>
        <w:t>një</w:t>
      </w:r>
      <w:r>
        <w:rPr>
          <w:spacing w:val="-4"/>
        </w:rPr>
        <w:t> </w:t>
      </w:r>
      <w:r>
        <w:rPr/>
        <w:t>ndikim</w:t>
      </w:r>
      <w:r>
        <w:rPr>
          <w:spacing w:val="-5"/>
        </w:rPr>
        <w:t> </w:t>
      </w:r>
      <w:r>
        <w:rPr/>
        <w:t>të</w:t>
      </w:r>
      <w:r>
        <w:rPr>
          <w:spacing w:val="-5"/>
        </w:rPr>
        <w:t> </w:t>
      </w:r>
      <w:r>
        <w:rPr/>
        <w:t>fuqishëm</w:t>
      </w:r>
      <w:r>
        <w:rPr>
          <w:spacing w:val="-7"/>
        </w:rPr>
        <w:t> </w:t>
      </w:r>
      <w:r>
        <w:rPr/>
        <w:t>nga</w:t>
      </w:r>
      <w:r>
        <w:rPr>
          <w:spacing w:val="-5"/>
        </w:rPr>
        <w:t> </w:t>
      </w:r>
      <w:r>
        <w:rPr/>
        <w:t>lugina</w:t>
      </w:r>
      <w:r>
        <w:rPr>
          <w:spacing w:val="-5"/>
        </w:rPr>
        <w:t> </w:t>
      </w:r>
      <w:r>
        <w:rPr/>
        <w:t>e</w:t>
      </w:r>
      <w:r>
        <w:rPr>
          <w:spacing w:val="-7"/>
        </w:rPr>
        <w:t> </w:t>
      </w:r>
      <w:r>
        <w:rPr/>
        <w:t>Vardarit</w:t>
      </w:r>
      <w:r>
        <w:rPr>
          <w:spacing w:val="-5"/>
        </w:rPr>
        <w:t> </w:t>
      </w:r>
      <w:r>
        <w:rPr/>
        <w:t>(klima</w:t>
      </w:r>
      <w:r>
        <w:rPr>
          <w:spacing w:val="-4"/>
        </w:rPr>
        <w:t> </w:t>
      </w:r>
      <w:r>
        <w:rPr/>
        <w:t>e</w:t>
      </w:r>
      <w:r>
        <w:rPr>
          <w:spacing w:val="-6"/>
        </w:rPr>
        <w:t> </w:t>
      </w:r>
      <w:r>
        <w:rPr/>
        <w:t>butë</w:t>
      </w:r>
      <w:r>
        <w:rPr>
          <w:spacing w:val="-5"/>
        </w:rPr>
        <w:t> </w:t>
      </w:r>
      <w:r>
        <w:rPr/>
        <w:t>me</w:t>
      </w:r>
      <w:r>
        <w:rPr>
          <w:spacing w:val="-5"/>
        </w:rPr>
        <w:t> </w:t>
      </w:r>
      <w:r>
        <w:rPr/>
        <w:t>ndikim</w:t>
      </w:r>
      <w:r>
        <w:rPr>
          <w:spacing w:val="-6"/>
        </w:rPr>
        <w:t> </w:t>
      </w:r>
      <w:r>
        <w:rPr/>
        <w:t>të fortë</w:t>
      </w:r>
      <w:r>
        <w:rPr>
          <w:spacing w:val="-8"/>
        </w:rPr>
        <w:t> </w:t>
      </w:r>
      <w:r>
        <w:rPr/>
        <w:t>gjatë</w:t>
      </w:r>
      <w:r>
        <w:rPr>
          <w:spacing w:val="-7"/>
        </w:rPr>
        <w:t> </w:t>
      </w:r>
      <w:r>
        <w:rPr/>
        <w:t>dimrit</w:t>
      </w:r>
      <w:r>
        <w:rPr>
          <w:spacing w:val="-7"/>
        </w:rPr>
        <w:t> </w:t>
      </w:r>
      <w:r>
        <w:rPr/>
        <w:t>që</w:t>
      </w:r>
      <w:r>
        <w:rPr>
          <w:spacing w:val="-7"/>
        </w:rPr>
        <w:t> </w:t>
      </w:r>
      <w:r>
        <w:rPr/>
        <w:t>pasohet</w:t>
      </w:r>
      <w:r>
        <w:rPr>
          <w:spacing w:val="-7"/>
        </w:rPr>
        <w:t> </w:t>
      </w:r>
      <w:r>
        <w:rPr/>
        <w:t>nga</w:t>
      </w:r>
      <w:r>
        <w:rPr>
          <w:spacing w:val="-7"/>
        </w:rPr>
        <w:t> </w:t>
      </w:r>
      <w:r>
        <w:rPr/>
        <w:t>sasi</w:t>
      </w:r>
      <w:r>
        <w:rPr>
          <w:spacing w:val="-8"/>
        </w:rPr>
        <w:t> </w:t>
      </w:r>
      <w:r>
        <w:rPr/>
        <w:t>të</w:t>
      </w:r>
      <w:r>
        <w:rPr>
          <w:spacing w:val="-7"/>
        </w:rPr>
        <w:t> </w:t>
      </w:r>
      <w:r>
        <w:rPr/>
        <w:t>vogla</w:t>
      </w:r>
      <w:r>
        <w:rPr>
          <w:spacing w:val="-8"/>
        </w:rPr>
        <w:t> </w:t>
      </w:r>
      <w:r>
        <w:rPr/>
        <w:t>të</w:t>
      </w:r>
      <w:r>
        <w:rPr>
          <w:spacing w:val="-8"/>
        </w:rPr>
        <w:t> </w:t>
      </w:r>
      <w:r>
        <w:rPr/>
        <w:t>reshurave</w:t>
      </w:r>
      <w:r>
        <w:rPr>
          <w:spacing w:val="-8"/>
        </w:rPr>
        <w:t> </w:t>
      </w:r>
      <w:r>
        <w:rPr/>
        <w:t>të</w:t>
      </w:r>
      <w:r>
        <w:rPr>
          <w:spacing w:val="-8"/>
        </w:rPr>
        <w:t> </w:t>
      </w:r>
      <w:r>
        <w:rPr/>
        <w:t>borës)</w:t>
      </w:r>
      <w:r>
        <w:rPr>
          <w:spacing w:val="-7"/>
        </w:rPr>
        <w:t> </w:t>
      </w:r>
      <w:r>
        <w:rPr/>
        <w:t>dhe</w:t>
      </w:r>
      <w:r>
        <w:rPr>
          <w:spacing w:val="-8"/>
        </w:rPr>
        <w:t> </w:t>
      </w:r>
      <w:r>
        <w:rPr/>
        <w:t>Gryka</w:t>
      </w:r>
      <w:r>
        <w:rPr>
          <w:spacing w:val="-7"/>
        </w:rPr>
        <w:t> </w:t>
      </w:r>
      <w:r>
        <w:rPr/>
        <w:t>e</w:t>
      </w:r>
      <w:r>
        <w:rPr>
          <w:spacing w:val="-7"/>
        </w:rPr>
        <w:t> </w:t>
      </w:r>
      <w:r>
        <w:rPr/>
        <w:t>Kaçanikut</w:t>
      </w:r>
      <w:r>
        <w:rPr>
          <w:spacing w:val="-8"/>
        </w:rPr>
        <w:t> </w:t>
      </w:r>
      <w:r>
        <w:rPr/>
        <w:t>(klimë tipike kontinentale me ndikim të fuqishëm gjatë verës).</w:t>
      </w:r>
    </w:p>
    <w:p>
      <w:pPr>
        <w:pStyle w:val="BodyText"/>
        <w:spacing w:line="288" w:lineRule="auto" w:before="199"/>
        <w:ind w:left="740" w:right="1436"/>
        <w:jc w:val="both"/>
      </w:pPr>
      <w:r>
        <w:rPr/>
        <w:t>Zona është e karakterizuar nga reshje të dobëta, me një mesatare 476ml/m2/vit. Reshjet janë të dobëta gjatë verës dhe janë të forta në dhjetor dhe janar. Lagështia mesatare është rreth 65% (minimumi</w:t>
      </w:r>
      <w:r>
        <w:rPr>
          <w:spacing w:val="-4"/>
        </w:rPr>
        <w:t> </w:t>
      </w:r>
      <w:r>
        <w:rPr/>
        <w:t>51%</w:t>
      </w:r>
      <w:r>
        <w:rPr>
          <w:spacing w:val="-3"/>
        </w:rPr>
        <w:t> </w:t>
      </w:r>
      <w:r>
        <w:rPr/>
        <w:t>dhe</w:t>
      </w:r>
      <w:r>
        <w:rPr>
          <w:spacing w:val="-4"/>
        </w:rPr>
        <w:t> </w:t>
      </w:r>
      <w:r>
        <w:rPr/>
        <w:t>maksimumi</w:t>
      </w:r>
      <w:r>
        <w:rPr>
          <w:spacing w:val="-3"/>
        </w:rPr>
        <w:t> </w:t>
      </w:r>
      <w:r>
        <w:rPr/>
        <w:t>87%).</w:t>
      </w:r>
      <w:r>
        <w:rPr>
          <w:spacing w:val="-3"/>
        </w:rPr>
        <w:t> </w:t>
      </w:r>
      <w:r>
        <w:rPr/>
        <w:t>Drejtimi</w:t>
      </w:r>
      <w:r>
        <w:rPr>
          <w:spacing w:val="-4"/>
        </w:rPr>
        <w:t> </w:t>
      </w:r>
      <w:r>
        <w:rPr/>
        <w:t>kryesor</w:t>
      </w:r>
      <w:r>
        <w:rPr>
          <w:spacing w:val="-3"/>
        </w:rPr>
        <w:t> </w:t>
      </w:r>
      <w:r>
        <w:rPr/>
        <w:t>i</w:t>
      </w:r>
      <w:r>
        <w:rPr>
          <w:spacing w:val="-5"/>
        </w:rPr>
        <w:t> </w:t>
      </w:r>
      <w:r>
        <w:rPr/>
        <w:t>erës</w:t>
      </w:r>
      <w:r>
        <w:rPr>
          <w:spacing w:val="-3"/>
        </w:rPr>
        <w:t> </w:t>
      </w:r>
      <w:r>
        <w:rPr/>
        <w:t>është</w:t>
      </w:r>
      <w:r>
        <w:rPr>
          <w:spacing w:val="-3"/>
        </w:rPr>
        <w:t> </w:t>
      </w:r>
      <w:r>
        <w:rPr/>
        <w:t>veri</w:t>
      </w:r>
      <w:r>
        <w:rPr>
          <w:spacing w:val="-4"/>
        </w:rPr>
        <w:t> </w:t>
      </w:r>
      <w:r>
        <w:rPr/>
        <w:t>-</w:t>
      </w:r>
      <w:r>
        <w:rPr>
          <w:spacing w:val="-3"/>
        </w:rPr>
        <w:t> </w:t>
      </w:r>
      <w:r>
        <w:rPr/>
        <w:t>jug.</w:t>
      </w:r>
      <w:r>
        <w:rPr>
          <w:spacing w:val="-4"/>
        </w:rPr>
        <w:t> </w:t>
      </w:r>
      <w:r>
        <w:rPr/>
        <w:t>Aktualisht</w:t>
      </w:r>
      <w:r>
        <w:rPr>
          <w:spacing w:val="-3"/>
        </w:rPr>
        <w:t> </w:t>
      </w:r>
      <w:r>
        <w:rPr/>
        <w:t>nuk</w:t>
      </w:r>
      <w:r>
        <w:rPr>
          <w:spacing w:val="-3"/>
        </w:rPr>
        <w:t> </w:t>
      </w:r>
      <w:r>
        <w:rPr/>
        <w:t>ka ndonjë stacion lokal klimatik në territorin e Komunës.</w:t>
      </w:r>
    </w:p>
    <w:p>
      <w:pPr>
        <w:pStyle w:val="BodyText"/>
        <w:spacing w:line="288" w:lineRule="auto" w:before="200"/>
        <w:ind w:left="740" w:right="1437"/>
        <w:jc w:val="both"/>
      </w:pPr>
      <w:r>
        <w:rPr>
          <w:color w:val="333333"/>
        </w:rPr>
        <w:t>Pjesa më e madhe e territorit të Komunës së Hanit të Elezit shtrihet në lartësi mbidetare 500-700 metra, dhe përfshinë territorin e vendbanimeve Gorancë, Se</w:t>
      </w:r>
      <w:r>
        <w:rPr/>
        <w:t>ç</w:t>
      </w:r>
      <w:r>
        <w:rPr>
          <w:color w:val="333333"/>
        </w:rPr>
        <w:t>ishtë, Rezhancë, Pustenit, Peldenicë dhe Dimcë. Një pjesë e konsiderueshme e territorit të komunës shtrihet ndërmjet lartesisë mbidetare 700-1000 metra, duke përfshirë hapësirat e vendbanimeve Krivenik, Dromjak dhe </w:t>
      </w:r>
      <w:r>
        <w:rPr>
          <w:color w:val="333333"/>
          <w:spacing w:val="-2"/>
        </w:rPr>
        <w:t>Ne</w:t>
      </w:r>
      <w:r>
        <w:rPr>
          <w:spacing w:val="-2"/>
        </w:rPr>
        <w:t>ç</w:t>
      </w:r>
      <w:r>
        <w:rPr>
          <w:color w:val="333333"/>
          <w:spacing w:val="-2"/>
        </w:rPr>
        <w:t>evcë.</w:t>
      </w:r>
    </w:p>
    <w:p>
      <w:pPr>
        <w:pStyle w:val="BodyText"/>
        <w:spacing w:line="288" w:lineRule="auto" w:before="200"/>
        <w:ind w:left="740" w:right="1437"/>
        <w:jc w:val="both"/>
      </w:pPr>
      <w:r>
        <w:rPr>
          <w:color w:val="333333"/>
        </w:rPr>
        <w:t>Territorin i zonës urbane të Hnit të Elezit shtrihet në lartësi mbidetare 200-400 metra ndërsa që zona</w:t>
      </w:r>
      <w:r>
        <w:rPr>
          <w:color w:val="333333"/>
          <w:spacing w:val="-8"/>
        </w:rPr>
        <w:t> </w:t>
      </w:r>
      <w:r>
        <w:rPr>
          <w:color w:val="333333"/>
        </w:rPr>
        <w:t>përreth</w:t>
      </w:r>
      <w:r>
        <w:rPr>
          <w:color w:val="333333"/>
          <w:spacing w:val="-10"/>
        </w:rPr>
        <w:t> </w:t>
      </w:r>
      <w:r>
        <w:rPr>
          <w:color w:val="333333"/>
        </w:rPr>
        <w:t>pjesë</w:t>
      </w:r>
      <w:r>
        <w:rPr>
          <w:color w:val="333333"/>
          <w:spacing w:val="-8"/>
        </w:rPr>
        <w:t> </w:t>
      </w:r>
      <w:r>
        <w:rPr>
          <w:color w:val="333333"/>
        </w:rPr>
        <w:t>urbane</w:t>
      </w:r>
      <w:r>
        <w:rPr>
          <w:color w:val="333333"/>
          <w:spacing w:val="-8"/>
        </w:rPr>
        <w:t> </w:t>
      </w:r>
      <w:r>
        <w:rPr>
          <w:color w:val="333333"/>
        </w:rPr>
        <w:t>dhe</w:t>
      </w:r>
      <w:r>
        <w:rPr>
          <w:color w:val="333333"/>
          <w:spacing w:val="-8"/>
        </w:rPr>
        <w:t> </w:t>
      </w:r>
      <w:r>
        <w:rPr>
          <w:color w:val="333333"/>
        </w:rPr>
        <w:t>një</w:t>
      </w:r>
      <w:r>
        <w:rPr>
          <w:color w:val="333333"/>
          <w:spacing w:val="-8"/>
        </w:rPr>
        <w:t> </w:t>
      </w:r>
      <w:r>
        <w:rPr>
          <w:color w:val="333333"/>
        </w:rPr>
        <w:t>pjesë</w:t>
      </w:r>
      <w:r>
        <w:rPr>
          <w:color w:val="333333"/>
          <w:spacing w:val="-8"/>
        </w:rPr>
        <w:t> </w:t>
      </w:r>
      <w:r>
        <w:rPr>
          <w:color w:val="333333"/>
        </w:rPr>
        <w:t>e</w:t>
      </w:r>
      <w:r>
        <w:rPr>
          <w:color w:val="333333"/>
          <w:spacing w:val="-8"/>
        </w:rPr>
        <w:t> </w:t>
      </w:r>
      <w:r>
        <w:rPr>
          <w:color w:val="333333"/>
        </w:rPr>
        <w:t>vogël</w:t>
      </w:r>
      <w:r>
        <w:rPr>
          <w:color w:val="333333"/>
          <w:spacing w:val="-8"/>
        </w:rPr>
        <w:t> </w:t>
      </w:r>
      <w:r>
        <w:rPr>
          <w:color w:val="333333"/>
        </w:rPr>
        <w:t>e</w:t>
      </w:r>
      <w:r>
        <w:rPr>
          <w:color w:val="333333"/>
          <w:spacing w:val="-8"/>
        </w:rPr>
        <w:t> </w:t>
      </w:r>
      <w:r>
        <w:rPr>
          <w:color w:val="333333"/>
        </w:rPr>
        <w:t>territorit</w:t>
      </w:r>
      <w:r>
        <w:rPr>
          <w:color w:val="333333"/>
          <w:spacing w:val="-8"/>
        </w:rPr>
        <w:t> </w:t>
      </w:r>
      <w:r>
        <w:rPr>
          <w:color w:val="333333"/>
        </w:rPr>
        <w:t>të</w:t>
      </w:r>
      <w:r>
        <w:rPr>
          <w:color w:val="333333"/>
          <w:spacing w:val="-8"/>
        </w:rPr>
        <w:t> </w:t>
      </w:r>
      <w:r>
        <w:rPr>
          <w:color w:val="333333"/>
        </w:rPr>
        <w:t>komunës</w:t>
      </w:r>
      <w:r>
        <w:rPr>
          <w:color w:val="333333"/>
          <w:spacing w:val="-8"/>
        </w:rPr>
        <w:t> </w:t>
      </w:r>
      <w:r>
        <w:rPr>
          <w:color w:val="333333"/>
        </w:rPr>
        <w:t>shtrihet</w:t>
      </w:r>
      <w:r>
        <w:rPr>
          <w:color w:val="333333"/>
          <w:spacing w:val="-8"/>
        </w:rPr>
        <w:t> </w:t>
      </w:r>
      <w:r>
        <w:rPr>
          <w:color w:val="333333"/>
        </w:rPr>
        <w:t>në</w:t>
      </w:r>
      <w:r>
        <w:rPr>
          <w:color w:val="333333"/>
          <w:spacing w:val="-8"/>
        </w:rPr>
        <w:t> </w:t>
      </w:r>
      <w:r>
        <w:rPr>
          <w:color w:val="333333"/>
        </w:rPr>
        <w:t>lartësi</w:t>
      </w:r>
      <w:r>
        <w:rPr>
          <w:color w:val="333333"/>
          <w:spacing w:val="-9"/>
        </w:rPr>
        <w:t> </w:t>
      </w:r>
      <w:r>
        <w:rPr>
          <w:color w:val="333333"/>
        </w:rPr>
        <w:t>mbidetare 400-500</w:t>
      </w:r>
      <w:r>
        <w:rPr>
          <w:color w:val="333333"/>
          <w:spacing w:val="-3"/>
        </w:rPr>
        <w:t> </w:t>
      </w:r>
      <w:r>
        <w:rPr>
          <w:color w:val="333333"/>
        </w:rPr>
        <w:t>m.</w:t>
      </w:r>
      <w:r>
        <w:rPr>
          <w:color w:val="333333"/>
          <w:spacing w:val="-3"/>
        </w:rPr>
        <w:t> </w:t>
      </w:r>
      <w:r>
        <w:rPr>
          <w:color w:val="333333"/>
        </w:rPr>
        <w:t>Janë</w:t>
      </w:r>
      <w:r>
        <w:rPr>
          <w:color w:val="333333"/>
          <w:spacing w:val="-2"/>
        </w:rPr>
        <w:t> </w:t>
      </w:r>
      <w:r>
        <w:rPr>
          <w:color w:val="333333"/>
        </w:rPr>
        <w:t>disa</w:t>
      </w:r>
      <w:r>
        <w:rPr>
          <w:color w:val="333333"/>
          <w:spacing w:val="-3"/>
        </w:rPr>
        <w:t> </w:t>
      </w:r>
      <w:r>
        <w:rPr>
          <w:color w:val="333333"/>
        </w:rPr>
        <w:t>lokalitete</w:t>
      </w:r>
      <w:r>
        <w:rPr>
          <w:color w:val="333333"/>
          <w:spacing w:val="-3"/>
        </w:rPr>
        <w:t> </w:t>
      </w:r>
      <w:r>
        <w:rPr>
          <w:color w:val="333333"/>
        </w:rPr>
        <w:t>malore</w:t>
      </w:r>
      <w:r>
        <w:rPr>
          <w:color w:val="333333"/>
          <w:spacing w:val="-2"/>
        </w:rPr>
        <w:t> </w:t>
      </w:r>
      <w:r>
        <w:rPr>
          <w:color w:val="333333"/>
        </w:rPr>
        <w:t>të</w:t>
      </w:r>
      <w:r>
        <w:rPr>
          <w:color w:val="333333"/>
          <w:spacing w:val="-2"/>
        </w:rPr>
        <w:t> </w:t>
      </w:r>
      <w:r>
        <w:rPr>
          <w:color w:val="333333"/>
        </w:rPr>
        <w:t>komunës</w:t>
      </w:r>
      <w:r>
        <w:rPr>
          <w:color w:val="333333"/>
          <w:spacing w:val="-2"/>
        </w:rPr>
        <w:t> </w:t>
      </w:r>
      <w:r>
        <w:rPr>
          <w:color w:val="333333"/>
        </w:rPr>
        <w:t>që</w:t>
      </w:r>
      <w:r>
        <w:rPr>
          <w:color w:val="333333"/>
          <w:spacing w:val="-2"/>
        </w:rPr>
        <w:t> </w:t>
      </w:r>
      <w:r>
        <w:rPr>
          <w:color w:val="333333"/>
        </w:rPr>
        <w:t>shtrihen</w:t>
      </w:r>
      <w:r>
        <w:rPr>
          <w:color w:val="333333"/>
          <w:spacing w:val="-3"/>
        </w:rPr>
        <w:t> </w:t>
      </w:r>
      <w:r>
        <w:rPr>
          <w:color w:val="333333"/>
        </w:rPr>
        <w:t>në</w:t>
      </w:r>
      <w:r>
        <w:rPr>
          <w:color w:val="333333"/>
          <w:spacing w:val="-3"/>
        </w:rPr>
        <w:t> </w:t>
      </w:r>
      <w:r>
        <w:rPr>
          <w:color w:val="333333"/>
        </w:rPr>
        <w:t>lartësi</w:t>
      </w:r>
      <w:r>
        <w:rPr>
          <w:color w:val="333333"/>
          <w:spacing w:val="-3"/>
        </w:rPr>
        <w:t> </w:t>
      </w:r>
      <w:r>
        <w:rPr>
          <w:color w:val="333333"/>
        </w:rPr>
        <w:t>mbidetare</w:t>
      </w:r>
      <w:r>
        <w:rPr>
          <w:color w:val="333333"/>
          <w:spacing w:val="-2"/>
        </w:rPr>
        <w:t> </w:t>
      </w:r>
      <w:r>
        <w:rPr>
          <w:color w:val="333333"/>
        </w:rPr>
        <w:t>1000-1500</w:t>
      </w:r>
      <w:r>
        <w:rPr>
          <w:color w:val="333333"/>
          <w:spacing w:val="-2"/>
        </w:rPr>
        <w:t> </w:t>
      </w:r>
      <w:r>
        <w:rPr>
          <w:color w:val="333333"/>
          <w:spacing w:val="-5"/>
        </w:rPr>
        <w:t>m.</w:t>
      </w:r>
    </w:p>
    <w:p>
      <w:pPr>
        <w:pStyle w:val="BodyText"/>
        <w:spacing w:before="3"/>
        <w:rPr>
          <w:sz w:val="15"/>
        </w:rPr>
      </w:pPr>
      <w:r>
        <w:rPr/>
        <w:drawing>
          <wp:anchor distT="0" distB="0" distL="0" distR="0" allowOverlap="1" layoutInCell="1" locked="0" behindDoc="0" simplePos="0" relativeHeight="15">
            <wp:simplePos x="0" y="0"/>
            <wp:positionH relativeFrom="page">
              <wp:posOffset>2460867</wp:posOffset>
            </wp:positionH>
            <wp:positionV relativeFrom="paragraph">
              <wp:posOffset>126899</wp:posOffset>
            </wp:positionV>
            <wp:extent cx="2926457" cy="2592324"/>
            <wp:effectExtent l="0" t="0" r="0" b="0"/>
            <wp:wrapTopAndBottom/>
            <wp:docPr id="13" name="image25.jpeg" descr="C:\Users\Lenovo\OneDrive\Desktop\Hani i Elezit PLVM\materiale\Harta Relievore.png"/>
            <wp:cNvGraphicFramePr>
              <a:graphicFrameLocks noChangeAspect="1"/>
            </wp:cNvGraphicFramePr>
            <a:graphic>
              <a:graphicData uri="http://schemas.openxmlformats.org/drawingml/2006/picture">
                <pic:pic>
                  <pic:nvPicPr>
                    <pic:cNvPr id="14" name="image25.jpeg"/>
                    <pic:cNvPicPr/>
                  </pic:nvPicPr>
                  <pic:blipFill>
                    <a:blip r:embed="rId32" cstate="print"/>
                    <a:stretch>
                      <a:fillRect/>
                    </a:stretch>
                  </pic:blipFill>
                  <pic:spPr>
                    <a:xfrm>
                      <a:off x="0" y="0"/>
                      <a:ext cx="2926457" cy="2592324"/>
                    </a:xfrm>
                    <a:prstGeom prst="rect">
                      <a:avLst/>
                    </a:prstGeom>
                  </pic:spPr>
                </pic:pic>
              </a:graphicData>
            </a:graphic>
          </wp:anchor>
        </w:drawing>
      </w:r>
    </w:p>
    <w:p>
      <w:pPr>
        <w:pStyle w:val="BodyText"/>
        <w:spacing w:before="60"/>
        <w:ind w:left="2734"/>
      </w:pPr>
      <w:r>
        <w:rPr>
          <w:b/>
        </w:rPr>
        <w:t>Figura</w:t>
      </w:r>
      <w:r>
        <w:rPr>
          <w:b/>
          <w:spacing w:val="-5"/>
        </w:rPr>
        <w:t> </w:t>
      </w:r>
      <w:r>
        <w:rPr>
          <w:b/>
        </w:rPr>
        <w:t>4:</w:t>
      </w:r>
      <w:r>
        <w:rPr>
          <w:b/>
          <w:spacing w:val="50"/>
        </w:rPr>
        <w:t> </w:t>
      </w:r>
      <w:r>
        <w:rPr/>
        <w:t>Harta</w:t>
      </w:r>
      <w:r>
        <w:rPr>
          <w:spacing w:val="-4"/>
        </w:rPr>
        <w:t> </w:t>
      </w:r>
      <w:r>
        <w:rPr/>
        <w:t>relievore</w:t>
      </w:r>
      <w:r>
        <w:rPr>
          <w:spacing w:val="-4"/>
        </w:rPr>
        <w:t> </w:t>
      </w:r>
      <w:r>
        <w:rPr/>
        <w:t>e</w:t>
      </w:r>
      <w:r>
        <w:rPr>
          <w:spacing w:val="-5"/>
        </w:rPr>
        <w:t> </w:t>
      </w:r>
      <w:r>
        <w:rPr/>
        <w:t>Komunës</w:t>
      </w:r>
      <w:r>
        <w:rPr>
          <w:spacing w:val="-4"/>
        </w:rPr>
        <w:t> </w:t>
      </w:r>
      <w:r>
        <w:rPr/>
        <w:t>së</w:t>
      </w:r>
      <w:r>
        <w:rPr>
          <w:spacing w:val="-4"/>
        </w:rPr>
        <w:t> </w:t>
      </w:r>
      <w:r>
        <w:rPr/>
        <w:t>Hanit</w:t>
      </w:r>
      <w:r>
        <w:rPr>
          <w:spacing w:val="-3"/>
        </w:rPr>
        <w:t> </w:t>
      </w:r>
      <w:r>
        <w:rPr/>
        <w:t>të</w:t>
      </w:r>
      <w:r>
        <w:rPr>
          <w:spacing w:val="-4"/>
        </w:rPr>
        <w:t> </w:t>
      </w:r>
      <w:r>
        <w:rPr>
          <w:spacing w:val="-2"/>
        </w:rPr>
        <w:t>Elezit</w:t>
      </w:r>
    </w:p>
    <w:p>
      <w:pPr>
        <w:spacing w:after="0"/>
        <w:sectPr>
          <w:pgSz w:w="12240" w:h="15840"/>
          <w:pgMar w:header="0" w:footer="990" w:top="1440" w:bottom="1180" w:left="700" w:right="0"/>
        </w:sectPr>
      </w:pPr>
    </w:p>
    <w:p>
      <w:pPr>
        <w:pStyle w:val="BodyText"/>
        <w:ind w:left="710"/>
        <w:rPr>
          <w:sz w:val="20"/>
        </w:rPr>
      </w:pPr>
      <w:r>
        <w:rPr>
          <w:sz w:val="20"/>
        </w:rPr>
        <w:pict>
          <v:shape style="width:471.1pt;height:15.85pt;mso-position-horizontal-relative:char;mso-position-vertical-relative:line" type="#_x0000_t202" id="docshape70" filled="true" fillcolor="#eab8a3" stroked="false">
            <w10:anchorlock/>
            <v:textbox inset="0,0,0,0">
              <w:txbxContent>
                <w:p>
                  <w:pPr>
                    <w:tabs>
                      <w:tab w:pos="803" w:val="left" w:leader="none"/>
                    </w:tabs>
                    <w:spacing w:before="0"/>
                    <w:ind w:left="30" w:right="0" w:firstLine="0"/>
                    <w:jc w:val="left"/>
                    <w:rPr>
                      <w:b/>
                      <w:color w:val="000000"/>
                      <w:sz w:val="24"/>
                    </w:rPr>
                  </w:pPr>
                  <w:r>
                    <w:rPr>
                      <w:b/>
                      <w:color w:val="000000"/>
                      <w:spacing w:val="-4"/>
                      <w:sz w:val="24"/>
                    </w:rPr>
                    <w:t>2.3.</w:t>
                  </w:r>
                  <w:r>
                    <w:rPr>
                      <w:b/>
                      <w:color w:val="000000"/>
                      <w:sz w:val="24"/>
                    </w:rPr>
                    <w:tab/>
                    <w:t>Popullsia</w:t>
                  </w:r>
                  <w:r>
                    <w:rPr>
                      <w:b/>
                      <w:color w:val="000000"/>
                      <w:spacing w:val="-7"/>
                      <w:sz w:val="24"/>
                    </w:rPr>
                    <w:t> </w:t>
                  </w:r>
                  <w:r>
                    <w:rPr>
                      <w:b/>
                      <w:color w:val="000000"/>
                      <w:sz w:val="24"/>
                    </w:rPr>
                    <w:t>dhe</w:t>
                  </w:r>
                  <w:r>
                    <w:rPr>
                      <w:b/>
                      <w:color w:val="000000"/>
                      <w:spacing w:val="-7"/>
                      <w:sz w:val="24"/>
                    </w:rPr>
                    <w:t> </w:t>
                  </w:r>
                  <w:r>
                    <w:rPr>
                      <w:b/>
                      <w:color w:val="000000"/>
                      <w:spacing w:val="-2"/>
                      <w:sz w:val="24"/>
                    </w:rPr>
                    <w:t>vendbanimet</w:t>
                  </w:r>
                </w:p>
              </w:txbxContent>
            </v:textbox>
            <v:fill type="solid"/>
          </v:shape>
        </w:pict>
      </w:r>
      <w:r>
        <w:rPr>
          <w:sz w:val="20"/>
        </w:rPr>
      </w:r>
    </w:p>
    <w:p>
      <w:pPr>
        <w:pStyle w:val="BodyText"/>
        <w:spacing w:before="2"/>
        <w:rPr>
          <w:sz w:val="7"/>
        </w:rPr>
      </w:pPr>
    </w:p>
    <w:p>
      <w:pPr>
        <w:pStyle w:val="BodyText"/>
        <w:spacing w:line="288" w:lineRule="auto" w:before="90"/>
        <w:ind w:left="740" w:right="1444"/>
        <w:jc w:val="both"/>
      </w:pPr>
      <w:r>
        <w:rPr/>
        <w:t>Sipas regjistrimit</w:t>
      </w:r>
      <w:r>
        <w:rPr/>
        <w:t> të</w:t>
      </w:r>
      <w:r>
        <w:rPr/>
        <w:t> vitit</w:t>
      </w:r>
      <w:r>
        <w:rPr/>
        <w:t> 2011,</w:t>
      </w:r>
      <w:r>
        <w:rPr/>
        <w:t> Hani</w:t>
      </w:r>
      <w:r>
        <w:rPr/>
        <w:t> i</w:t>
      </w:r>
      <w:r>
        <w:rPr/>
        <w:t> Elezit</w:t>
      </w:r>
      <w:r>
        <w:rPr/>
        <w:t> 9403</w:t>
      </w:r>
      <w:r>
        <w:rPr/>
        <w:t> banorë,</w:t>
      </w:r>
      <w:r>
        <w:rPr/>
        <w:t> kryesisht e përbërë nga shqiptarët (99.5%) dhe boshnjakët (0.44%).</w:t>
      </w:r>
    </w:p>
    <w:p>
      <w:pPr>
        <w:pStyle w:val="BodyText"/>
        <w:spacing w:before="6"/>
        <w:rPr>
          <w:sz w:val="14"/>
        </w:rPr>
      </w:pPr>
      <w:r>
        <w:rPr/>
        <w:pict>
          <v:group style="position:absolute;margin-left:135.375pt;margin-top:9.623155pt;width:340.5pt;height:203.25pt;mso-position-horizontal-relative:page;mso-position-vertical-relative:paragraph;z-index:-15719936;mso-wrap-distance-left:0;mso-wrap-distance-right:0" id="docshapegroup71" coordorigin="2708,192" coordsize="6810,4065">
            <v:shape style="position:absolute;left:4377;top:768;width:4108;height:2387" type="#_x0000_t75" id="docshape72" stroked="false">
              <v:imagedata r:id="rId33" o:title=""/>
            </v:shape>
            <v:shape style="position:absolute;left:4005;top:917;width:3915;height:2626" id="docshape73" coordorigin="4006,918" coordsize="3915,2626" path="m5355,918l4096,1047,4006,1047m7921,2929l7711,3543,7622,3543e" filled="false" stroked="true" strokeweight=".75pt" strokecolor="#a6a6a6">
              <v:path arrowok="t"/>
              <v:stroke dashstyle="solid"/>
            </v:shape>
            <v:rect style="position:absolute;left:5283;top:3911;width:99;height:99" id="docshape74" filled="true" fillcolor="#4471c4" stroked="false">
              <v:fill type="solid"/>
            </v:rect>
            <v:rect style="position:absolute;left:6209;top:3911;width:99;height:99" id="docshape75" filled="true" fillcolor="#ff0000" stroked="false">
              <v:fill type="solid"/>
            </v:rect>
            <v:rect style="position:absolute;left:2715;top:199;width:6795;height:4050" id="docshape76" filled="false" stroked="true" strokeweight=".75pt" strokecolor="#d9d9d9">
              <v:stroke dashstyle="solid"/>
            </v:rect>
            <v:shape style="position:absolute;left:2722;top:200;width:6780;height:4043" type="#_x0000_t202" id="docshape77" filled="false" stroked="false">
              <v:textbox inset="0,0,0,0">
                <w:txbxContent>
                  <w:p>
                    <w:pPr>
                      <w:spacing w:line="240" w:lineRule="auto" w:before="10"/>
                      <w:rPr>
                        <w:sz w:val="18"/>
                      </w:rPr>
                    </w:pPr>
                  </w:p>
                  <w:p>
                    <w:pPr>
                      <w:spacing w:before="0"/>
                      <w:ind w:left="364" w:right="0" w:firstLine="0"/>
                      <w:jc w:val="center"/>
                      <w:rPr>
                        <w:rFonts w:ascii="Calibri" w:hAnsi="Calibri"/>
                        <w:b/>
                        <w:sz w:val="24"/>
                      </w:rPr>
                    </w:pPr>
                    <w:r>
                      <w:rPr>
                        <w:rFonts w:ascii="Calibri" w:hAnsi="Calibri"/>
                        <w:b/>
                        <w:sz w:val="24"/>
                      </w:rPr>
                      <w:t>Struktura</w:t>
                    </w:r>
                    <w:r>
                      <w:rPr>
                        <w:rFonts w:ascii="Calibri" w:hAnsi="Calibri"/>
                        <w:b/>
                        <w:spacing w:val="-6"/>
                        <w:sz w:val="24"/>
                      </w:rPr>
                      <w:t> </w:t>
                    </w:r>
                    <w:r>
                      <w:rPr>
                        <w:rFonts w:ascii="Calibri" w:hAnsi="Calibri"/>
                        <w:b/>
                        <w:sz w:val="24"/>
                      </w:rPr>
                      <w:t>etnike</w:t>
                    </w:r>
                    <w:r>
                      <w:rPr>
                        <w:rFonts w:ascii="Calibri" w:hAnsi="Calibri"/>
                        <w:b/>
                        <w:spacing w:val="-5"/>
                        <w:sz w:val="24"/>
                      </w:rPr>
                      <w:t> </w:t>
                    </w:r>
                    <w:r>
                      <w:rPr>
                        <w:rFonts w:ascii="Calibri" w:hAnsi="Calibri"/>
                        <w:b/>
                        <w:sz w:val="24"/>
                      </w:rPr>
                      <w:t>në</w:t>
                    </w:r>
                    <w:r>
                      <w:rPr>
                        <w:rFonts w:ascii="Calibri" w:hAnsi="Calibri"/>
                        <w:b/>
                        <w:spacing w:val="-4"/>
                        <w:sz w:val="24"/>
                      </w:rPr>
                      <w:t> </w:t>
                    </w:r>
                    <w:r>
                      <w:rPr>
                        <w:rFonts w:ascii="Calibri" w:hAnsi="Calibri"/>
                        <w:b/>
                        <w:sz w:val="24"/>
                      </w:rPr>
                      <w:t>Komunën</w:t>
                    </w:r>
                    <w:r>
                      <w:rPr>
                        <w:rFonts w:ascii="Calibri" w:hAnsi="Calibri"/>
                        <w:b/>
                        <w:spacing w:val="-4"/>
                        <w:sz w:val="24"/>
                      </w:rPr>
                      <w:t> </w:t>
                    </w:r>
                    <w:r>
                      <w:rPr>
                        <w:rFonts w:ascii="Calibri" w:hAnsi="Calibri"/>
                        <w:b/>
                        <w:sz w:val="24"/>
                      </w:rPr>
                      <w:t>e</w:t>
                    </w:r>
                    <w:r>
                      <w:rPr>
                        <w:rFonts w:ascii="Calibri" w:hAnsi="Calibri"/>
                        <w:b/>
                        <w:spacing w:val="-5"/>
                        <w:sz w:val="24"/>
                      </w:rPr>
                      <w:t> </w:t>
                    </w:r>
                    <w:r>
                      <w:rPr>
                        <w:rFonts w:ascii="Calibri" w:hAnsi="Calibri"/>
                        <w:b/>
                        <w:sz w:val="24"/>
                      </w:rPr>
                      <w:t>Hani</w:t>
                    </w:r>
                    <w:r>
                      <w:rPr>
                        <w:rFonts w:ascii="Calibri" w:hAnsi="Calibri"/>
                        <w:b/>
                        <w:spacing w:val="-5"/>
                        <w:sz w:val="24"/>
                      </w:rPr>
                      <w:t> </w:t>
                    </w:r>
                    <w:r>
                      <w:rPr>
                        <w:rFonts w:ascii="Calibri" w:hAnsi="Calibri"/>
                        <w:b/>
                        <w:sz w:val="24"/>
                      </w:rPr>
                      <w:t>të</w:t>
                    </w:r>
                    <w:r>
                      <w:rPr>
                        <w:rFonts w:ascii="Calibri" w:hAnsi="Calibri"/>
                        <w:b/>
                        <w:spacing w:val="-4"/>
                        <w:sz w:val="24"/>
                      </w:rPr>
                      <w:t> </w:t>
                    </w:r>
                    <w:r>
                      <w:rPr>
                        <w:rFonts w:ascii="Calibri" w:hAnsi="Calibri"/>
                        <w:b/>
                        <w:spacing w:val="-2"/>
                        <w:sz w:val="24"/>
                      </w:rPr>
                      <w:t>Elezit</w:t>
                    </w:r>
                  </w:p>
                  <w:p>
                    <w:pPr>
                      <w:spacing w:before="166"/>
                      <w:ind w:left="641" w:right="5034" w:hanging="70"/>
                      <w:jc w:val="left"/>
                      <w:rPr>
                        <w:rFonts w:ascii="Calibri"/>
                        <w:b/>
                        <w:sz w:val="18"/>
                      </w:rPr>
                    </w:pPr>
                    <w:r>
                      <w:rPr>
                        <w:rFonts w:ascii="Calibri"/>
                        <w:b/>
                        <w:color w:val="404040"/>
                        <w:spacing w:val="-2"/>
                        <w:sz w:val="18"/>
                      </w:rPr>
                      <w:t>Shqiptar,</w:t>
                    </w:r>
                    <w:r>
                      <w:rPr>
                        <w:rFonts w:ascii="Calibri"/>
                        <w:b/>
                        <w:color w:val="404040"/>
                        <w:sz w:val="18"/>
                      </w:rPr>
                      <w:t> </w:t>
                    </w:r>
                    <w:r>
                      <w:rPr>
                        <w:rFonts w:ascii="Calibri"/>
                        <w:b/>
                        <w:color w:val="404040"/>
                        <w:spacing w:val="-2"/>
                        <w:sz w:val="18"/>
                      </w:rPr>
                      <w:t>99.50%</w:t>
                    </w: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0"/>
                      <w:rPr>
                        <w:rFonts w:ascii="Calibri"/>
                        <w:b/>
                        <w:sz w:val="18"/>
                      </w:rPr>
                    </w:pPr>
                  </w:p>
                  <w:p>
                    <w:pPr>
                      <w:spacing w:line="240" w:lineRule="auto" w:before="6"/>
                      <w:rPr>
                        <w:rFonts w:ascii="Calibri"/>
                        <w:b/>
                        <w:sz w:val="24"/>
                      </w:rPr>
                    </w:pPr>
                  </w:p>
                  <w:p>
                    <w:pPr>
                      <w:spacing w:before="0"/>
                      <w:ind w:left="3645" w:right="0" w:firstLine="0"/>
                      <w:jc w:val="left"/>
                      <w:rPr>
                        <w:rFonts w:ascii="Calibri"/>
                        <w:b/>
                        <w:sz w:val="18"/>
                      </w:rPr>
                    </w:pPr>
                    <w:r>
                      <w:rPr>
                        <w:rFonts w:ascii="Calibri"/>
                        <w:b/>
                        <w:color w:val="404040"/>
                        <w:sz w:val="18"/>
                      </w:rPr>
                      <w:t>Boshnjak,</w:t>
                    </w:r>
                    <w:r>
                      <w:rPr>
                        <w:rFonts w:ascii="Calibri"/>
                        <w:b/>
                        <w:color w:val="404040"/>
                        <w:spacing w:val="-4"/>
                        <w:sz w:val="18"/>
                      </w:rPr>
                      <w:t> </w:t>
                    </w:r>
                    <w:r>
                      <w:rPr>
                        <w:rFonts w:ascii="Calibri"/>
                        <w:b/>
                        <w:color w:val="404040"/>
                        <w:spacing w:val="-2"/>
                        <w:sz w:val="18"/>
                      </w:rPr>
                      <w:t>0.50%</w:t>
                    </w:r>
                  </w:p>
                  <w:p>
                    <w:pPr>
                      <w:spacing w:line="240" w:lineRule="auto" w:before="5"/>
                      <w:rPr>
                        <w:rFonts w:ascii="Calibri"/>
                        <w:b/>
                        <w:sz w:val="20"/>
                      </w:rPr>
                    </w:pPr>
                  </w:p>
                  <w:p>
                    <w:pPr>
                      <w:tabs>
                        <w:tab w:pos="1140" w:val="left" w:leader="none"/>
                      </w:tabs>
                      <w:spacing w:before="0"/>
                      <w:ind w:left="214" w:right="0" w:firstLine="0"/>
                      <w:jc w:val="center"/>
                      <w:rPr>
                        <w:rFonts w:ascii="Calibri"/>
                        <w:sz w:val="18"/>
                      </w:rPr>
                    </w:pPr>
                    <w:r>
                      <w:rPr>
                        <w:rFonts w:ascii="Calibri"/>
                        <w:color w:val="585858"/>
                        <w:spacing w:val="-2"/>
                        <w:sz w:val="18"/>
                      </w:rPr>
                      <w:t>Shqiptar</w:t>
                    </w:r>
                    <w:r>
                      <w:rPr>
                        <w:rFonts w:ascii="Calibri"/>
                        <w:color w:val="585858"/>
                        <w:sz w:val="18"/>
                      </w:rPr>
                      <w:tab/>
                    </w:r>
                    <w:r>
                      <w:rPr>
                        <w:rFonts w:ascii="Calibri"/>
                        <w:color w:val="585858"/>
                        <w:spacing w:val="-2"/>
                        <w:sz w:val="18"/>
                      </w:rPr>
                      <w:t>Boshnjak</w:t>
                    </w:r>
                  </w:p>
                </w:txbxContent>
              </v:textbox>
              <w10:wrap type="none"/>
            </v:shape>
            <w10:wrap type="topAndBottom"/>
          </v:group>
        </w:pict>
      </w:r>
    </w:p>
    <w:p>
      <w:pPr>
        <w:pStyle w:val="BodyText"/>
        <w:spacing w:before="2"/>
        <w:rPr>
          <w:sz w:val="21"/>
        </w:rPr>
      </w:pPr>
    </w:p>
    <w:p>
      <w:pPr>
        <w:pStyle w:val="BodyText"/>
        <w:ind w:left="2664"/>
      </w:pPr>
      <w:r>
        <w:rPr>
          <w:b/>
        </w:rPr>
        <w:t>Grafiku</w:t>
      </w:r>
      <w:r>
        <w:rPr>
          <w:b/>
          <w:spacing w:val="-6"/>
        </w:rPr>
        <w:t> </w:t>
      </w:r>
      <w:r>
        <w:rPr>
          <w:b/>
        </w:rPr>
        <w:t>1</w:t>
      </w:r>
      <w:r>
        <w:rPr/>
        <w:t>:</w:t>
      </w:r>
      <w:r>
        <w:rPr>
          <w:spacing w:val="-7"/>
        </w:rPr>
        <w:t> </w:t>
      </w:r>
      <w:r>
        <w:rPr/>
        <w:t>Struktura</w:t>
      </w:r>
      <w:r>
        <w:rPr>
          <w:spacing w:val="-6"/>
        </w:rPr>
        <w:t> </w:t>
      </w:r>
      <w:r>
        <w:rPr/>
        <w:t>etnike</w:t>
      </w:r>
      <w:r>
        <w:rPr>
          <w:spacing w:val="-6"/>
        </w:rPr>
        <w:t> </w:t>
      </w:r>
      <w:r>
        <w:rPr/>
        <w:t>në</w:t>
      </w:r>
      <w:r>
        <w:rPr>
          <w:spacing w:val="-6"/>
        </w:rPr>
        <w:t> </w:t>
      </w:r>
      <w:r>
        <w:rPr/>
        <w:t>Komunën</w:t>
      </w:r>
      <w:r>
        <w:rPr>
          <w:spacing w:val="-5"/>
        </w:rPr>
        <w:t> </w:t>
      </w:r>
      <w:r>
        <w:rPr/>
        <w:t>e</w:t>
      </w:r>
      <w:r>
        <w:rPr>
          <w:spacing w:val="-6"/>
        </w:rPr>
        <w:t> </w:t>
      </w:r>
      <w:r>
        <w:rPr/>
        <w:t>Hani</w:t>
      </w:r>
      <w:r>
        <w:rPr>
          <w:spacing w:val="-6"/>
        </w:rPr>
        <w:t> </w:t>
      </w:r>
      <w:r>
        <w:rPr/>
        <w:t>të</w:t>
      </w:r>
      <w:r>
        <w:rPr>
          <w:spacing w:val="-6"/>
        </w:rPr>
        <w:t> </w:t>
      </w:r>
      <w:r>
        <w:rPr>
          <w:spacing w:val="-2"/>
        </w:rPr>
        <w:t>Elezit</w:t>
      </w:r>
    </w:p>
    <w:p>
      <w:pPr>
        <w:pStyle w:val="BodyText"/>
        <w:spacing w:before="3"/>
        <w:rPr>
          <w:sz w:val="22"/>
        </w:rPr>
      </w:pPr>
    </w:p>
    <w:p>
      <w:pPr>
        <w:pStyle w:val="BodyText"/>
        <w:spacing w:line="288" w:lineRule="auto"/>
        <w:ind w:left="740" w:right="1437"/>
        <w:jc w:val="both"/>
      </w:pPr>
      <w:r>
        <w:rPr/>
        <w:t>Zona urbane e Hanit të Elezit, paraqet lokalitetin me numrin më të madh të popullsisë (3.749 banorë),</w:t>
      </w:r>
      <w:r>
        <w:rPr>
          <w:spacing w:val="-8"/>
        </w:rPr>
        <w:t> </w:t>
      </w:r>
      <w:r>
        <w:rPr/>
        <w:t>ndërsa</w:t>
      </w:r>
      <w:r>
        <w:rPr>
          <w:spacing w:val="-8"/>
        </w:rPr>
        <w:t> </w:t>
      </w:r>
      <w:r>
        <w:rPr/>
        <w:t>që</w:t>
      </w:r>
      <w:r>
        <w:rPr>
          <w:spacing w:val="-8"/>
        </w:rPr>
        <w:t> </w:t>
      </w:r>
      <w:r>
        <w:rPr/>
        <w:t>zonat</w:t>
      </w:r>
      <w:r>
        <w:rPr>
          <w:spacing w:val="-9"/>
        </w:rPr>
        <w:t> </w:t>
      </w:r>
      <w:r>
        <w:rPr/>
        <w:t>më</w:t>
      </w:r>
      <w:r>
        <w:rPr>
          <w:spacing w:val="-8"/>
        </w:rPr>
        <w:t> </w:t>
      </w:r>
      <w:r>
        <w:rPr/>
        <w:t>të</w:t>
      </w:r>
      <w:r>
        <w:rPr>
          <w:spacing w:val="-9"/>
        </w:rPr>
        <w:t> </w:t>
      </w:r>
      <w:r>
        <w:rPr/>
        <w:t>mëdha</w:t>
      </w:r>
      <w:r>
        <w:rPr>
          <w:spacing w:val="-9"/>
        </w:rPr>
        <w:t> </w:t>
      </w:r>
      <w:r>
        <w:rPr/>
        <w:t>rurale</w:t>
      </w:r>
      <w:r>
        <w:rPr>
          <w:spacing w:val="-8"/>
        </w:rPr>
        <w:t> </w:t>
      </w:r>
      <w:r>
        <w:rPr/>
        <w:t>sa</w:t>
      </w:r>
      <w:r>
        <w:rPr>
          <w:spacing w:val="-9"/>
        </w:rPr>
        <w:t> </w:t>
      </w:r>
      <w:r>
        <w:rPr/>
        <w:t>i</w:t>
      </w:r>
      <w:r>
        <w:rPr>
          <w:spacing w:val="-8"/>
        </w:rPr>
        <w:t> </w:t>
      </w:r>
      <w:r>
        <w:rPr/>
        <w:t>përket</w:t>
      </w:r>
      <w:r>
        <w:rPr>
          <w:spacing w:val="-8"/>
        </w:rPr>
        <w:t> </w:t>
      </w:r>
      <w:r>
        <w:rPr/>
        <w:t>numrit</w:t>
      </w:r>
      <w:r>
        <w:rPr>
          <w:spacing w:val="-9"/>
        </w:rPr>
        <w:t> </w:t>
      </w:r>
      <w:r>
        <w:rPr/>
        <w:t>të</w:t>
      </w:r>
      <w:r>
        <w:rPr>
          <w:spacing w:val="-8"/>
        </w:rPr>
        <w:t> </w:t>
      </w:r>
      <w:r>
        <w:rPr/>
        <w:t>banorëve</w:t>
      </w:r>
      <w:r>
        <w:rPr>
          <w:spacing w:val="-10"/>
        </w:rPr>
        <w:t> </w:t>
      </w:r>
      <w:r>
        <w:rPr/>
        <w:t>dhe</w:t>
      </w:r>
      <w:r>
        <w:rPr>
          <w:spacing w:val="-8"/>
        </w:rPr>
        <w:t> </w:t>
      </w:r>
      <w:r>
        <w:rPr/>
        <w:t>që</w:t>
      </w:r>
      <w:r>
        <w:rPr>
          <w:spacing w:val="-8"/>
        </w:rPr>
        <w:t> </w:t>
      </w:r>
      <w:r>
        <w:rPr/>
        <w:t>kanë</w:t>
      </w:r>
      <w:r>
        <w:rPr>
          <w:spacing w:val="-9"/>
        </w:rPr>
        <w:t> </w:t>
      </w:r>
      <w:r>
        <w:rPr/>
        <w:t>mbi</w:t>
      </w:r>
      <w:r>
        <w:rPr>
          <w:spacing w:val="-8"/>
        </w:rPr>
        <w:t> </w:t>
      </w:r>
      <w:r>
        <w:rPr/>
        <w:t>1</w:t>
      </w:r>
      <w:r>
        <w:rPr>
          <w:spacing w:val="-10"/>
        </w:rPr>
        <w:t> </w:t>
      </w:r>
      <w:r>
        <w:rPr/>
        <w:t>mijë banorë</w:t>
      </w:r>
      <w:r>
        <w:rPr>
          <w:spacing w:val="-11"/>
        </w:rPr>
        <w:t> </w:t>
      </w:r>
      <w:r>
        <w:rPr/>
        <w:t>janë</w:t>
      </w:r>
      <w:r>
        <w:rPr>
          <w:spacing w:val="-11"/>
        </w:rPr>
        <w:t> </w:t>
      </w:r>
      <w:r>
        <w:rPr/>
        <w:t>Paldenica</w:t>
      </w:r>
      <w:r>
        <w:rPr>
          <w:spacing w:val="-11"/>
        </w:rPr>
        <w:t> </w:t>
      </w:r>
      <w:r>
        <w:rPr/>
        <w:t>dhe</w:t>
      </w:r>
      <w:r>
        <w:rPr>
          <w:spacing w:val="-11"/>
        </w:rPr>
        <w:t> </w:t>
      </w:r>
      <w:r>
        <w:rPr/>
        <w:t>Seçishta.</w:t>
      </w:r>
      <w:r>
        <w:rPr>
          <w:spacing w:val="-11"/>
        </w:rPr>
        <w:t> </w:t>
      </w:r>
      <w:r>
        <w:rPr/>
        <w:t>Rreth</w:t>
      </w:r>
      <w:r>
        <w:rPr>
          <w:spacing w:val="-10"/>
        </w:rPr>
        <w:t> </w:t>
      </w:r>
      <w:r>
        <w:rPr/>
        <w:t>1</w:t>
      </w:r>
      <w:r>
        <w:rPr>
          <w:spacing w:val="-11"/>
        </w:rPr>
        <w:t> </w:t>
      </w:r>
      <w:r>
        <w:rPr/>
        <w:t>mijë</w:t>
      </w:r>
      <w:r>
        <w:rPr>
          <w:spacing w:val="-12"/>
        </w:rPr>
        <w:t> </w:t>
      </w:r>
      <w:r>
        <w:rPr/>
        <w:t>banorë</w:t>
      </w:r>
      <w:r>
        <w:rPr>
          <w:spacing w:val="-11"/>
        </w:rPr>
        <w:t> </w:t>
      </w:r>
      <w:r>
        <w:rPr/>
        <w:t>ka</w:t>
      </w:r>
      <w:r>
        <w:rPr>
          <w:spacing w:val="-11"/>
        </w:rPr>
        <w:t> </w:t>
      </w:r>
      <w:r>
        <w:rPr/>
        <w:t>edhe</w:t>
      </w:r>
      <w:r>
        <w:rPr>
          <w:spacing w:val="-11"/>
        </w:rPr>
        <w:t> </w:t>
      </w:r>
      <w:r>
        <w:rPr/>
        <w:t>Goranca,</w:t>
      </w:r>
      <w:r>
        <w:rPr>
          <w:spacing w:val="-12"/>
        </w:rPr>
        <w:t> </w:t>
      </w:r>
      <w:r>
        <w:rPr/>
        <w:t>ndërsa</w:t>
      </w:r>
      <w:r>
        <w:rPr>
          <w:spacing w:val="-10"/>
        </w:rPr>
        <w:t> </w:t>
      </w:r>
      <w:r>
        <w:rPr/>
        <w:t>që</w:t>
      </w:r>
      <w:r>
        <w:rPr>
          <w:spacing w:val="-11"/>
        </w:rPr>
        <w:t> </w:t>
      </w:r>
      <w:r>
        <w:rPr/>
        <w:t>lokalitetet</w:t>
      </w:r>
      <w:r>
        <w:rPr>
          <w:spacing w:val="-10"/>
        </w:rPr>
        <w:t> </w:t>
      </w:r>
      <w:r>
        <w:rPr/>
        <w:t>me numrin më të vogël të banorëve janë Dermjaku dhe Neçavci. Dendësia e popullsisë është 121 banorë/km</w:t>
      </w:r>
      <w:r>
        <w:rPr>
          <w:vertAlign w:val="superscript"/>
        </w:rPr>
        <w:t>2</w:t>
      </w:r>
      <w:r>
        <w:rPr>
          <w:vertAlign w:val="baseline"/>
        </w:rPr>
        <w:t>. Në tabelën në vijim është prezantuar numri i popullsisë për secilin vendbanim dhe sipërfaqja e vendbanimeve janë paraqitur edhe në hartën më poshtë. Gjithashtu edhe në grafikun janë paraqitur regjistrimi i popullsisë prej vitit 1941 deri në vitin 2011 ku shohim një ngritje të vazhdueshme të numrit te popullsisë.</w:t>
      </w:r>
    </w:p>
    <w:p>
      <w:pPr>
        <w:pStyle w:val="BodyText"/>
        <w:spacing w:line="288" w:lineRule="auto" w:before="200"/>
        <w:ind w:left="740" w:right="1443"/>
        <w:jc w:val="both"/>
      </w:pPr>
      <w:r>
        <w:rPr/>
        <w:t>Sipas vlerësimit të fundit të popullsisë të realizuar nga Agjencia e Statistikave për vitin 2021, komuna e Hanit të Elezit ka 10111 banorë.</w:t>
      </w:r>
    </w:p>
    <w:p>
      <w:pPr>
        <w:pStyle w:val="BodyText"/>
        <w:rPr>
          <w:sz w:val="20"/>
        </w:rPr>
      </w:pPr>
    </w:p>
    <w:p>
      <w:pPr>
        <w:pStyle w:val="BodyText"/>
        <w:spacing w:before="9"/>
        <w:rPr>
          <w:sz w:val="18"/>
        </w:r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7"/>
        <w:gridCol w:w="2190"/>
        <w:gridCol w:w="3912"/>
      </w:tblGrid>
      <w:tr>
        <w:trPr>
          <w:trHeight w:val="495" w:hRule="atLeast"/>
        </w:trPr>
        <w:tc>
          <w:tcPr>
            <w:tcW w:w="3017" w:type="dxa"/>
            <w:shd w:val="clear" w:color="auto" w:fill="EAB8A3"/>
          </w:tcPr>
          <w:p>
            <w:pPr>
              <w:pStyle w:val="TableParagraph"/>
              <w:spacing w:line="246" w:lineRule="exact"/>
              <w:ind w:left="107"/>
              <w:rPr>
                <w:rFonts w:ascii="Cambria"/>
                <w:b/>
                <w:sz w:val="21"/>
              </w:rPr>
            </w:pPr>
            <w:r>
              <w:rPr>
                <w:rFonts w:ascii="Cambria"/>
                <w:b/>
                <w:spacing w:val="-2"/>
                <w:sz w:val="21"/>
              </w:rPr>
              <w:t>Lokaliteti</w:t>
            </w:r>
          </w:p>
        </w:tc>
        <w:tc>
          <w:tcPr>
            <w:tcW w:w="2190" w:type="dxa"/>
            <w:shd w:val="clear" w:color="auto" w:fill="EAB8A3"/>
          </w:tcPr>
          <w:p>
            <w:pPr>
              <w:pStyle w:val="TableParagraph"/>
              <w:spacing w:line="246" w:lineRule="exact"/>
              <w:ind w:left="106"/>
              <w:rPr>
                <w:rFonts w:ascii="Cambria"/>
                <w:b/>
                <w:sz w:val="21"/>
              </w:rPr>
            </w:pPr>
            <w:r>
              <w:rPr>
                <w:rFonts w:ascii="Cambria"/>
                <w:b/>
                <w:spacing w:val="-2"/>
                <w:sz w:val="21"/>
              </w:rPr>
              <w:t>Popullata</w:t>
            </w:r>
          </w:p>
        </w:tc>
        <w:tc>
          <w:tcPr>
            <w:tcW w:w="3912" w:type="dxa"/>
            <w:shd w:val="clear" w:color="auto" w:fill="EAB8A3"/>
          </w:tcPr>
          <w:p>
            <w:pPr>
              <w:pStyle w:val="TableParagraph"/>
              <w:spacing w:line="246" w:lineRule="exact"/>
              <w:ind w:right="96"/>
              <w:jc w:val="right"/>
              <w:rPr>
                <w:rFonts w:ascii="Cambria"/>
                <w:b/>
                <w:sz w:val="21"/>
              </w:rPr>
            </w:pPr>
            <w:r>
              <w:rPr>
                <w:rFonts w:ascii="Cambria"/>
                <w:b/>
                <w:sz w:val="21"/>
              </w:rPr>
              <w:t>Nr.</w:t>
            </w:r>
            <w:r>
              <w:rPr>
                <w:rFonts w:ascii="Cambria"/>
                <w:b/>
                <w:spacing w:val="-1"/>
                <w:sz w:val="21"/>
              </w:rPr>
              <w:t> </w:t>
            </w:r>
            <w:r>
              <w:rPr>
                <w:rFonts w:ascii="Cambria"/>
                <w:b/>
                <w:sz w:val="21"/>
              </w:rPr>
              <w:t>i</w:t>
            </w:r>
            <w:r>
              <w:rPr>
                <w:rFonts w:ascii="Cambria"/>
                <w:b/>
                <w:spacing w:val="-2"/>
                <w:sz w:val="21"/>
              </w:rPr>
              <w:t> </w:t>
            </w:r>
            <w:r>
              <w:rPr>
                <w:rFonts w:ascii="Cambria"/>
                <w:b/>
                <w:sz w:val="21"/>
              </w:rPr>
              <w:t>ekonomive </w:t>
            </w:r>
            <w:r>
              <w:rPr>
                <w:rFonts w:ascii="Cambria"/>
                <w:b/>
                <w:spacing w:val="-2"/>
                <w:sz w:val="21"/>
              </w:rPr>
              <w:t>familjare</w:t>
            </w:r>
          </w:p>
        </w:tc>
      </w:tr>
      <w:tr>
        <w:trPr>
          <w:trHeight w:val="495" w:hRule="atLeast"/>
        </w:trPr>
        <w:tc>
          <w:tcPr>
            <w:tcW w:w="3017" w:type="dxa"/>
          </w:tcPr>
          <w:p>
            <w:pPr>
              <w:pStyle w:val="TableParagraph"/>
              <w:ind w:left="107"/>
              <w:rPr>
                <w:rFonts w:ascii="Cambria"/>
                <w:sz w:val="21"/>
              </w:rPr>
            </w:pPr>
            <w:r>
              <w:rPr>
                <w:rFonts w:ascii="Cambria"/>
                <w:sz w:val="21"/>
              </w:rPr>
              <w:t>Hani</w:t>
            </w:r>
            <w:r>
              <w:rPr>
                <w:rFonts w:ascii="Cambria"/>
                <w:spacing w:val="-1"/>
                <w:sz w:val="21"/>
              </w:rPr>
              <w:t> </w:t>
            </w:r>
            <w:r>
              <w:rPr>
                <w:rFonts w:ascii="Cambria"/>
                <w:sz w:val="21"/>
              </w:rPr>
              <w:t>i</w:t>
            </w:r>
            <w:r>
              <w:rPr>
                <w:rFonts w:ascii="Cambria"/>
                <w:spacing w:val="-1"/>
                <w:sz w:val="21"/>
              </w:rPr>
              <w:t> </w:t>
            </w:r>
            <w:r>
              <w:rPr>
                <w:rFonts w:ascii="Cambria"/>
                <w:spacing w:val="-2"/>
                <w:sz w:val="21"/>
              </w:rPr>
              <w:t>Elezit</w:t>
            </w:r>
          </w:p>
        </w:tc>
        <w:tc>
          <w:tcPr>
            <w:tcW w:w="2190" w:type="dxa"/>
          </w:tcPr>
          <w:p>
            <w:pPr>
              <w:pStyle w:val="TableParagraph"/>
              <w:ind w:left="106"/>
              <w:rPr>
                <w:rFonts w:ascii="Cambria"/>
                <w:sz w:val="21"/>
              </w:rPr>
            </w:pPr>
            <w:r>
              <w:rPr>
                <w:rFonts w:ascii="Cambria"/>
                <w:spacing w:val="-2"/>
                <w:sz w:val="21"/>
              </w:rPr>
              <w:t>3.749</w:t>
            </w:r>
          </w:p>
        </w:tc>
        <w:tc>
          <w:tcPr>
            <w:tcW w:w="3912" w:type="dxa"/>
          </w:tcPr>
          <w:p>
            <w:pPr>
              <w:pStyle w:val="TableParagraph"/>
              <w:ind w:right="96"/>
              <w:jc w:val="right"/>
              <w:rPr>
                <w:rFonts w:ascii="Cambria"/>
                <w:sz w:val="21"/>
              </w:rPr>
            </w:pPr>
            <w:r>
              <w:rPr>
                <w:rFonts w:ascii="Cambria"/>
                <w:spacing w:val="-5"/>
                <w:sz w:val="21"/>
              </w:rPr>
              <w:t>578</w:t>
            </w:r>
          </w:p>
        </w:tc>
      </w:tr>
      <w:tr>
        <w:trPr>
          <w:trHeight w:val="496" w:hRule="atLeast"/>
        </w:trPr>
        <w:tc>
          <w:tcPr>
            <w:tcW w:w="3017" w:type="dxa"/>
          </w:tcPr>
          <w:p>
            <w:pPr>
              <w:pStyle w:val="TableParagraph"/>
              <w:ind w:left="107"/>
              <w:rPr>
                <w:rFonts w:ascii="Cambria" w:hAnsi="Cambria"/>
                <w:sz w:val="21"/>
              </w:rPr>
            </w:pPr>
            <w:r>
              <w:rPr>
                <w:rFonts w:ascii="Cambria" w:hAnsi="Cambria"/>
                <w:spacing w:val="-2"/>
                <w:sz w:val="21"/>
              </w:rPr>
              <w:t>Paldenicë</w:t>
            </w:r>
          </w:p>
        </w:tc>
        <w:tc>
          <w:tcPr>
            <w:tcW w:w="2190" w:type="dxa"/>
          </w:tcPr>
          <w:p>
            <w:pPr>
              <w:pStyle w:val="TableParagraph"/>
              <w:ind w:left="106"/>
              <w:rPr>
                <w:rFonts w:ascii="Cambria"/>
                <w:sz w:val="21"/>
              </w:rPr>
            </w:pPr>
            <w:r>
              <w:rPr>
                <w:rFonts w:ascii="Cambria"/>
                <w:spacing w:val="-2"/>
                <w:sz w:val="21"/>
              </w:rPr>
              <w:t>1.750</w:t>
            </w:r>
          </w:p>
        </w:tc>
        <w:tc>
          <w:tcPr>
            <w:tcW w:w="3912" w:type="dxa"/>
          </w:tcPr>
          <w:p>
            <w:pPr>
              <w:pStyle w:val="TableParagraph"/>
              <w:ind w:right="96"/>
              <w:jc w:val="right"/>
              <w:rPr>
                <w:rFonts w:ascii="Cambria"/>
                <w:sz w:val="21"/>
              </w:rPr>
            </w:pPr>
            <w:r>
              <w:rPr>
                <w:rFonts w:ascii="Cambria"/>
                <w:spacing w:val="-5"/>
                <w:sz w:val="21"/>
              </w:rPr>
              <w:t>270</w:t>
            </w:r>
          </w:p>
        </w:tc>
      </w:tr>
      <w:tr>
        <w:trPr>
          <w:trHeight w:val="495" w:hRule="atLeast"/>
        </w:trPr>
        <w:tc>
          <w:tcPr>
            <w:tcW w:w="3017" w:type="dxa"/>
          </w:tcPr>
          <w:p>
            <w:pPr>
              <w:pStyle w:val="TableParagraph"/>
              <w:spacing w:line="246" w:lineRule="exact"/>
              <w:ind w:left="107"/>
              <w:rPr>
                <w:rFonts w:ascii="Cambria" w:hAnsi="Cambria"/>
                <w:sz w:val="21"/>
              </w:rPr>
            </w:pPr>
            <w:r>
              <w:rPr>
                <w:rFonts w:ascii="Cambria" w:hAnsi="Cambria"/>
                <w:spacing w:val="-2"/>
                <w:sz w:val="21"/>
              </w:rPr>
              <w:t>Seçishtë</w:t>
            </w:r>
          </w:p>
        </w:tc>
        <w:tc>
          <w:tcPr>
            <w:tcW w:w="2190" w:type="dxa"/>
          </w:tcPr>
          <w:p>
            <w:pPr>
              <w:pStyle w:val="TableParagraph"/>
              <w:spacing w:line="246" w:lineRule="exact"/>
              <w:ind w:left="106"/>
              <w:rPr>
                <w:rFonts w:ascii="Cambria"/>
                <w:sz w:val="21"/>
              </w:rPr>
            </w:pPr>
            <w:r>
              <w:rPr>
                <w:rFonts w:ascii="Cambria"/>
                <w:spacing w:val="-2"/>
                <w:sz w:val="21"/>
              </w:rPr>
              <w:t>1.002</w:t>
            </w:r>
          </w:p>
        </w:tc>
        <w:tc>
          <w:tcPr>
            <w:tcW w:w="3912" w:type="dxa"/>
          </w:tcPr>
          <w:p>
            <w:pPr>
              <w:pStyle w:val="TableParagraph"/>
              <w:spacing w:line="246" w:lineRule="exact"/>
              <w:ind w:right="96"/>
              <w:jc w:val="right"/>
              <w:rPr>
                <w:rFonts w:ascii="Cambria"/>
                <w:sz w:val="21"/>
              </w:rPr>
            </w:pPr>
            <w:r>
              <w:rPr>
                <w:rFonts w:ascii="Cambria"/>
                <w:spacing w:val="-5"/>
                <w:sz w:val="21"/>
              </w:rPr>
              <w:t>154</w:t>
            </w:r>
          </w:p>
        </w:tc>
      </w:tr>
      <w:tr>
        <w:trPr>
          <w:trHeight w:val="495" w:hRule="atLeast"/>
        </w:trPr>
        <w:tc>
          <w:tcPr>
            <w:tcW w:w="3017" w:type="dxa"/>
          </w:tcPr>
          <w:p>
            <w:pPr>
              <w:pStyle w:val="TableParagraph"/>
              <w:spacing w:line="246" w:lineRule="exact"/>
              <w:ind w:left="107"/>
              <w:rPr>
                <w:rFonts w:ascii="Cambria" w:hAnsi="Cambria"/>
                <w:sz w:val="21"/>
              </w:rPr>
            </w:pPr>
            <w:r>
              <w:rPr>
                <w:rFonts w:ascii="Cambria" w:hAnsi="Cambria"/>
                <w:spacing w:val="-2"/>
                <w:sz w:val="21"/>
              </w:rPr>
              <w:t>Gorancë</w:t>
            </w:r>
          </w:p>
        </w:tc>
        <w:tc>
          <w:tcPr>
            <w:tcW w:w="2190" w:type="dxa"/>
          </w:tcPr>
          <w:p>
            <w:pPr>
              <w:pStyle w:val="TableParagraph"/>
              <w:spacing w:line="246" w:lineRule="exact"/>
              <w:ind w:left="106"/>
              <w:rPr>
                <w:rFonts w:ascii="Cambria"/>
                <w:sz w:val="21"/>
              </w:rPr>
            </w:pPr>
            <w:r>
              <w:rPr>
                <w:rFonts w:ascii="Cambria"/>
                <w:spacing w:val="-5"/>
                <w:sz w:val="21"/>
              </w:rPr>
              <w:t>957</w:t>
            </w:r>
          </w:p>
        </w:tc>
        <w:tc>
          <w:tcPr>
            <w:tcW w:w="3912" w:type="dxa"/>
          </w:tcPr>
          <w:p>
            <w:pPr>
              <w:pStyle w:val="TableParagraph"/>
              <w:spacing w:line="246" w:lineRule="exact"/>
              <w:ind w:right="96"/>
              <w:jc w:val="right"/>
              <w:rPr>
                <w:rFonts w:ascii="Cambria"/>
                <w:sz w:val="21"/>
              </w:rPr>
            </w:pPr>
            <w:r>
              <w:rPr>
                <w:rFonts w:ascii="Cambria"/>
                <w:spacing w:val="-5"/>
                <w:sz w:val="21"/>
              </w:rPr>
              <w:t>147</w:t>
            </w:r>
          </w:p>
        </w:tc>
      </w:tr>
    </w:tbl>
    <w:p>
      <w:pPr>
        <w:spacing w:after="0" w:line="246" w:lineRule="exact"/>
        <w:jc w:val="right"/>
        <w:rPr>
          <w:rFonts w:ascii="Cambria"/>
          <w:sz w:val="21"/>
        </w:rPr>
        <w:sectPr>
          <w:pgSz w:w="12240" w:h="15840"/>
          <w:pgMar w:header="0" w:footer="990" w:top="1440" w:bottom="1446" w:left="700" w:right="0"/>
        </w:sectPr>
      </w:pP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7"/>
        <w:gridCol w:w="2190"/>
        <w:gridCol w:w="3912"/>
      </w:tblGrid>
      <w:tr>
        <w:trPr>
          <w:trHeight w:val="495" w:hRule="atLeast"/>
        </w:trPr>
        <w:tc>
          <w:tcPr>
            <w:tcW w:w="3017" w:type="dxa"/>
          </w:tcPr>
          <w:p>
            <w:pPr>
              <w:pStyle w:val="TableParagraph"/>
              <w:spacing w:line="246" w:lineRule="exact"/>
              <w:ind w:left="107"/>
              <w:rPr>
                <w:rFonts w:ascii="Cambria" w:hAnsi="Cambria"/>
                <w:sz w:val="21"/>
              </w:rPr>
            </w:pPr>
            <w:r>
              <w:rPr>
                <w:rFonts w:ascii="Cambria" w:hAnsi="Cambria"/>
                <w:spacing w:val="-2"/>
                <w:sz w:val="21"/>
              </w:rPr>
              <w:t>Rezhancë</w:t>
            </w:r>
          </w:p>
        </w:tc>
        <w:tc>
          <w:tcPr>
            <w:tcW w:w="2190" w:type="dxa"/>
          </w:tcPr>
          <w:p>
            <w:pPr>
              <w:pStyle w:val="TableParagraph"/>
              <w:spacing w:line="246" w:lineRule="exact"/>
              <w:ind w:left="106"/>
              <w:rPr>
                <w:rFonts w:ascii="Cambria"/>
                <w:sz w:val="21"/>
              </w:rPr>
            </w:pPr>
            <w:r>
              <w:rPr>
                <w:rFonts w:ascii="Cambria"/>
                <w:spacing w:val="-5"/>
                <w:sz w:val="21"/>
              </w:rPr>
              <w:t>749</w:t>
            </w:r>
          </w:p>
        </w:tc>
        <w:tc>
          <w:tcPr>
            <w:tcW w:w="3912" w:type="dxa"/>
          </w:tcPr>
          <w:p>
            <w:pPr>
              <w:pStyle w:val="TableParagraph"/>
              <w:spacing w:line="246" w:lineRule="exact"/>
              <w:ind w:right="96"/>
              <w:jc w:val="right"/>
              <w:rPr>
                <w:rFonts w:ascii="Cambria"/>
                <w:sz w:val="21"/>
              </w:rPr>
            </w:pPr>
            <w:r>
              <w:rPr>
                <w:rFonts w:ascii="Cambria"/>
                <w:spacing w:val="-5"/>
                <w:sz w:val="21"/>
              </w:rPr>
              <w:t>115</w:t>
            </w:r>
          </w:p>
        </w:tc>
      </w:tr>
      <w:tr>
        <w:trPr>
          <w:trHeight w:val="495" w:hRule="atLeast"/>
        </w:trPr>
        <w:tc>
          <w:tcPr>
            <w:tcW w:w="3017" w:type="dxa"/>
          </w:tcPr>
          <w:p>
            <w:pPr>
              <w:pStyle w:val="TableParagraph"/>
              <w:ind w:left="107"/>
              <w:rPr>
                <w:rFonts w:ascii="Cambria"/>
                <w:sz w:val="21"/>
              </w:rPr>
            </w:pPr>
            <w:r>
              <w:rPr>
                <w:rFonts w:ascii="Cambria"/>
                <w:spacing w:val="-2"/>
                <w:sz w:val="21"/>
              </w:rPr>
              <w:t>Pustenik</w:t>
            </w:r>
          </w:p>
        </w:tc>
        <w:tc>
          <w:tcPr>
            <w:tcW w:w="2190" w:type="dxa"/>
          </w:tcPr>
          <w:p>
            <w:pPr>
              <w:pStyle w:val="TableParagraph"/>
              <w:ind w:left="106"/>
              <w:rPr>
                <w:rFonts w:ascii="Cambria"/>
                <w:sz w:val="21"/>
              </w:rPr>
            </w:pPr>
            <w:r>
              <w:rPr>
                <w:rFonts w:ascii="Cambria"/>
                <w:spacing w:val="-5"/>
                <w:sz w:val="21"/>
              </w:rPr>
              <w:t>612</w:t>
            </w:r>
          </w:p>
        </w:tc>
        <w:tc>
          <w:tcPr>
            <w:tcW w:w="3912" w:type="dxa"/>
          </w:tcPr>
          <w:p>
            <w:pPr>
              <w:pStyle w:val="TableParagraph"/>
              <w:ind w:right="96"/>
              <w:jc w:val="right"/>
              <w:rPr>
                <w:rFonts w:ascii="Cambria"/>
                <w:sz w:val="21"/>
              </w:rPr>
            </w:pPr>
            <w:r>
              <w:rPr>
                <w:rFonts w:ascii="Cambria"/>
                <w:spacing w:val="-5"/>
                <w:sz w:val="21"/>
              </w:rPr>
              <w:t>94</w:t>
            </w:r>
          </w:p>
        </w:tc>
      </w:tr>
      <w:tr>
        <w:trPr>
          <w:trHeight w:val="496" w:hRule="atLeast"/>
        </w:trPr>
        <w:tc>
          <w:tcPr>
            <w:tcW w:w="3017" w:type="dxa"/>
          </w:tcPr>
          <w:p>
            <w:pPr>
              <w:pStyle w:val="TableParagraph"/>
              <w:ind w:left="107"/>
              <w:rPr>
                <w:rFonts w:ascii="Cambria"/>
                <w:sz w:val="21"/>
              </w:rPr>
            </w:pPr>
            <w:r>
              <w:rPr>
                <w:rFonts w:ascii="Cambria"/>
                <w:spacing w:val="-2"/>
                <w:sz w:val="21"/>
              </w:rPr>
              <w:t>Krivenik</w:t>
            </w:r>
          </w:p>
        </w:tc>
        <w:tc>
          <w:tcPr>
            <w:tcW w:w="2190" w:type="dxa"/>
          </w:tcPr>
          <w:p>
            <w:pPr>
              <w:pStyle w:val="TableParagraph"/>
              <w:ind w:left="106"/>
              <w:rPr>
                <w:rFonts w:ascii="Cambria"/>
                <w:sz w:val="21"/>
              </w:rPr>
            </w:pPr>
            <w:r>
              <w:rPr>
                <w:rFonts w:ascii="Cambria"/>
                <w:spacing w:val="-5"/>
                <w:sz w:val="21"/>
              </w:rPr>
              <w:t>306</w:t>
            </w:r>
          </w:p>
        </w:tc>
        <w:tc>
          <w:tcPr>
            <w:tcW w:w="3912" w:type="dxa"/>
          </w:tcPr>
          <w:p>
            <w:pPr>
              <w:pStyle w:val="TableParagraph"/>
              <w:ind w:right="96"/>
              <w:jc w:val="right"/>
              <w:rPr>
                <w:rFonts w:ascii="Cambria"/>
                <w:sz w:val="21"/>
              </w:rPr>
            </w:pPr>
            <w:r>
              <w:rPr>
                <w:rFonts w:ascii="Cambria"/>
                <w:spacing w:val="-5"/>
                <w:sz w:val="21"/>
              </w:rPr>
              <w:t>47</w:t>
            </w:r>
          </w:p>
        </w:tc>
      </w:tr>
      <w:tr>
        <w:trPr>
          <w:trHeight w:val="495" w:hRule="atLeast"/>
        </w:trPr>
        <w:tc>
          <w:tcPr>
            <w:tcW w:w="3017" w:type="dxa"/>
          </w:tcPr>
          <w:p>
            <w:pPr>
              <w:pStyle w:val="TableParagraph"/>
              <w:spacing w:line="246" w:lineRule="exact"/>
              <w:ind w:left="107"/>
              <w:rPr>
                <w:rFonts w:ascii="Cambria" w:hAnsi="Cambria"/>
                <w:sz w:val="21"/>
              </w:rPr>
            </w:pPr>
            <w:r>
              <w:rPr>
                <w:rFonts w:ascii="Cambria" w:hAnsi="Cambria"/>
                <w:spacing w:val="-2"/>
                <w:sz w:val="21"/>
              </w:rPr>
              <w:t>Dimcë</w:t>
            </w:r>
          </w:p>
        </w:tc>
        <w:tc>
          <w:tcPr>
            <w:tcW w:w="2190" w:type="dxa"/>
          </w:tcPr>
          <w:p>
            <w:pPr>
              <w:pStyle w:val="TableParagraph"/>
              <w:spacing w:line="246" w:lineRule="exact"/>
              <w:ind w:left="153"/>
              <w:rPr>
                <w:rFonts w:ascii="Cambria"/>
                <w:sz w:val="21"/>
              </w:rPr>
            </w:pPr>
            <w:r>
              <w:rPr>
                <w:rFonts w:ascii="Cambria"/>
                <w:spacing w:val="-5"/>
                <w:sz w:val="21"/>
              </w:rPr>
              <w:t>215</w:t>
            </w:r>
          </w:p>
        </w:tc>
        <w:tc>
          <w:tcPr>
            <w:tcW w:w="3912" w:type="dxa"/>
          </w:tcPr>
          <w:p>
            <w:pPr>
              <w:pStyle w:val="TableParagraph"/>
              <w:spacing w:line="246" w:lineRule="exact"/>
              <w:ind w:right="96"/>
              <w:jc w:val="right"/>
              <w:rPr>
                <w:rFonts w:ascii="Cambria"/>
                <w:sz w:val="21"/>
              </w:rPr>
            </w:pPr>
            <w:r>
              <w:rPr>
                <w:rFonts w:ascii="Cambria"/>
                <w:spacing w:val="-5"/>
                <w:sz w:val="21"/>
              </w:rPr>
              <w:t>33</w:t>
            </w:r>
          </w:p>
        </w:tc>
      </w:tr>
      <w:tr>
        <w:trPr>
          <w:trHeight w:val="495" w:hRule="atLeast"/>
        </w:trPr>
        <w:tc>
          <w:tcPr>
            <w:tcW w:w="3017" w:type="dxa"/>
          </w:tcPr>
          <w:p>
            <w:pPr>
              <w:pStyle w:val="TableParagraph"/>
              <w:spacing w:line="246" w:lineRule="exact"/>
              <w:ind w:left="107"/>
              <w:rPr>
                <w:rFonts w:ascii="Cambria"/>
                <w:sz w:val="21"/>
              </w:rPr>
            </w:pPr>
            <w:r>
              <w:rPr>
                <w:rFonts w:ascii="Cambria"/>
                <w:spacing w:val="-2"/>
                <w:sz w:val="21"/>
              </w:rPr>
              <w:t>Dermjak</w:t>
            </w:r>
          </w:p>
        </w:tc>
        <w:tc>
          <w:tcPr>
            <w:tcW w:w="2190" w:type="dxa"/>
          </w:tcPr>
          <w:p>
            <w:pPr>
              <w:pStyle w:val="TableParagraph"/>
              <w:spacing w:line="246" w:lineRule="exact"/>
              <w:ind w:left="153"/>
              <w:rPr>
                <w:rFonts w:ascii="Cambria"/>
                <w:sz w:val="21"/>
              </w:rPr>
            </w:pPr>
            <w:r>
              <w:rPr>
                <w:rFonts w:ascii="Cambria"/>
                <w:spacing w:val="-5"/>
                <w:sz w:val="21"/>
              </w:rPr>
              <w:t>49</w:t>
            </w:r>
          </w:p>
        </w:tc>
        <w:tc>
          <w:tcPr>
            <w:tcW w:w="3912" w:type="dxa"/>
          </w:tcPr>
          <w:p>
            <w:pPr>
              <w:pStyle w:val="TableParagraph"/>
              <w:spacing w:line="246" w:lineRule="exact"/>
              <w:ind w:right="96"/>
              <w:jc w:val="right"/>
              <w:rPr>
                <w:rFonts w:ascii="Cambria"/>
                <w:sz w:val="21"/>
              </w:rPr>
            </w:pPr>
            <w:r>
              <w:rPr>
                <w:rFonts w:ascii="Cambria"/>
                <w:sz w:val="21"/>
              </w:rPr>
              <w:t>7</w:t>
            </w:r>
          </w:p>
        </w:tc>
      </w:tr>
      <w:tr>
        <w:trPr>
          <w:trHeight w:val="495" w:hRule="atLeast"/>
        </w:trPr>
        <w:tc>
          <w:tcPr>
            <w:tcW w:w="3017" w:type="dxa"/>
          </w:tcPr>
          <w:p>
            <w:pPr>
              <w:pStyle w:val="TableParagraph"/>
              <w:spacing w:line="246" w:lineRule="exact"/>
              <w:ind w:left="107"/>
              <w:rPr>
                <w:rFonts w:ascii="Cambria" w:hAnsi="Cambria"/>
                <w:sz w:val="21"/>
              </w:rPr>
            </w:pPr>
            <w:r>
              <w:rPr>
                <w:rFonts w:ascii="Cambria" w:hAnsi="Cambria"/>
                <w:spacing w:val="-2"/>
                <w:sz w:val="21"/>
              </w:rPr>
              <w:t>Neçavc</w:t>
            </w:r>
          </w:p>
        </w:tc>
        <w:tc>
          <w:tcPr>
            <w:tcW w:w="2190" w:type="dxa"/>
          </w:tcPr>
          <w:p>
            <w:pPr>
              <w:pStyle w:val="TableParagraph"/>
              <w:spacing w:line="246" w:lineRule="exact"/>
              <w:ind w:left="106"/>
              <w:rPr>
                <w:rFonts w:ascii="Cambria"/>
                <w:sz w:val="21"/>
              </w:rPr>
            </w:pPr>
            <w:r>
              <w:rPr>
                <w:rFonts w:ascii="Cambria"/>
                <w:sz w:val="21"/>
              </w:rPr>
              <w:t>4</w:t>
            </w:r>
          </w:p>
        </w:tc>
        <w:tc>
          <w:tcPr>
            <w:tcW w:w="3912" w:type="dxa"/>
          </w:tcPr>
          <w:p>
            <w:pPr>
              <w:pStyle w:val="TableParagraph"/>
              <w:spacing w:line="246" w:lineRule="exact"/>
              <w:ind w:right="96"/>
              <w:jc w:val="right"/>
              <w:rPr>
                <w:rFonts w:ascii="Cambria"/>
                <w:sz w:val="21"/>
              </w:rPr>
            </w:pPr>
            <w:r>
              <w:rPr>
                <w:rFonts w:ascii="Cambria"/>
                <w:sz w:val="21"/>
              </w:rPr>
              <w:t>1</w:t>
            </w:r>
          </w:p>
        </w:tc>
      </w:tr>
      <w:tr>
        <w:trPr>
          <w:trHeight w:val="496" w:hRule="atLeast"/>
        </w:trPr>
        <w:tc>
          <w:tcPr>
            <w:tcW w:w="3017" w:type="dxa"/>
            <w:shd w:val="clear" w:color="auto" w:fill="EAB8A3"/>
          </w:tcPr>
          <w:p>
            <w:pPr>
              <w:pStyle w:val="TableParagraph"/>
              <w:ind w:left="107"/>
              <w:rPr>
                <w:rFonts w:ascii="Cambria"/>
                <w:b/>
                <w:sz w:val="21"/>
              </w:rPr>
            </w:pPr>
            <w:r>
              <w:rPr>
                <w:rFonts w:ascii="Cambria"/>
                <w:b/>
                <w:color w:val="FFFFFF"/>
                <w:spacing w:val="-2"/>
                <w:sz w:val="21"/>
              </w:rPr>
              <w:t>Gjithsejt</w:t>
            </w:r>
          </w:p>
        </w:tc>
        <w:tc>
          <w:tcPr>
            <w:tcW w:w="2190" w:type="dxa"/>
            <w:shd w:val="clear" w:color="auto" w:fill="EAB8A3"/>
          </w:tcPr>
          <w:p>
            <w:pPr>
              <w:pStyle w:val="TableParagraph"/>
              <w:ind w:left="106"/>
              <w:rPr>
                <w:rFonts w:ascii="Cambria"/>
                <w:b/>
                <w:sz w:val="21"/>
              </w:rPr>
            </w:pPr>
            <w:r>
              <w:rPr>
                <w:rFonts w:ascii="Cambria"/>
                <w:b/>
                <w:color w:val="FFFFFF"/>
                <w:spacing w:val="-4"/>
                <w:sz w:val="21"/>
              </w:rPr>
              <w:t>9.403</w:t>
            </w:r>
          </w:p>
        </w:tc>
        <w:tc>
          <w:tcPr>
            <w:tcW w:w="3912" w:type="dxa"/>
            <w:shd w:val="clear" w:color="auto" w:fill="EAB8A3"/>
          </w:tcPr>
          <w:p>
            <w:pPr>
              <w:pStyle w:val="TableParagraph"/>
              <w:ind w:right="95"/>
              <w:jc w:val="right"/>
              <w:rPr>
                <w:rFonts w:ascii="Cambria"/>
                <w:b/>
                <w:sz w:val="21"/>
              </w:rPr>
            </w:pPr>
            <w:r>
              <w:rPr>
                <w:rFonts w:ascii="Cambria"/>
                <w:b/>
                <w:color w:val="FFFFFF"/>
                <w:spacing w:val="-4"/>
                <w:sz w:val="21"/>
              </w:rPr>
              <w:t>1446</w:t>
            </w:r>
          </w:p>
        </w:tc>
      </w:tr>
    </w:tbl>
    <w:p>
      <w:pPr>
        <w:pStyle w:val="BodyText"/>
        <w:spacing w:before="22"/>
        <w:ind w:right="697"/>
        <w:jc w:val="center"/>
      </w:pPr>
      <w:r>
        <w:rPr>
          <w:b/>
        </w:rPr>
        <w:t>Tabela</w:t>
      </w:r>
      <w:r>
        <w:rPr>
          <w:b/>
          <w:spacing w:val="-7"/>
        </w:rPr>
        <w:t> </w:t>
      </w:r>
      <w:r>
        <w:rPr>
          <w:b/>
        </w:rPr>
        <w:t>2</w:t>
      </w:r>
      <w:r>
        <w:rPr>
          <w:b/>
          <w:spacing w:val="-6"/>
        </w:rPr>
        <w:t> </w:t>
      </w:r>
      <w:r>
        <w:rPr>
          <w:b/>
        </w:rPr>
        <w:t>.</w:t>
      </w:r>
      <w:r>
        <w:rPr>
          <w:b/>
          <w:spacing w:val="-6"/>
        </w:rPr>
        <w:t> </w:t>
      </w:r>
      <w:r>
        <w:rPr/>
        <w:t>Popullsia</w:t>
      </w:r>
      <w:r>
        <w:rPr>
          <w:spacing w:val="-6"/>
        </w:rPr>
        <w:t> </w:t>
      </w:r>
      <w:r>
        <w:rPr/>
        <w:t>dhe,</w:t>
      </w:r>
      <w:r>
        <w:rPr>
          <w:spacing w:val="-8"/>
        </w:rPr>
        <w:t> </w:t>
      </w:r>
      <w:r>
        <w:rPr/>
        <w:t>ekonomitë</w:t>
      </w:r>
      <w:r>
        <w:rPr>
          <w:spacing w:val="-6"/>
        </w:rPr>
        <w:t> </w:t>
      </w:r>
      <w:r>
        <w:rPr/>
        <w:t>familjare</w:t>
      </w:r>
      <w:r>
        <w:rPr>
          <w:spacing w:val="-7"/>
        </w:rPr>
        <w:t> </w:t>
      </w:r>
      <w:r>
        <w:rPr/>
        <w:t>sipas</w:t>
      </w:r>
      <w:r>
        <w:rPr>
          <w:spacing w:val="-6"/>
        </w:rPr>
        <w:t> </w:t>
      </w:r>
      <w:r>
        <w:rPr/>
        <w:t>lokaliteve</w:t>
      </w:r>
      <w:r>
        <w:rPr>
          <w:spacing w:val="-7"/>
        </w:rPr>
        <w:t> </w:t>
      </w:r>
      <w:r>
        <w:rPr/>
        <w:t>të</w:t>
      </w:r>
      <w:r>
        <w:rPr>
          <w:spacing w:val="-6"/>
        </w:rPr>
        <w:t> </w:t>
      </w:r>
      <w:r>
        <w:rPr/>
        <w:t>Hanit</w:t>
      </w:r>
      <w:r>
        <w:rPr>
          <w:spacing w:val="-7"/>
        </w:rPr>
        <w:t> </w:t>
      </w:r>
      <w:r>
        <w:rPr/>
        <w:t>të</w:t>
      </w:r>
      <w:r>
        <w:rPr>
          <w:spacing w:val="-6"/>
        </w:rPr>
        <w:t> </w:t>
      </w:r>
      <w:r>
        <w:rPr>
          <w:spacing w:val="-2"/>
        </w:rPr>
        <w:t>Elezit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18">
            <wp:simplePos x="0" y="0"/>
            <wp:positionH relativeFrom="page">
              <wp:posOffset>2033834</wp:posOffset>
            </wp:positionH>
            <wp:positionV relativeFrom="paragraph">
              <wp:posOffset>172843</wp:posOffset>
            </wp:positionV>
            <wp:extent cx="3706209" cy="2981706"/>
            <wp:effectExtent l="0" t="0" r="0" b="0"/>
            <wp:wrapTopAndBottom/>
            <wp:docPr id="15" name="image27.jpeg" descr="A map of a city  Description automatically generated"/>
            <wp:cNvGraphicFramePr>
              <a:graphicFrameLocks noChangeAspect="1"/>
            </wp:cNvGraphicFramePr>
            <a:graphic>
              <a:graphicData uri="http://schemas.openxmlformats.org/drawingml/2006/picture">
                <pic:pic>
                  <pic:nvPicPr>
                    <pic:cNvPr id="16" name="image27.jpeg"/>
                    <pic:cNvPicPr/>
                  </pic:nvPicPr>
                  <pic:blipFill>
                    <a:blip r:embed="rId34" cstate="print"/>
                    <a:stretch>
                      <a:fillRect/>
                    </a:stretch>
                  </pic:blipFill>
                  <pic:spPr>
                    <a:xfrm>
                      <a:off x="0" y="0"/>
                      <a:ext cx="3706209" cy="2981706"/>
                    </a:xfrm>
                    <a:prstGeom prst="rect">
                      <a:avLst/>
                    </a:prstGeom>
                  </pic:spPr>
                </pic:pic>
              </a:graphicData>
            </a:graphic>
          </wp:anchor>
        </w:drawing>
      </w:r>
    </w:p>
    <w:p>
      <w:pPr>
        <w:pStyle w:val="BodyText"/>
        <w:spacing w:before="83"/>
        <w:ind w:right="699"/>
        <w:jc w:val="center"/>
      </w:pPr>
      <w:r>
        <w:rPr>
          <w:b/>
        </w:rPr>
        <w:t>Figura</w:t>
      </w:r>
      <w:r>
        <w:rPr>
          <w:b/>
          <w:spacing w:val="-5"/>
        </w:rPr>
        <w:t> </w:t>
      </w:r>
      <w:r>
        <w:rPr>
          <w:b/>
        </w:rPr>
        <w:t>5:</w:t>
      </w:r>
      <w:r>
        <w:rPr>
          <w:b/>
          <w:spacing w:val="-5"/>
        </w:rPr>
        <w:t> </w:t>
      </w:r>
      <w:r>
        <w:rPr/>
        <w:t>Harta</w:t>
      </w:r>
      <w:r>
        <w:rPr>
          <w:spacing w:val="-5"/>
        </w:rPr>
        <w:t> </w:t>
      </w:r>
      <w:r>
        <w:rPr/>
        <w:t>e</w:t>
      </w:r>
      <w:r>
        <w:rPr>
          <w:spacing w:val="-5"/>
        </w:rPr>
        <w:t> </w:t>
      </w:r>
      <w:r>
        <w:rPr/>
        <w:t>qyteti</w:t>
      </w:r>
      <w:r>
        <w:rPr>
          <w:spacing w:val="-5"/>
        </w:rPr>
        <w:t> </w:t>
      </w:r>
      <w:r>
        <w:rPr/>
        <w:t>dhe</w:t>
      </w:r>
      <w:r>
        <w:rPr>
          <w:spacing w:val="-5"/>
        </w:rPr>
        <w:t> </w:t>
      </w:r>
      <w:r>
        <w:rPr/>
        <w:t>fshatrave</w:t>
      </w:r>
      <w:r>
        <w:rPr>
          <w:spacing w:val="-5"/>
        </w:rPr>
        <w:t> </w:t>
      </w:r>
      <w:r>
        <w:rPr/>
        <w:t>të</w:t>
      </w:r>
      <w:r>
        <w:rPr>
          <w:spacing w:val="-4"/>
        </w:rPr>
        <w:t> </w:t>
      </w:r>
      <w:r>
        <w:rPr/>
        <w:t>Komunës</w:t>
      </w:r>
      <w:r>
        <w:rPr>
          <w:spacing w:val="-4"/>
        </w:rPr>
        <w:t> </w:t>
      </w:r>
      <w:r>
        <w:rPr/>
        <w:t>së</w:t>
      </w:r>
      <w:r>
        <w:rPr>
          <w:spacing w:val="-4"/>
        </w:rPr>
        <w:t> </w:t>
      </w:r>
      <w:r>
        <w:rPr/>
        <w:t>Hanit</w:t>
      </w:r>
      <w:r>
        <w:rPr>
          <w:spacing w:val="-5"/>
        </w:rPr>
        <w:t> </w:t>
      </w:r>
      <w:r>
        <w:rPr/>
        <w:t>të</w:t>
      </w:r>
      <w:r>
        <w:rPr>
          <w:spacing w:val="-4"/>
        </w:rPr>
        <w:t> </w:t>
      </w:r>
      <w:r>
        <w:rPr>
          <w:spacing w:val="-2"/>
        </w:rPr>
        <w:t>Elezit</w:t>
      </w:r>
    </w:p>
    <w:p>
      <w:pPr>
        <w:spacing w:after="0"/>
        <w:jc w:val="center"/>
        <w:sectPr>
          <w:type w:val="continuous"/>
          <w:pgSz w:w="12240" w:h="15840"/>
          <w:pgMar w:header="0" w:footer="990" w:top="1420" w:bottom="1180" w:left="700" w:right="0"/>
        </w:sectPr>
      </w:pPr>
    </w:p>
    <w:p>
      <w:pPr>
        <w:pStyle w:val="BodyText"/>
        <w:ind w:left="1707"/>
        <w:rPr>
          <w:sz w:val="20"/>
        </w:rPr>
      </w:pPr>
      <w:r>
        <w:rPr>
          <w:sz w:val="20"/>
        </w:rPr>
        <w:pict>
          <v:group style="width:370.5pt;height:228.35pt;mso-position-horizontal-relative:char;mso-position-vertical-relative:line" id="docshapegroup78" coordorigin="0,0" coordsize="7410,4567">
            <v:shape style="position:absolute;left:788;top:1192;width:6334;height:2258" type="#_x0000_t75" id="docshape79" stroked="false">
              <v:imagedata r:id="rId35" o:title=""/>
            </v:shape>
            <v:rect style="position:absolute;left:7;top:7;width:7395;height:4552" id="docshape80" filled="false" stroked="true" strokeweight=".75pt" strokecolor="#d9d9d9">
              <v:stroke dashstyle="solid"/>
            </v:rect>
            <v:shape style="position:absolute;left:990;top:222;width:5691;height:1165" type="#_x0000_t202" id="docshape81" filled="false" stroked="false">
              <v:textbox inset="0,0,0,0">
                <w:txbxContent>
                  <w:p>
                    <w:pPr>
                      <w:spacing w:line="326" w:lineRule="exact" w:before="0"/>
                      <w:ind w:left="23" w:right="302" w:firstLine="0"/>
                      <w:jc w:val="center"/>
                      <w:rPr>
                        <w:rFonts w:ascii="Calibri" w:hAnsi="Calibri"/>
                        <w:sz w:val="32"/>
                      </w:rPr>
                    </w:pPr>
                    <w:r>
                      <w:rPr>
                        <w:rFonts w:ascii="Calibri" w:hAnsi="Calibri"/>
                        <w:color w:val="585858"/>
                        <w:sz w:val="32"/>
                      </w:rPr>
                      <w:t>Popullsia</w:t>
                    </w:r>
                    <w:r>
                      <w:rPr>
                        <w:rFonts w:ascii="Calibri" w:hAnsi="Calibri"/>
                        <w:color w:val="585858"/>
                        <w:spacing w:val="51"/>
                        <w:sz w:val="32"/>
                      </w:rPr>
                      <w:t> </w:t>
                    </w:r>
                    <w:r>
                      <w:rPr>
                        <w:rFonts w:ascii="Calibri" w:hAnsi="Calibri"/>
                        <w:color w:val="585858"/>
                        <w:sz w:val="32"/>
                      </w:rPr>
                      <w:t>në</w:t>
                    </w:r>
                    <w:r>
                      <w:rPr>
                        <w:rFonts w:ascii="Calibri" w:hAnsi="Calibri"/>
                        <w:color w:val="585858"/>
                        <w:spacing w:val="43"/>
                        <w:sz w:val="32"/>
                      </w:rPr>
                      <w:t> </w:t>
                    </w:r>
                    <w:r>
                      <w:rPr>
                        <w:rFonts w:ascii="Calibri" w:hAnsi="Calibri"/>
                        <w:color w:val="585858"/>
                        <w:sz w:val="32"/>
                      </w:rPr>
                      <w:t>komunën</w:t>
                    </w:r>
                    <w:r>
                      <w:rPr>
                        <w:rFonts w:ascii="Calibri" w:hAnsi="Calibri"/>
                        <w:color w:val="585858"/>
                        <w:spacing w:val="46"/>
                        <w:sz w:val="32"/>
                      </w:rPr>
                      <w:t> </w:t>
                    </w:r>
                    <w:r>
                      <w:rPr>
                        <w:rFonts w:ascii="Calibri" w:hAnsi="Calibri"/>
                        <w:color w:val="585858"/>
                        <w:sz w:val="32"/>
                      </w:rPr>
                      <w:t>e</w:t>
                    </w:r>
                    <w:r>
                      <w:rPr>
                        <w:rFonts w:ascii="Calibri" w:hAnsi="Calibri"/>
                        <w:color w:val="585858"/>
                        <w:spacing w:val="43"/>
                        <w:sz w:val="32"/>
                      </w:rPr>
                      <w:t> </w:t>
                    </w:r>
                    <w:r>
                      <w:rPr>
                        <w:rFonts w:ascii="Calibri" w:hAnsi="Calibri"/>
                        <w:color w:val="585858"/>
                        <w:sz w:val="32"/>
                      </w:rPr>
                      <w:t>Hanit</w:t>
                    </w:r>
                    <w:r>
                      <w:rPr>
                        <w:rFonts w:ascii="Calibri" w:hAnsi="Calibri"/>
                        <w:color w:val="585858"/>
                        <w:spacing w:val="45"/>
                        <w:sz w:val="32"/>
                      </w:rPr>
                      <w:t> </w:t>
                    </w:r>
                    <w:r>
                      <w:rPr>
                        <w:rFonts w:ascii="Calibri" w:hAnsi="Calibri"/>
                        <w:color w:val="585858"/>
                        <w:sz w:val="32"/>
                      </w:rPr>
                      <w:t>të</w:t>
                    </w:r>
                    <w:r>
                      <w:rPr>
                        <w:rFonts w:ascii="Calibri" w:hAnsi="Calibri"/>
                        <w:color w:val="585858"/>
                        <w:spacing w:val="44"/>
                        <w:sz w:val="32"/>
                      </w:rPr>
                      <w:t> </w:t>
                    </w:r>
                    <w:r>
                      <w:rPr>
                        <w:rFonts w:ascii="Calibri" w:hAnsi="Calibri"/>
                        <w:color w:val="585858"/>
                        <w:spacing w:val="-2"/>
                        <w:sz w:val="32"/>
                      </w:rPr>
                      <w:t>Elezit,</w:t>
                    </w:r>
                  </w:p>
                  <w:p>
                    <w:pPr>
                      <w:spacing w:line="390" w:lineRule="exact" w:before="0"/>
                      <w:ind w:left="23" w:right="282" w:firstLine="0"/>
                      <w:jc w:val="center"/>
                      <w:rPr>
                        <w:rFonts w:ascii="Calibri"/>
                        <w:sz w:val="32"/>
                      </w:rPr>
                    </w:pPr>
                    <w:r>
                      <w:rPr>
                        <w:rFonts w:ascii="Calibri"/>
                        <w:color w:val="585858"/>
                        <w:sz w:val="32"/>
                      </w:rPr>
                      <w:t>1948-</w:t>
                    </w:r>
                    <w:r>
                      <w:rPr>
                        <w:rFonts w:ascii="Calibri"/>
                        <w:color w:val="585858"/>
                        <w:spacing w:val="-4"/>
                        <w:sz w:val="32"/>
                      </w:rPr>
                      <w:t>2011</w:t>
                    </w:r>
                  </w:p>
                  <w:p>
                    <w:pPr>
                      <w:spacing w:line="216" w:lineRule="exact" w:before="232"/>
                      <w:ind w:left="0" w:right="18" w:firstLine="0"/>
                      <w:jc w:val="right"/>
                      <w:rPr>
                        <w:rFonts w:ascii="Calibri"/>
                        <w:sz w:val="18"/>
                      </w:rPr>
                    </w:pPr>
                    <w:r>
                      <w:rPr>
                        <w:rFonts w:ascii="Calibri"/>
                        <w:color w:val="7E7E7E"/>
                        <w:spacing w:val="-4"/>
                        <w:sz w:val="18"/>
                      </w:rPr>
                      <w:t>9403</w:t>
                    </w:r>
                  </w:p>
                </w:txbxContent>
              </v:textbox>
              <w10:wrap type="none"/>
            </v:shape>
            <v:shape style="position:absolute;left:175;top:1352;width:476;height:584" type="#_x0000_t202" id="docshape82" filled="false" stroked="false">
              <v:textbox inset="0,0,0,0">
                <w:txbxContent>
                  <w:p>
                    <w:pPr>
                      <w:spacing w:line="183" w:lineRule="exact" w:before="0"/>
                      <w:ind w:left="0" w:right="0" w:firstLine="0"/>
                      <w:jc w:val="left"/>
                      <w:rPr>
                        <w:rFonts w:ascii="Calibri"/>
                        <w:sz w:val="18"/>
                      </w:rPr>
                    </w:pPr>
                    <w:r>
                      <w:rPr>
                        <w:rFonts w:ascii="Calibri"/>
                        <w:color w:val="7E7E7E"/>
                        <w:spacing w:val="-2"/>
                        <w:sz w:val="18"/>
                      </w:rPr>
                      <w:t>10000</w:t>
                    </w:r>
                  </w:p>
                  <w:p>
                    <w:pPr>
                      <w:spacing w:line="240" w:lineRule="auto" w:before="0"/>
                      <w:rPr>
                        <w:rFonts w:ascii="Calibri"/>
                        <w:sz w:val="15"/>
                      </w:rPr>
                    </w:pPr>
                  </w:p>
                  <w:p>
                    <w:pPr>
                      <w:spacing w:line="216" w:lineRule="exact" w:before="0"/>
                      <w:ind w:left="91" w:right="0" w:firstLine="0"/>
                      <w:jc w:val="left"/>
                      <w:rPr>
                        <w:rFonts w:ascii="Calibri"/>
                        <w:sz w:val="18"/>
                      </w:rPr>
                    </w:pPr>
                    <w:r>
                      <w:rPr>
                        <w:rFonts w:ascii="Calibri"/>
                        <w:color w:val="7E7E7E"/>
                        <w:spacing w:val="-4"/>
                        <w:sz w:val="18"/>
                      </w:rPr>
                      <w:t>8000</w:t>
                    </w:r>
                  </w:p>
                </w:txbxContent>
              </v:textbox>
              <w10:wrap type="none"/>
            </v:shape>
            <v:shape style="position:absolute;left:5436;top:1685;width:385;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7029</w:t>
                    </w:r>
                  </w:p>
                </w:txbxContent>
              </v:textbox>
              <w10:wrap type="none"/>
            </v:shape>
            <v:shape style="position:absolute;left:4576;top:1884;width:385;height:180" type="#_x0000_t202" id="docshape84"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6044</w:t>
                    </w:r>
                  </w:p>
                </w:txbxContent>
              </v:textbox>
              <w10:wrap type="none"/>
            </v:shape>
            <v:shape style="position:absolute;left:266;top:2160;width:385;height:180" type="#_x0000_t202" id="docshape85"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6000</w:t>
                    </w:r>
                  </w:p>
                </w:txbxContent>
              </v:textbox>
              <w10:wrap type="none"/>
            </v:shape>
            <v:shape style="position:absolute;left:3716;top:2156;width:385;height:180" type="#_x0000_t202" id="docshape86"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4693</w:t>
                    </w:r>
                  </w:p>
                </w:txbxContent>
              </v:textbox>
              <w10:wrap type="none"/>
            </v:shape>
            <v:shape style="position:absolute;left:1995;top:2352;width:385;height:180" type="#_x0000_t202" id="docshape87"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3722</w:t>
                    </w:r>
                  </w:p>
                </w:txbxContent>
              </v:textbox>
              <w10:wrap type="none"/>
            </v:shape>
            <v:shape style="position:absolute;left:2855;top:2296;width:385;height:180" type="#_x0000_t202" id="docshape88"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4001</w:t>
                    </w:r>
                  </w:p>
                </w:txbxContent>
              </v:textbox>
              <w10:wrap type="none"/>
            </v:shape>
            <v:shape style="position:absolute;left:266;top:2563;width:385;height:180" type="#_x0000_t202" id="docshape89"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4000</w:t>
                    </w:r>
                  </w:p>
                </w:txbxContent>
              </v:textbox>
              <w10:wrap type="none"/>
            </v:shape>
            <v:shape style="position:absolute;left:1134;top:2434;width:385;height:180" type="#_x0000_t202" id="docshape90" filled="false" stroked="false">
              <v:textbox inset="0,0,0,0">
                <w:txbxContent>
                  <w:p>
                    <w:pPr>
                      <w:spacing w:line="180" w:lineRule="exact" w:before="0"/>
                      <w:ind w:left="0" w:right="0" w:firstLine="0"/>
                      <w:jc w:val="left"/>
                      <w:rPr>
                        <w:rFonts w:ascii="Calibri"/>
                        <w:sz w:val="18"/>
                      </w:rPr>
                    </w:pPr>
                    <w:r>
                      <w:rPr>
                        <w:rFonts w:ascii="Calibri"/>
                        <w:color w:val="7E7E7E"/>
                        <w:spacing w:val="-4"/>
                        <w:sz w:val="18"/>
                      </w:rPr>
                      <w:t>3321</w:t>
                    </w:r>
                  </w:p>
                </w:txbxContent>
              </v:textbox>
              <w10:wrap type="none"/>
            </v:shape>
            <v:shape style="position:absolute;left:266;top:2967;width:385;height:584" type="#_x0000_t202" id="docshape91" filled="false" stroked="false">
              <v:textbox inset="0,0,0,0">
                <w:txbxContent>
                  <w:p>
                    <w:pPr>
                      <w:spacing w:line="183" w:lineRule="exact" w:before="0"/>
                      <w:ind w:left="0" w:right="18" w:firstLine="0"/>
                      <w:jc w:val="right"/>
                      <w:rPr>
                        <w:rFonts w:ascii="Calibri"/>
                        <w:sz w:val="18"/>
                      </w:rPr>
                    </w:pPr>
                    <w:r>
                      <w:rPr>
                        <w:rFonts w:ascii="Calibri"/>
                        <w:color w:val="7E7E7E"/>
                        <w:spacing w:val="-4"/>
                        <w:sz w:val="18"/>
                      </w:rPr>
                      <w:t>2000</w:t>
                    </w:r>
                  </w:p>
                  <w:p>
                    <w:pPr>
                      <w:spacing w:line="240" w:lineRule="auto" w:before="0"/>
                      <w:rPr>
                        <w:rFonts w:ascii="Calibri"/>
                        <w:sz w:val="15"/>
                      </w:rPr>
                    </w:pPr>
                  </w:p>
                  <w:p>
                    <w:pPr>
                      <w:spacing w:line="216" w:lineRule="exact" w:before="0"/>
                      <w:ind w:left="0" w:right="18" w:firstLine="0"/>
                      <w:jc w:val="right"/>
                      <w:rPr>
                        <w:rFonts w:ascii="Calibri"/>
                        <w:sz w:val="18"/>
                      </w:rPr>
                    </w:pPr>
                    <w:r>
                      <w:rPr>
                        <w:rFonts w:ascii="Calibri"/>
                        <w:color w:val="7E7E7E"/>
                        <w:sz w:val="18"/>
                      </w:rPr>
                      <w:t>0</w:t>
                    </w:r>
                  </w:p>
                </w:txbxContent>
              </v:textbox>
              <w10:wrap type="none"/>
            </v:shape>
            <v:shape style="position:absolute;left:7180;top:3260;width:228;height:180" type="#_x0000_t202" id="docshape92" filled="false" stroked="false">
              <v:textbox inset="0,0,0,0">
                <w:txbxContent>
                  <w:p>
                    <w:pPr>
                      <w:spacing w:line="180" w:lineRule="exact" w:before="0"/>
                      <w:ind w:left="0" w:right="0" w:firstLine="0"/>
                      <w:jc w:val="left"/>
                      <w:rPr>
                        <w:rFonts w:ascii="Calibri" w:hAnsi="Calibri"/>
                        <w:sz w:val="18"/>
                      </w:rPr>
                    </w:pPr>
                    <w:r>
                      <w:rPr>
                        <w:rFonts w:ascii="Calibri" w:hAnsi="Calibri"/>
                        <w:color w:val="7E7E7E"/>
                        <w:spacing w:val="-5"/>
                        <w:sz w:val="18"/>
                      </w:rPr>
                      <w:t>S…</w:t>
                    </w:r>
                  </w:p>
                </w:txbxContent>
              </v:textbox>
              <w10:wrap type="none"/>
            </v:shape>
            <v:shape style="position:absolute;left:1046;top:3595;width:5547;height:180" type="#_x0000_t202" id="docshape93" filled="false" stroked="false">
              <v:textbox inset="0,0,0,0">
                <w:txbxContent>
                  <w:p>
                    <w:pPr>
                      <w:tabs>
                        <w:tab w:pos="860" w:val="left" w:leader="none"/>
                        <w:tab w:pos="1720" w:val="left" w:leader="none"/>
                        <w:tab w:pos="2581" w:val="left" w:leader="none"/>
                        <w:tab w:pos="3441" w:val="left" w:leader="none"/>
                        <w:tab w:pos="4301" w:val="left" w:leader="none"/>
                        <w:tab w:pos="5161" w:val="left" w:leader="none"/>
                      </w:tabs>
                      <w:spacing w:line="180" w:lineRule="exact" w:before="0"/>
                      <w:ind w:left="0" w:right="0" w:firstLine="0"/>
                      <w:jc w:val="left"/>
                      <w:rPr>
                        <w:rFonts w:ascii="Calibri"/>
                        <w:sz w:val="18"/>
                      </w:rPr>
                    </w:pPr>
                    <w:r>
                      <w:rPr>
                        <w:rFonts w:ascii="Calibri"/>
                        <w:color w:val="7E7E7E"/>
                        <w:spacing w:val="-4"/>
                        <w:sz w:val="18"/>
                      </w:rPr>
                      <w:t>1948</w:t>
                    </w:r>
                    <w:r>
                      <w:rPr>
                        <w:rFonts w:ascii="Calibri"/>
                        <w:color w:val="7E7E7E"/>
                        <w:sz w:val="18"/>
                      </w:rPr>
                      <w:tab/>
                    </w:r>
                    <w:r>
                      <w:rPr>
                        <w:rFonts w:ascii="Calibri"/>
                        <w:color w:val="7E7E7E"/>
                        <w:spacing w:val="-4"/>
                        <w:sz w:val="18"/>
                      </w:rPr>
                      <w:t>1953</w:t>
                    </w:r>
                    <w:r>
                      <w:rPr>
                        <w:rFonts w:ascii="Calibri"/>
                        <w:color w:val="7E7E7E"/>
                        <w:sz w:val="18"/>
                      </w:rPr>
                      <w:tab/>
                    </w:r>
                    <w:r>
                      <w:rPr>
                        <w:rFonts w:ascii="Calibri"/>
                        <w:color w:val="7E7E7E"/>
                        <w:spacing w:val="-4"/>
                        <w:sz w:val="18"/>
                      </w:rPr>
                      <w:t>1961</w:t>
                    </w:r>
                    <w:r>
                      <w:rPr>
                        <w:rFonts w:ascii="Calibri"/>
                        <w:color w:val="7E7E7E"/>
                        <w:sz w:val="18"/>
                      </w:rPr>
                      <w:tab/>
                    </w:r>
                    <w:r>
                      <w:rPr>
                        <w:rFonts w:ascii="Calibri"/>
                        <w:color w:val="7E7E7E"/>
                        <w:spacing w:val="-4"/>
                        <w:sz w:val="18"/>
                      </w:rPr>
                      <w:t>1971</w:t>
                    </w:r>
                    <w:r>
                      <w:rPr>
                        <w:rFonts w:ascii="Calibri"/>
                        <w:color w:val="7E7E7E"/>
                        <w:sz w:val="18"/>
                      </w:rPr>
                      <w:tab/>
                    </w:r>
                    <w:r>
                      <w:rPr>
                        <w:rFonts w:ascii="Calibri"/>
                        <w:color w:val="7E7E7E"/>
                        <w:spacing w:val="-4"/>
                        <w:sz w:val="18"/>
                      </w:rPr>
                      <w:t>1981</w:t>
                    </w:r>
                    <w:r>
                      <w:rPr>
                        <w:rFonts w:ascii="Calibri"/>
                        <w:color w:val="7E7E7E"/>
                        <w:sz w:val="18"/>
                      </w:rPr>
                      <w:tab/>
                    </w:r>
                    <w:r>
                      <w:rPr>
                        <w:rFonts w:ascii="Calibri"/>
                        <w:color w:val="7E7E7E"/>
                        <w:spacing w:val="-4"/>
                        <w:sz w:val="18"/>
                      </w:rPr>
                      <w:t>1991</w:t>
                    </w:r>
                    <w:r>
                      <w:rPr>
                        <w:rFonts w:ascii="Calibri"/>
                        <w:color w:val="7E7E7E"/>
                        <w:sz w:val="18"/>
                      </w:rPr>
                      <w:tab/>
                    </w:r>
                    <w:r>
                      <w:rPr>
                        <w:rFonts w:ascii="Calibri"/>
                        <w:color w:val="7E7E7E"/>
                        <w:spacing w:val="-4"/>
                        <w:sz w:val="18"/>
                      </w:rPr>
                      <w:t>2011</w:t>
                    </w:r>
                  </w:p>
                </w:txbxContent>
              </v:textbox>
              <w10:wrap type="none"/>
            </v:shape>
          </v:group>
        </w:pict>
      </w:r>
      <w:r>
        <w:rPr>
          <w:sz w:val="20"/>
        </w:rPr>
      </w:r>
    </w:p>
    <w:p>
      <w:pPr>
        <w:pStyle w:val="BodyText"/>
        <w:spacing w:before="13"/>
        <w:ind w:left="2453"/>
      </w:pPr>
      <w:r>
        <w:rPr>
          <w:b/>
        </w:rPr>
        <w:t>Grafiku</w:t>
      </w:r>
      <w:r>
        <w:rPr>
          <w:b/>
          <w:spacing w:val="-7"/>
        </w:rPr>
        <w:t> </w:t>
      </w:r>
      <w:r>
        <w:rPr>
          <w:b/>
        </w:rPr>
        <w:t>2:</w:t>
      </w:r>
      <w:r>
        <w:rPr>
          <w:b/>
          <w:spacing w:val="-6"/>
        </w:rPr>
        <w:t> </w:t>
      </w:r>
      <w:r>
        <w:rPr/>
        <w:t>Popullsia</w:t>
      </w:r>
      <w:r>
        <w:rPr>
          <w:spacing w:val="-7"/>
        </w:rPr>
        <w:t> </w:t>
      </w:r>
      <w:r>
        <w:rPr/>
        <w:t>në</w:t>
      </w:r>
      <w:r>
        <w:rPr>
          <w:spacing w:val="-8"/>
        </w:rPr>
        <w:t> </w:t>
      </w:r>
      <w:r>
        <w:rPr/>
        <w:t>komunën</w:t>
      </w:r>
      <w:r>
        <w:rPr>
          <w:spacing w:val="-6"/>
        </w:rPr>
        <w:t> </w:t>
      </w:r>
      <w:r>
        <w:rPr/>
        <w:t>e</w:t>
      </w:r>
      <w:r>
        <w:rPr>
          <w:spacing w:val="-7"/>
        </w:rPr>
        <w:t> </w:t>
      </w:r>
      <w:r>
        <w:rPr/>
        <w:t>Hanit</w:t>
      </w:r>
      <w:r>
        <w:rPr>
          <w:spacing w:val="-7"/>
        </w:rPr>
        <w:t> </w:t>
      </w:r>
      <w:r>
        <w:rPr/>
        <w:t>të</w:t>
      </w:r>
      <w:r>
        <w:rPr>
          <w:spacing w:val="-6"/>
        </w:rPr>
        <w:t> </w:t>
      </w:r>
      <w:r>
        <w:rPr/>
        <w:t>Elezit,</w:t>
      </w:r>
      <w:r>
        <w:rPr>
          <w:spacing w:val="-6"/>
        </w:rPr>
        <w:t> </w:t>
      </w:r>
      <w:r>
        <w:rPr/>
        <w:t>1948-</w:t>
      </w:r>
      <w:r>
        <w:rPr>
          <w:spacing w:val="-5"/>
        </w:rPr>
        <w:t>201</w:t>
      </w:r>
    </w:p>
    <w:p>
      <w:pPr>
        <w:pStyle w:val="BodyText"/>
        <w:spacing w:before="7"/>
        <w:rPr>
          <w:sz w:val="33"/>
        </w:rPr>
      </w:pPr>
    </w:p>
    <w:p>
      <w:pPr>
        <w:pStyle w:val="BodyText"/>
        <w:spacing w:line="288" w:lineRule="auto"/>
        <w:ind w:left="740" w:right="1435"/>
      </w:pPr>
      <w:r>
        <w:rPr/>
        <w:t>Mosha</w:t>
      </w:r>
      <w:r>
        <w:rPr>
          <w:spacing w:val="-10"/>
        </w:rPr>
        <w:t> </w:t>
      </w:r>
      <w:r>
        <w:rPr/>
        <w:t>dhe</w:t>
      </w:r>
      <w:r>
        <w:rPr>
          <w:spacing w:val="-11"/>
        </w:rPr>
        <w:t> </w:t>
      </w:r>
      <w:r>
        <w:rPr/>
        <w:t>struktura</w:t>
      </w:r>
      <w:r>
        <w:rPr>
          <w:spacing w:val="-11"/>
        </w:rPr>
        <w:t> </w:t>
      </w:r>
      <w:r>
        <w:rPr/>
        <w:t>gjinore</w:t>
      </w:r>
      <w:r>
        <w:rPr>
          <w:spacing w:val="-11"/>
        </w:rPr>
        <w:t> </w:t>
      </w:r>
      <w:r>
        <w:rPr/>
        <w:t>komuna</w:t>
      </w:r>
      <w:r>
        <w:rPr>
          <w:spacing w:val="-13"/>
        </w:rPr>
        <w:t> </w:t>
      </w:r>
      <w:r>
        <w:rPr/>
        <w:t>e</w:t>
      </w:r>
      <w:r>
        <w:rPr>
          <w:spacing w:val="-12"/>
        </w:rPr>
        <w:t> </w:t>
      </w:r>
      <w:r>
        <w:rPr/>
        <w:t>Hanit</w:t>
      </w:r>
      <w:r>
        <w:rPr>
          <w:spacing w:val="-11"/>
        </w:rPr>
        <w:t> </w:t>
      </w:r>
      <w:r>
        <w:rPr/>
        <w:t>të</w:t>
      </w:r>
      <w:r>
        <w:rPr>
          <w:spacing w:val="-12"/>
        </w:rPr>
        <w:t> </w:t>
      </w:r>
      <w:r>
        <w:rPr/>
        <w:t>Elezit</w:t>
      </w:r>
      <w:r>
        <w:rPr>
          <w:spacing w:val="-11"/>
        </w:rPr>
        <w:t> </w:t>
      </w:r>
      <w:r>
        <w:rPr/>
        <w:t>ka</w:t>
      </w:r>
      <w:r>
        <w:rPr>
          <w:spacing w:val="-12"/>
        </w:rPr>
        <w:t> </w:t>
      </w:r>
      <w:r>
        <w:rPr/>
        <w:t>një</w:t>
      </w:r>
      <w:r>
        <w:rPr>
          <w:spacing w:val="-11"/>
        </w:rPr>
        <w:t> </w:t>
      </w:r>
      <w:r>
        <w:rPr/>
        <w:t>popullsi</w:t>
      </w:r>
      <w:r>
        <w:rPr>
          <w:spacing w:val="-11"/>
        </w:rPr>
        <w:t> </w:t>
      </w:r>
      <w:r>
        <w:rPr/>
        <w:t>të</w:t>
      </w:r>
      <w:r>
        <w:rPr>
          <w:spacing w:val="-11"/>
        </w:rPr>
        <w:t> </w:t>
      </w:r>
      <w:r>
        <w:rPr/>
        <w:t>re.</w:t>
      </w:r>
      <w:r>
        <w:rPr>
          <w:spacing w:val="-12"/>
        </w:rPr>
        <w:t> </w:t>
      </w:r>
      <w:r>
        <w:rPr/>
        <w:t>Sipas</w:t>
      </w:r>
      <w:r>
        <w:rPr>
          <w:spacing w:val="-10"/>
        </w:rPr>
        <w:t> </w:t>
      </w:r>
      <w:r>
        <w:rPr/>
        <w:t>këtyre</w:t>
      </w:r>
      <w:r>
        <w:rPr>
          <w:spacing w:val="-12"/>
        </w:rPr>
        <w:t> </w:t>
      </w:r>
      <w:r>
        <w:rPr/>
        <w:t>të</w:t>
      </w:r>
      <w:r>
        <w:rPr>
          <w:spacing w:val="-10"/>
        </w:rPr>
        <w:t> </w:t>
      </w:r>
      <w:r>
        <w:rPr/>
        <w:t>dhënave mbi 60% e popullsisë është popullsi aktive.</w:t>
      </w:r>
    </w:p>
    <w:p>
      <w:pPr>
        <w:pStyle w:val="BodyText"/>
        <w:ind w:left="740"/>
      </w:pPr>
      <w:r>
        <w:rPr/>
        <w:t>Struktura</w:t>
      </w:r>
      <w:r>
        <w:rPr>
          <w:spacing w:val="-2"/>
        </w:rPr>
        <w:t> </w:t>
      </w:r>
      <w:r>
        <w:rPr/>
        <w:t>gjinore</w:t>
      </w:r>
      <w:r>
        <w:rPr>
          <w:spacing w:val="-1"/>
        </w:rPr>
        <w:t> </w:t>
      </w:r>
      <w:r>
        <w:rPr/>
        <w:t>ka</w:t>
      </w:r>
      <w:r>
        <w:rPr>
          <w:spacing w:val="-1"/>
        </w:rPr>
        <w:t> </w:t>
      </w:r>
      <w:r>
        <w:rPr/>
        <w:t>disa</w:t>
      </w:r>
      <w:r>
        <w:rPr>
          <w:spacing w:val="-3"/>
        </w:rPr>
        <w:t> </w:t>
      </w:r>
      <w:r>
        <w:rPr/>
        <w:t>dallime:</w:t>
      </w:r>
      <w:r>
        <w:rPr>
          <w:spacing w:val="-1"/>
        </w:rPr>
        <w:t> </w:t>
      </w:r>
      <w:r>
        <w:rPr/>
        <w:t>51%</w:t>
      </w:r>
      <w:r>
        <w:rPr>
          <w:spacing w:val="-1"/>
        </w:rPr>
        <w:t> </w:t>
      </w:r>
      <w:r>
        <w:rPr/>
        <w:t>janë</w:t>
      </w:r>
      <w:r>
        <w:rPr>
          <w:spacing w:val="-2"/>
        </w:rPr>
        <w:t> </w:t>
      </w:r>
      <w:r>
        <w:rPr/>
        <w:t>meshkuj</w:t>
      </w:r>
      <w:r>
        <w:rPr>
          <w:spacing w:val="-1"/>
        </w:rPr>
        <w:t> </w:t>
      </w:r>
      <w:r>
        <w:rPr/>
        <w:t>49%</w:t>
      </w:r>
      <w:r>
        <w:rPr>
          <w:spacing w:val="-1"/>
        </w:rPr>
        <w:t> </w:t>
      </w:r>
      <w:r>
        <w:rPr/>
        <w:t>janë</w:t>
      </w:r>
      <w:r>
        <w:rPr>
          <w:spacing w:val="-1"/>
        </w:rPr>
        <w:t> </w:t>
      </w:r>
      <w:r>
        <w:rPr>
          <w:spacing w:val="-2"/>
        </w:rPr>
        <w:t>femra.</w:t>
      </w:r>
    </w:p>
    <w:p>
      <w:pPr>
        <w:pStyle w:val="BodyText"/>
        <w:spacing w:before="4"/>
        <w:rPr>
          <w:sz w:val="22"/>
        </w:rPr>
      </w:pPr>
    </w:p>
    <w:p>
      <w:pPr>
        <w:pStyle w:val="Heading2"/>
        <w:spacing w:before="52"/>
        <w:ind w:left="0" w:right="206"/>
        <w:jc w:val="center"/>
        <w:rPr>
          <w:rFonts w:ascii="Calibri" w:hAnsi="Calibri"/>
        </w:rPr>
      </w:pPr>
      <w:r>
        <w:rPr/>
        <w:pict>
          <v:group style="position:absolute;margin-left:203.908127pt;margin-top:15.619149pt;width:121.25pt;height:174.85pt;mso-position-horizontal-relative:page;mso-position-vertical-relative:paragraph;z-index:15739392" id="docshapegroup94" coordorigin="4078,312" coordsize="2425,3497">
            <v:shape style="position:absolute;left:4078;top:312;width:1243;height:3497" type="#_x0000_t75" id="docshape95" stroked="false">
              <v:imagedata r:id="rId36" o:title=""/>
            </v:shape>
            <v:rect style="position:absolute;left:5185;top:1283;width:1318;height:1091" id="docshape96" filled="true" fillcolor="#ffffff" stroked="false">
              <v:fill type="solid"/>
            </v:rect>
            <v:shape style="position:absolute;left:4078;top:312;width:2425;height:3497" type="#_x0000_t202" id="docshape97" filled="false" stroked="false">
              <v:textbox inset="0,0,0,0">
                <w:txbxContent>
                  <w:p>
                    <w:pPr>
                      <w:spacing w:line="240" w:lineRule="auto" w:before="0"/>
                      <w:rPr>
                        <w:sz w:val="28"/>
                      </w:rPr>
                    </w:pPr>
                  </w:p>
                  <w:p>
                    <w:pPr>
                      <w:spacing w:line="240" w:lineRule="auto" w:before="0"/>
                      <w:rPr>
                        <w:sz w:val="28"/>
                      </w:rPr>
                    </w:pPr>
                  </w:p>
                  <w:p>
                    <w:pPr>
                      <w:spacing w:line="240" w:lineRule="auto" w:before="5"/>
                      <w:rPr>
                        <w:sz w:val="35"/>
                      </w:rPr>
                    </w:pPr>
                  </w:p>
                  <w:p>
                    <w:pPr>
                      <w:spacing w:line="242" w:lineRule="auto" w:before="0"/>
                      <w:ind w:left="1511" w:right="0" w:hanging="241"/>
                      <w:jc w:val="left"/>
                      <w:rPr>
                        <w:rFonts w:ascii="Calibri"/>
                        <w:sz w:val="28"/>
                      </w:rPr>
                    </w:pPr>
                    <w:r>
                      <w:rPr>
                        <w:rFonts w:ascii="Calibri"/>
                        <w:color w:val="001F5F"/>
                        <w:spacing w:val="-2"/>
                        <w:sz w:val="28"/>
                      </w:rPr>
                      <w:t>Meshkuj </w:t>
                    </w:r>
                    <w:r>
                      <w:rPr>
                        <w:rFonts w:ascii="Calibri"/>
                        <w:color w:val="001F5F"/>
                        <w:spacing w:val="-4"/>
                        <w:sz w:val="28"/>
                      </w:rPr>
                      <w:t>51%</w:t>
                    </w:r>
                  </w:p>
                </w:txbxContent>
              </v:textbox>
              <w10:wrap type="none"/>
            </v:shape>
            <w10:wrap type="none"/>
          </v:group>
        </w:pict>
      </w:r>
      <w:r>
        <w:rPr>
          <w:rFonts w:ascii="Calibri" w:hAnsi="Calibri"/>
        </w:rPr>
        <w:t>Struktura</w:t>
      </w:r>
      <w:r>
        <w:rPr>
          <w:rFonts w:ascii="Calibri" w:hAnsi="Calibri"/>
          <w:spacing w:val="-2"/>
        </w:rPr>
        <w:t> </w:t>
      </w:r>
      <w:r>
        <w:rPr>
          <w:rFonts w:ascii="Calibri" w:hAnsi="Calibri"/>
        </w:rPr>
        <w:t>gjinore</w:t>
      </w:r>
      <w:r>
        <w:rPr>
          <w:rFonts w:ascii="Calibri" w:hAnsi="Calibri"/>
          <w:spacing w:val="-4"/>
        </w:rPr>
        <w:t> </w:t>
      </w:r>
      <w:r>
        <w:rPr>
          <w:rFonts w:ascii="Calibri" w:hAnsi="Calibri"/>
        </w:rPr>
        <w:t>në</w:t>
      </w:r>
      <w:r>
        <w:rPr>
          <w:rFonts w:ascii="Calibri" w:hAnsi="Calibri"/>
          <w:spacing w:val="-4"/>
        </w:rPr>
        <w:t> </w:t>
      </w:r>
      <w:r>
        <w:rPr>
          <w:rFonts w:ascii="Calibri" w:hAnsi="Calibri"/>
        </w:rPr>
        <w:t>Komunën</w:t>
      </w:r>
      <w:r>
        <w:rPr>
          <w:rFonts w:ascii="Calibri" w:hAnsi="Calibri"/>
          <w:spacing w:val="4"/>
        </w:rPr>
        <w:t> </w:t>
      </w:r>
      <w:r>
        <w:rPr>
          <w:rFonts w:ascii="Calibri" w:hAnsi="Calibri"/>
        </w:rPr>
        <w:t>e</w:t>
      </w:r>
      <w:r>
        <w:rPr>
          <w:rFonts w:ascii="Calibri" w:hAnsi="Calibri"/>
          <w:spacing w:val="-5"/>
        </w:rPr>
        <w:t> </w:t>
      </w:r>
      <w:r>
        <w:rPr>
          <w:rFonts w:ascii="Calibri" w:hAnsi="Calibri"/>
        </w:rPr>
        <w:t>Hani</w:t>
      </w:r>
      <w:r>
        <w:rPr>
          <w:rFonts w:ascii="Calibri" w:hAnsi="Calibri"/>
          <w:spacing w:val="-1"/>
        </w:rPr>
        <w:t> </w:t>
      </w:r>
      <w:r>
        <w:rPr>
          <w:rFonts w:ascii="Calibri" w:hAnsi="Calibri"/>
        </w:rPr>
        <w:t>të</w:t>
      </w:r>
      <w:r>
        <w:rPr>
          <w:rFonts w:ascii="Calibri" w:hAnsi="Calibri"/>
          <w:spacing w:val="-4"/>
        </w:rPr>
        <w:t> </w:t>
      </w:r>
      <w:r>
        <w:rPr>
          <w:rFonts w:ascii="Calibri" w:hAnsi="Calibri"/>
          <w:spacing w:val="-2"/>
        </w:rPr>
        <w:t>Elezit</w:t>
      </w:r>
    </w:p>
    <w:p>
      <w:pPr>
        <w:pStyle w:val="BodyText"/>
        <w:ind w:left="5937"/>
        <w:rPr>
          <w:rFonts w:ascii="Calibri"/>
          <w:sz w:val="20"/>
        </w:rPr>
      </w:pPr>
      <w:r>
        <w:rPr>
          <w:rFonts w:ascii="Calibri"/>
          <w:sz w:val="20"/>
        </w:rPr>
        <w:pict>
          <v:group style="width:122.75pt;height:173.35pt;mso-position-horizontal-relative:char;mso-position-vertical-relative:line" id="docshapegroup98" coordorigin="0,0" coordsize="2455,3467">
            <v:shape style="position:absolute;left:104;top:1688;width:1303;height:1569" id="docshape99" coordorigin="105,1688" coordsize="1303,1569" path="m1407,1688l105,1688,105,1853,105,3257,1407,3257,1407,1853,1407,1688xe" filled="true" fillcolor="#ec7c30" stroked="false">
              <v:path arrowok="t"/>
              <v:fill type="solid"/>
            </v:shape>
            <v:shape style="position:absolute;left:0;top:0;width:1407;height:3467" type="#_x0000_t75" id="docshape100" stroked="false">
              <v:imagedata r:id="rId37" o:title=""/>
            </v:shape>
            <v:rect style="position:absolute;left:1257;top:941;width:1198;height:912" id="docshape101" filled="true" fillcolor="#ffffff" stroked="false">
              <v:fill type="solid"/>
            </v:rect>
            <v:shape style="position:absolute;left:0;top:0;width:2455;height:3467" type="#_x0000_t202" id="docshape102" filled="false" stroked="false">
              <v:textbox inset="0,0,0,0">
                <w:txbxContent>
                  <w:p>
                    <w:pPr>
                      <w:spacing w:line="240" w:lineRule="auto" w:before="0"/>
                      <w:rPr>
                        <w:rFonts w:ascii="Calibri"/>
                        <w:b/>
                        <w:sz w:val="28"/>
                      </w:rPr>
                    </w:pPr>
                  </w:p>
                  <w:p>
                    <w:pPr>
                      <w:spacing w:line="240" w:lineRule="auto" w:before="0"/>
                      <w:rPr>
                        <w:rFonts w:ascii="Calibri"/>
                        <w:b/>
                        <w:sz w:val="28"/>
                      </w:rPr>
                    </w:pPr>
                  </w:p>
                  <w:p>
                    <w:pPr>
                      <w:spacing w:line="240" w:lineRule="auto" w:before="8"/>
                      <w:rPr>
                        <w:rFonts w:ascii="Calibri"/>
                        <w:b/>
                        <w:sz w:val="27"/>
                      </w:rPr>
                    </w:pPr>
                  </w:p>
                  <w:p>
                    <w:pPr>
                      <w:spacing w:line="242" w:lineRule="auto" w:before="0"/>
                      <w:ind w:left="1606" w:right="0" w:hanging="105"/>
                      <w:jc w:val="left"/>
                      <w:rPr>
                        <w:rFonts w:ascii="Calibri"/>
                        <w:sz w:val="28"/>
                      </w:rPr>
                    </w:pPr>
                    <w:r>
                      <w:rPr>
                        <w:rFonts w:ascii="Calibri"/>
                        <w:color w:val="F4B083"/>
                        <w:spacing w:val="-2"/>
                        <w:sz w:val="28"/>
                      </w:rPr>
                      <w:t>Femra </w:t>
                    </w:r>
                    <w:r>
                      <w:rPr>
                        <w:rFonts w:ascii="Calibri"/>
                        <w:color w:val="F4B083"/>
                        <w:spacing w:val="-4"/>
                        <w:sz w:val="28"/>
                      </w:rPr>
                      <w:t>49%</w:t>
                    </w:r>
                  </w:p>
                </w:txbxContent>
              </v:textbox>
              <w10:wrap type="none"/>
            </v:shape>
          </v:group>
        </w:pict>
      </w:r>
      <w:r>
        <w:rPr>
          <w:rFonts w:ascii="Calibri"/>
          <w:sz w:val="20"/>
        </w:rPr>
      </w:r>
    </w:p>
    <w:p>
      <w:pPr>
        <w:pStyle w:val="BodyText"/>
        <w:spacing w:before="116"/>
        <w:ind w:left="2637"/>
      </w:pPr>
      <w:r>
        <w:rPr>
          <w:b/>
        </w:rPr>
        <w:t>Grafiku</w:t>
      </w:r>
      <w:r>
        <w:rPr>
          <w:b/>
          <w:spacing w:val="-6"/>
        </w:rPr>
        <w:t> </w:t>
      </w:r>
      <w:r>
        <w:rPr>
          <w:b/>
        </w:rPr>
        <w:t>3:</w:t>
      </w:r>
      <w:r>
        <w:rPr>
          <w:b/>
          <w:spacing w:val="-6"/>
        </w:rPr>
        <w:t> </w:t>
      </w:r>
      <w:r>
        <w:rPr/>
        <w:t>Struktura</w:t>
      </w:r>
      <w:r>
        <w:rPr>
          <w:spacing w:val="-6"/>
        </w:rPr>
        <w:t> </w:t>
      </w:r>
      <w:r>
        <w:rPr/>
        <w:t>gjinore</w:t>
      </w:r>
      <w:r>
        <w:rPr>
          <w:spacing w:val="-6"/>
        </w:rPr>
        <w:t> </w:t>
      </w:r>
      <w:r>
        <w:rPr/>
        <w:t>në</w:t>
      </w:r>
      <w:r>
        <w:rPr>
          <w:spacing w:val="-5"/>
        </w:rPr>
        <w:t> </w:t>
      </w:r>
      <w:r>
        <w:rPr/>
        <w:t>komunën</w:t>
      </w:r>
      <w:r>
        <w:rPr>
          <w:spacing w:val="-6"/>
        </w:rPr>
        <w:t> </w:t>
      </w:r>
      <w:r>
        <w:rPr/>
        <w:t>e</w:t>
      </w:r>
      <w:r>
        <w:rPr>
          <w:spacing w:val="-6"/>
        </w:rPr>
        <w:t> </w:t>
      </w:r>
      <w:r>
        <w:rPr/>
        <w:t>Hani</w:t>
      </w:r>
      <w:r>
        <w:rPr>
          <w:spacing w:val="-7"/>
        </w:rPr>
        <w:t> </w:t>
      </w:r>
      <w:r>
        <w:rPr/>
        <w:t>të</w:t>
      </w:r>
      <w:r>
        <w:rPr>
          <w:spacing w:val="-6"/>
        </w:rPr>
        <w:t> </w:t>
      </w:r>
      <w:r>
        <w:rPr>
          <w:spacing w:val="-2"/>
        </w:rPr>
        <w:t>Elezit</w:t>
      </w:r>
    </w:p>
    <w:p>
      <w:pPr>
        <w:pStyle w:val="BodyText"/>
        <w:spacing w:before="2"/>
        <w:rPr>
          <w:sz w:val="22"/>
        </w:rPr>
      </w:pPr>
    </w:p>
    <w:p>
      <w:pPr>
        <w:pStyle w:val="BodyText"/>
        <w:spacing w:line="288" w:lineRule="auto"/>
        <w:ind w:left="740" w:right="1435"/>
      </w:pPr>
      <w:r>
        <w:rPr/>
        <w:t>Shpërndarja</w:t>
      </w:r>
      <w:r>
        <w:rPr>
          <w:spacing w:val="-11"/>
        </w:rPr>
        <w:t> </w:t>
      </w:r>
      <w:r>
        <w:rPr/>
        <w:t>e</w:t>
      </w:r>
      <w:r>
        <w:rPr>
          <w:spacing w:val="-9"/>
        </w:rPr>
        <w:t> </w:t>
      </w:r>
      <w:r>
        <w:rPr/>
        <w:t>moshave</w:t>
      </w:r>
      <w:r>
        <w:rPr>
          <w:spacing w:val="-9"/>
        </w:rPr>
        <w:t> </w:t>
      </w:r>
      <w:r>
        <w:rPr/>
        <w:t>në</w:t>
      </w:r>
      <w:r>
        <w:rPr>
          <w:spacing w:val="-9"/>
        </w:rPr>
        <w:t> </w:t>
      </w:r>
      <w:r>
        <w:rPr/>
        <w:t>Hanin</w:t>
      </w:r>
      <w:r>
        <w:rPr>
          <w:spacing w:val="-9"/>
        </w:rPr>
        <w:t> </w:t>
      </w:r>
      <w:r>
        <w:rPr/>
        <w:t>e</w:t>
      </w:r>
      <w:r>
        <w:rPr>
          <w:spacing w:val="-9"/>
        </w:rPr>
        <w:t> </w:t>
      </w:r>
      <w:r>
        <w:rPr/>
        <w:t>Elezit</w:t>
      </w:r>
      <w:r>
        <w:rPr>
          <w:spacing w:val="39"/>
        </w:rPr>
        <w:t> </w:t>
      </w:r>
      <w:r>
        <w:rPr/>
        <w:t>është</w:t>
      </w:r>
      <w:r>
        <w:rPr>
          <w:spacing w:val="-10"/>
        </w:rPr>
        <w:t> </w:t>
      </w:r>
      <w:r>
        <w:rPr/>
        <w:t>si</w:t>
      </w:r>
      <w:r>
        <w:rPr>
          <w:spacing w:val="-10"/>
        </w:rPr>
        <w:t> </w:t>
      </w:r>
      <w:r>
        <w:rPr/>
        <w:t>në</w:t>
      </w:r>
      <w:r>
        <w:rPr>
          <w:spacing w:val="-9"/>
        </w:rPr>
        <w:t> </w:t>
      </w:r>
      <w:r>
        <w:rPr/>
        <w:t>vijim,</w:t>
      </w:r>
      <w:r>
        <w:rPr>
          <w:spacing w:val="-9"/>
        </w:rPr>
        <w:t> </w:t>
      </w:r>
      <w:r>
        <w:rPr/>
        <w:t>rreth</w:t>
      </w:r>
      <w:r>
        <w:rPr>
          <w:spacing w:val="-9"/>
        </w:rPr>
        <w:t> </w:t>
      </w:r>
      <w:r>
        <w:rPr/>
        <w:t>29%</w:t>
      </w:r>
      <w:r>
        <w:rPr>
          <w:spacing w:val="-9"/>
        </w:rPr>
        <w:t> </w:t>
      </w:r>
      <w:r>
        <w:rPr/>
        <w:t>e</w:t>
      </w:r>
      <w:r>
        <w:rPr>
          <w:spacing w:val="-9"/>
        </w:rPr>
        <w:t> </w:t>
      </w:r>
      <w:r>
        <w:rPr/>
        <w:t>popullsisë</w:t>
      </w:r>
      <w:r>
        <w:rPr>
          <w:spacing w:val="-10"/>
        </w:rPr>
        <w:t> </w:t>
      </w:r>
      <w:r>
        <w:rPr/>
        <w:t>është</w:t>
      </w:r>
      <w:r>
        <w:rPr>
          <w:spacing w:val="-10"/>
        </w:rPr>
        <w:t> </w:t>
      </w:r>
      <w:r>
        <w:rPr/>
        <w:t>0-14</w:t>
      </w:r>
      <w:r>
        <w:rPr>
          <w:spacing w:val="-10"/>
        </w:rPr>
        <w:t> </w:t>
      </w:r>
      <w:r>
        <w:rPr/>
        <w:t>vjeç, 10%</w:t>
      </w:r>
      <w:r>
        <w:rPr>
          <w:spacing w:val="14"/>
        </w:rPr>
        <w:t> </w:t>
      </w:r>
      <w:r>
        <w:rPr/>
        <w:t>janë</w:t>
      </w:r>
      <w:r>
        <w:rPr>
          <w:spacing w:val="14"/>
        </w:rPr>
        <w:t> </w:t>
      </w:r>
      <w:r>
        <w:rPr/>
        <w:t>15-19,</w:t>
      </w:r>
      <w:r>
        <w:rPr>
          <w:spacing w:val="14"/>
        </w:rPr>
        <w:t> </w:t>
      </w:r>
      <w:r>
        <w:rPr/>
        <w:t>9%</w:t>
      </w:r>
      <w:r>
        <w:rPr>
          <w:spacing w:val="13"/>
        </w:rPr>
        <w:t> </w:t>
      </w:r>
      <w:r>
        <w:rPr/>
        <w:t>janë</w:t>
      </w:r>
      <w:r>
        <w:rPr>
          <w:spacing w:val="14"/>
        </w:rPr>
        <w:t> </w:t>
      </w:r>
      <w:r>
        <w:rPr/>
        <w:t>të</w:t>
      </w:r>
      <w:r>
        <w:rPr>
          <w:spacing w:val="13"/>
        </w:rPr>
        <w:t> </w:t>
      </w:r>
      <w:r>
        <w:rPr/>
        <w:t>moshës</w:t>
      </w:r>
      <w:r>
        <w:rPr>
          <w:spacing w:val="15"/>
        </w:rPr>
        <w:t> </w:t>
      </w:r>
      <w:r>
        <w:rPr/>
        <w:t>20-24,</w:t>
      </w:r>
      <w:r>
        <w:rPr>
          <w:spacing w:val="14"/>
        </w:rPr>
        <w:t> </w:t>
      </w:r>
      <w:r>
        <w:rPr/>
        <w:t>8%</w:t>
      </w:r>
      <w:r>
        <w:rPr>
          <w:spacing w:val="13"/>
        </w:rPr>
        <w:t> </w:t>
      </w:r>
      <w:r>
        <w:rPr/>
        <w:t>të</w:t>
      </w:r>
      <w:r>
        <w:rPr>
          <w:spacing w:val="15"/>
        </w:rPr>
        <w:t> </w:t>
      </w:r>
      <w:r>
        <w:rPr/>
        <w:t>moshës</w:t>
      </w:r>
      <w:r>
        <w:rPr>
          <w:spacing w:val="13"/>
        </w:rPr>
        <w:t> </w:t>
      </w:r>
      <w:r>
        <w:rPr/>
        <w:t>25-29,</w:t>
      </w:r>
      <w:r>
        <w:rPr>
          <w:spacing w:val="14"/>
        </w:rPr>
        <w:t> </w:t>
      </w:r>
      <w:r>
        <w:rPr/>
        <w:t>8%</w:t>
      </w:r>
      <w:r>
        <w:rPr>
          <w:spacing w:val="14"/>
        </w:rPr>
        <w:t> </w:t>
      </w:r>
      <w:r>
        <w:rPr/>
        <w:t>janë</w:t>
      </w:r>
      <w:r>
        <w:rPr>
          <w:spacing w:val="14"/>
        </w:rPr>
        <w:t> </w:t>
      </w:r>
      <w:r>
        <w:rPr/>
        <w:t>të</w:t>
      </w:r>
      <w:r>
        <w:rPr>
          <w:spacing w:val="13"/>
        </w:rPr>
        <w:t> </w:t>
      </w:r>
      <w:r>
        <w:rPr/>
        <w:t>moshës</w:t>
      </w:r>
      <w:r>
        <w:rPr>
          <w:spacing w:val="14"/>
        </w:rPr>
        <w:t> </w:t>
      </w:r>
      <w:r>
        <w:rPr/>
        <w:t>30-34,</w:t>
      </w:r>
      <w:r>
        <w:rPr>
          <w:spacing w:val="14"/>
        </w:rPr>
        <w:t> </w:t>
      </w:r>
      <w:r>
        <w:rPr>
          <w:spacing w:val="-5"/>
        </w:rPr>
        <w:t>7%</w:t>
      </w:r>
    </w:p>
    <w:p>
      <w:pPr>
        <w:pStyle w:val="BodyText"/>
        <w:spacing w:line="288" w:lineRule="auto"/>
        <w:ind w:left="740" w:right="1435"/>
      </w:pPr>
      <w:r>
        <w:rPr/>
        <w:t>janë</w:t>
      </w:r>
      <w:r>
        <w:rPr>
          <w:spacing w:val="17"/>
        </w:rPr>
        <w:t> </w:t>
      </w:r>
      <w:r>
        <w:rPr/>
        <w:t>35-39, 7%</w:t>
      </w:r>
      <w:r>
        <w:rPr>
          <w:spacing w:val="17"/>
        </w:rPr>
        <w:t> </w:t>
      </w:r>
      <w:r>
        <w:rPr/>
        <w:t>janë</w:t>
      </w:r>
      <w:r>
        <w:rPr>
          <w:spacing w:val="17"/>
        </w:rPr>
        <w:t> </w:t>
      </w:r>
      <w:r>
        <w:rPr/>
        <w:t>40-44, 6%</w:t>
      </w:r>
      <w:r>
        <w:rPr>
          <w:spacing w:val="17"/>
        </w:rPr>
        <w:t> </w:t>
      </w:r>
      <w:r>
        <w:rPr/>
        <w:t>janë</w:t>
      </w:r>
      <w:r>
        <w:rPr>
          <w:spacing w:val="17"/>
        </w:rPr>
        <w:t> </w:t>
      </w:r>
      <w:r>
        <w:rPr/>
        <w:t>45-49, 5%</w:t>
      </w:r>
      <w:r>
        <w:rPr>
          <w:spacing w:val="19"/>
        </w:rPr>
        <w:t> </w:t>
      </w:r>
      <w:r>
        <w:rPr/>
        <w:t>janë</w:t>
      </w:r>
      <w:r>
        <w:rPr>
          <w:spacing w:val="17"/>
        </w:rPr>
        <w:t> </w:t>
      </w:r>
      <w:r>
        <w:rPr/>
        <w:t>50-54, 3%</w:t>
      </w:r>
      <w:r>
        <w:rPr>
          <w:spacing w:val="17"/>
        </w:rPr>
        <w:t> </w:t>
      </w:r>
      <w:r>
        <w:rPr/>
        <w:t>janë</w:t>
      </w:r>
      <w:r>
        <w:rPr>
          <w:spacing w:val="17"/>
        </w:rPr>
        <w:t> </w:t>
      </w:r>
      <w:r>
        <w:rPr/>
        <w:t>55-59, 3%</w:t>
      </w:r>
      <w:r>
        <w:rPr>
          <w:spacing w:val="17"/>
        </w:rPr>
        <w:t> </w:t>
      </w:r>
      <w:r>
        <w:rPr/>
        <w:t>janë</w:t>
      </w:r>
      <w:r>
        <w:rPr>
          <w:spacing w:val="17"/>
        </w:rPr>
        <w:t> </w:t>
      </w:r>
      <w:r>
        <w:rPr/>
        <w:t>60-64 dhe vetëm rreth 5% janë të moshës mbi 65 vjeç. Me poshtë i kemi paraqitur edhe me anë të grafikut</w:t>
      </w:r>
    </w:p>
    <w:p>
      <w:pPr>
        <w:spacing w:after="0" w:line="288" w:lineRule="auto"/>
        <w:sectPr>
          <w:pgSz w:w="12240" w:h="15840"/>
          <w:pgMar w:header="0" w:footer="990" w:top="1440" w:bottom="1180" w:left="700" w:right="0"/>
        </w:sectPr>
      </w:pPr>
    </w:p>
    <w:p>
      <w:pPr>
        <w:pStyle w:val="BodyText"/>
        <w:ind w:left="732"/>
        <w:rPr>
          <w:sz w:val="20"/>
        </w:rPr>
      </w:pPr>
      <w:r>
        <w:rPr>
          <w:sz w:val="20"/>
        </w:rPr>
        <w:pict>
          <v:group style="width:468.75pt;height:238.8pt;mso-position-horizontal-relative:char;mso-position-vertical-relative:line" id="docshapegroup103" coordorigin="0,0" coordsize="9375,4776">
            <v:shape style="position:absolute;left:825;top:1141;width:8072;height:3131" type="#_x0000_t75" id="docshape104" stroked="false">
              <v:imagedata r:id="rId38" o:title=""/>
            </v:shape>
            <v:rect style="position:absolute;left:7;top:7;width:9360;height:4761" id="docshape105" filled="false" stroked="true" strokeweight=".75pt" strokecolor="#d9d9d9">
              <v:stroke dashstyle="solid"/>
            </v:rect>
            <v:shape style="position:absolute;left:1555;top:214;width:6280;height:280" type="#_x0000_t202" id="docshape106" filled="false" stroked="false">
              <v:textbox inset="0,0,0,0">
                <w:txbxContent>
                  <w:p>
                    <w:pPr>
                      <w:spacing w:line="280" w:lineRule="exact" w:before="0"/>
                      <w:ind w:left="0" w:right="0" w:firstLine="0"/>
                      <w:jc w:val="left"/>
                      <w:rPr>
                        <w:rFonts w:ascii="Calibri" w:hAnsi="Calibri"/>
                        <w:sz w:val="28"/>
                      </w:rPr>
                    </w:pPr>
                    <w:r>
                      <w:rPr>
                        <w:rFonts w:ascii="Calibri" w:hAnsi="Calibri"/>
                        <w:color w:val="7E7E7E"/>
                        <w:sz w:val="28"/>
                      </w:rPr>
                      <w:t>Shpërndarja</w:t>
                    </w:r>
                    <w:r>
                      <w:rPr>
                        <w:rFonts w:ascii="Calibri" w:hAnsi="Calibri"/>
                        <w:color w:val="7E7E7E"/>
                        <w:spacing w:val="14"/>
                        <w:sz w:val="28"/>
                      </w:rPr>
                      <w:t> </w:t>
                    </w:r>
                    <w:r>
                      <w:rPr>
                        <w:rFonts w:ascii="Calibri" w:hAnsi="Calibri"/>
                        <w:color w:val="7E7E7E"/>
                        <w:sz w:val="28"/>
                      </w:rPr>
                      <w:t>e</w:t>
                    </w:r>
                    <w:r>
                      <w:rPr>
                        <w:rFonts w:ascii="Calibri" w:hAnsi="Calibri"/>
                        <w:color w:val="7E7E7E"/>
                        <w:spacing w:val="8"/>
                        <w:sz w:val="28"/>
                      </w:rPr>
                      <w:t> </w:t>
                    </w:r>
                    <w:r>
                      <w:rPr>
                        <w:rFonts w:ascii="Calibri" w:hAnsi="Calibri"/>
                        <w:color w:val="7E7E7E"/>
                        <w:sz w:val="28"/>
                      </w:rPr>
                      <w:t>moshave</w:t>
                    </w:r>
                    <w:r>
                      <w:rPr>
                        <w:rFonts w:ascii="Calibri" w:hAnsi="Calibri"/>
                        <w:color w:val="7E7E7E"/>
                        <w:spacing w:val="13"/>
                        <w:sz w:val="28"/>
                      </w:rPr>
                      <w:t> </w:t>
                    </w:r>
                    <w:r>
                      <w:rPr>
                        <w:rFonts w:ascii="Calibri" w:hAnsi="Calibri"/>
                        <w:color w:val="7E7E7E"/>
                        <w:sz w:val="28"/>
                      </w:rPr>
                      <w:t>në</w:t>
                    </w:r>
                    <w:r>
                      <w:rPr>
                        <w:rFonts w:ascii="Calibri" w:hAnsi="Calibri"/>
                        <w:color w:val="7E7E7E"/>
                        <w:spacing w:val="16"/>
                        <w:sz w:val="28"/>
                      </w:rPr>
                      <w:t> </w:t>
                    </w:r>
                    <w:r>
                      <w:rPr>
                        <w:rFonts w:ascii="Calibri" w:hAnsi="Calibri"/>
                        <w:color w:val="7E7E7E"/>
                        <w:sz w:val="28"/>
                      </w:rPr>
                      <w:t>komunën</w:t>
                    </w:r>
                    <w:r>
                      <w:rPr>
                        <w:rFonts w:ascii="Calibri" w:hAnsi="Calibri"/>
                        <w:color w:val="7E7E7E"/>
                        <w:spacing w:val="13"/>
                        <w:sz w:val="28"/>
                      </w:rPr>
                      <w:t> </w:t>
                    </w:r>
                    <w:r>
                      <w:rPr>
                        <w:rFonts w:ascii="Calibri" w:hAnsi="Calibri"/>
                        <w:color w:val="7E7E7E"/>
                        <w:sz w:val="28"/>
                      </w:rPr>
                      <w:t>e</w:t>
                    </w:r>
                    <w:r>
                      <w:rPr>
                        <w:rFonts w:ascii="Calibri" w:hAnsi="Calibri"/>
                        <w:color w:val="7E7E7E"/>
                        <w:spacing w:val="12"/>
                        <w:sz w:val="28"/>
                      </w:rPr>
                      <w:t> </w:t>
                    </w:r>
                    <w:r>
                      <w:rPr>
                        <w:rFonts w:ascii="Calibri" w:hAnsi="Calibri"/>
                        <w:color w:val="7E7E7E"/>
                        <w:sz w:val="28"/>
                      </w:rPr>
                      <w:t>Hanit</w:t>
                    </w:r>
                    <w:r>
                      <w:rPr>
                        <w:rFonts w:ascii="Calibri" w:hAnsi="Calibri"/>
                        <w:color w:val="7E7E7E"/>
                        <w:spacing w:val="11"/>
                        <w:sz w:val="28"/>
                      </w:rPr>
                      <w:t> </w:t>
                    </w:r>
                    <w:r>
                      <w:rPr>
                        <w:rFonts w:ascii="Calibri" w:hAnsi="Calibri"/>
                        <w:color w:val="7E7E7E"/>
                        <w:sz w:val="28"/>
                      </w:rPr>
                      <w:t>të</w:t>
                    </w:r>
                    <w:r>
                      <w:rPr>
                        <w:rFonts w:ascii="Calibri" w:hAnsi="Calibri"/>
                        <w:color w:val="7E7E7E"/>
                        <w:spacing w:val="78"/>
                        <w:sz w:val="28"/>
                      </w:rPr>
                      <w:t> </w:t>
                    </w:r>
                    <w:r>
                      <w:rPr>
                        <w:rFonts w:ascii="Calibri" w:hAnsi="Calibri"/>
                        <w:color w:val="7E7E7E"/>
                        <w:spacing w:val="-2"/>
                        <w:sz w:val="28"/>
                      </w:rPr>
                      <w:t>Elezit</w:t>
                    </w:r>
                  </w:p>
                </w:txbxContent>
              </v:textbox>
              <w10:wrap type="none"/>
            </v:shape>
            <v:shape style="position:absolute;left:1080;top:1094;width:332;height:180" type="#_x0000_t202" id="docshape107"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29%</w:t>
                    </w:r>
                  </w:p>
                </w:txbxContent>
              </v:textbox>
              <w10:wrap type="none"/>
            </v:shape>
            <v:shape style="position:absolute;left:363;top:1246;width:332;height:1654" type="#_x0000_t202" id="docshape108" filled="false" stroked="false">
              <v:textbox inset="0,0,0,0">
                <w:txbxContent>
                  <w:p>
                    <w:pPr>
                      <w:spacing w:line="183" w:lineRule="exact" w:before="0"/>
                      <w:ind w:left="0" w:right="0" w:firstLine="0"/>
                      <w:jc w:val="left"/>
                      <w:rPr>
                        <w:rFonts w:ascii="Calibri"/>
                        <w:sz w:val="18"/>
                      </w:rPr>
                    </w:pPr>
                    <w:r>
                      <w:rPr>
                        <w:rFonts w:ascii="Calibri"/>
                        <w:color w:val="7E7E7E"/>
                        <w:spacing w:val="-5"/>
                        <w:sz w:val="18"/>
                      </w:rPr>
                      <w:t>30%</w:t>
                    </w:r>
                  </w:p>
                  <w:p>
                    <w:pPr>
                      <w:spacing w:line="240" w:lineRule="auto" w:before="2"/>
                      <w:rPr>
                        <w:rFonts w:ascii="Calibri"/>
                        <w:sz w:val="22"/>
                      </w:rPr>
                    </w:pPr>
                  </w:p>
                  <w:p>
                    <w:pPr>
                      <w:spacing w:before="1"/>
                      <w:ind w:left="0" w:right="0" w:firstLine="0"/>
                      <w:jc w:val="left"/>
                      <w:rPr>
                        <w:rFonts w:ascii="Calibri"/>
                        <w:sz w:val="18"/>
                      </w:rPr>
                    </w:pPr>
                    <w:r>
                      <w:rPr>
                        <w:rFonts w:ascii="Calibri"/>
                        <w:color w:val="7E7E7E"/>
                        <w:spacing w:val="-5"/>
                        <w:sz w:val="18"/>
                      </w:rPr>
                      <w:t>25%</w:t>
                    </w:r>
                  </w:p>
                  <w:p>
                    <w:pPr>
                      <w:spacing w:line="240" w:lineRule="auto" w:before="2"/>
                      <w:rPr>
                        <w:rFonts w:ascii="Calibri"/>
                        <w:sz w:val="22"/>
                      </w:rPr>
                    </w:pPr>
                  </w:p>
                  <w:p>
                    <w:pPr>
                      <w:spacing w:before="1"/>
                      <w:ind w:left="0" w:right="0" w:firstLine="0"/>
                      <w:jc w:val="left"/>
                      <w:rPr>
                        <w:rFonts w:ascii="Calibri"/>
                        <w:sz w:val="18"/>
                      </w:rPr>
                    </w:pPr>
                    <w:r>
                      <w:rPr>
                        <w:rFonts w:ascii="Calibri"/>
                        <w:color w:val="7E7E7E"/>
                        <w:spacing w:val="-5"/>
                        <w:sz w:val="18"/>
                      </w:rPr>
                      <w:t>20%</w:t>
                    </w:r>
                  </w:p>
                  <w:p>
                    <w:pPr>
                      <w:spacing w:line="240" w:lineRule="auto" w:before="2"/>
                      <w:rPr>
                        <w:rFonts w:ascii="Calibri"/>
                        <w:sz w:val="22"/>
                      </w:rPr>
                    </w:pPr>
                  </w:p>
                  <w:p>
                    <w:pPr>
                      <w:spacing w:line="216" w:lineRule="exact" w:before="0"/>
                      <w:ind w:left="0" w:right="0" w:firstLine="0"/>
                      <w:jc w:val="left"/>
                      <w:rPr>
                        <w:rFonts w:ascii="Calibri"/>
                        <w:sz w:val="18"/>
                      </w:rPr>
                    </w:pPr>
                    <w:r>
                      <w:rPr>
                        <w:rFonts w:ascii="Calibri"/>
                        <w:color w:val="7E7E7E"/>
                        <w:spacing w:val="-5"/>
                        <w:sz w:val="18"/>
                      </w:rPr>
                      <w:t>15%</w:t>
                    </w:r>
                  </w:p>
                </w:txbxContent>
              </v:textbox>
              <w10:wrap type="none"/>
            </v:shape>
            <v:shape style="position:absolute;left:1732;top:2960;width:332;height:180" type="#_x0000_t202" id="docshape109"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10%</w:t>
                    </w:r>
                  </w:p>
                </w:txbxContent>
              </v:textbox>
              <w10:wrap type="none"/>
            </v:shape>
            <v:shape style="position:absolute;left:2429;top:3059;width:240;height:180" type="#_x0000_t202" id="docshape110"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9%</w:t>
                    </w:r>
                  </w:p>
                </w:txbxContent>
              </v:textbox>
              <w10:wrap type="none"/>
            </v:shape>
            <v:shape style="position:absolute;left:363;top:3211;width:332;height:180" type="#_x0000_t202" id="docshape111"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10%</w:t>
                    </w:r>
                  </w:p>
                </w:txbxContent>
              </v:textbox>
              <w10:wrap type="none"/>
            </v:shape>
            <v:shape style="position:absolute;left:3082;top:3157;width:892;height:180" type="#_x0000_t202" id="docshape112" filled="false" stroked="false">
              <v:textbox inset="0,0,0,0">
                <w:txbxContent>
                  <w:p>
                    <w:pPr>
                      <w:tabs>
                        <w:tab w:pos="651" w:val="left" w:leader="none"/>
                      </w:tabs>
                      <w:spacing w:line="180" w:lineRule="exact" w:before="0"/>
                      <w:ind w:left="0" w:right="0" w:firstLine="0"/>
                      <w:jc w:val="left"/>
                      <w:rPr>
                        <w:rFonts w:ascii="Calibri"/>
                        <w:sz w:val="18"/>
                      </w:rPr>
                    </w:pPr>
                    <w:r>
                      <w:rPr>
                        <w:rFonts w:ascii="Calibri"/>
                        <w:color w:val="7E7E7E"/>
                        <w:spacing w:val="-5"/>
                        <w:sz w:val="18"/>
                      </w:rPr>
                      <w:t>8%</w:t>
                    </w:r>
                    <w:r>
                      <w:rPr>
                        <w:rFonts w:ascii="Calibri"/>
                        <w:color w:val="7E7E7E"/>
                        <w:sz w:val="18"/>
                      </w:rPr>
                      <w:tab/>
                    </w:r>
                    <w:r>
                      <w:rPr>
                        <w:rFonts w:ascii="Calibri"/>
                        <w:color w:val="7E7E7E"/>
                        <w:spacing w:val="-5"/>
                        <w:sz w:val="18"/>
                      </w:rPr>
                      <w:t>8%</w:t>
                    </w:r>
                  </w:p>
                </w:txbxContent>
              </v:textbox>
              <w10:wrap type="none"/>
            </v:shape>
            <v:shape style="position:absolute;left:4386;top:3255;width:892;height:180" type="#_x0000_t202" id="docshape113" filled="false" stroked="false">
              <v:textbox inset="0,0,0,0">
                <w:txbxContent>
                  <w:p>
                    <w:pPr>
                      <w:tabs>
                        <w:tab w:pos="651" w:val="left" w:leader="none"/>
                      </w:tabs>
                      <w:spacing w:line="180" w:lineRule="exact" w:before="0"/>
                      <w:ind w:left="0" w:right="0" w:firstLine="0"/>
                      <w:jc w:val="left"/>
                      <w:rPr>
                        <w:rFonts w:ascii="Calibri"/>
                        <w:sz w:val="18"/>
                      </w:rPr>
                    </w:pPr>
                    <w:r>
                      <w:rPr>
                        <w:rFonts w:ascii="Calibri"/>
                        <w:color w:val="7E7E7E"/>
                        <w:spacing w:val="-5"/>
                        <w:sz w:val="18"/>
                      </w:rPr>
                      <w:t>7%</w:t>
                    </w:r>
                    <w:r>
                      <w:rPr>
                        <w:rFonts w:ascii="Calibri"/>
                        <w:color w:val="7E7E7E"/>
                        <w:sz w:val="18"/>
                      </w:rPr>
                      <w:tab/>
                    </w:r>
                    <w:r>
                      <w:rPr>
                        <w:rFonts w:ascii="Calibri"/>
                        <w:color w:val="7E7E7E"/>
                        <w:spacing w:val="-5"/>
                        <w:sz w:val="18"/>
                      </w:rPr>
                      <w:t>7%</w:t>
                    </w:r>
                  </w:p>
                </w:txbxContent>
              </v:textbox>
              <w10:wrap type="none"/>
            </v:shape>
            <v:shape style="position:absolute;left:5690;top:3354;width:240;height:180" type="#_x0000_t202" id="docshape114"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6%</w:t>
                    </w:r>
                  </w:p>
                </w:txbxContent>
              </v:textbox>
              <w10:wrap type="none"/>
            </v:shape>
            <v:shape style="position:absolute;left:6342;top:3452;width:240;height:180" type="#_x0000_t202" id="docshape115"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5%</w:t>
                    </w:r>
                  </w:p>
                </w:txbxContent>
              </v:textbox>
              <w10:wrap type="none"/>
            </v:shape>
            <v:shape style="position:absolute;left:8298;top:3452;width:240;height:180" type="#_x0000_t202" id="docshape116"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5%</w:t>
                    </w:r>
                  </w:p>
                </w:txbxContent>
              </v:textbox>
              <w10:wrap type="none"/>
            </v:shape>
            <v:shape style="position:absolute;left:455;top:3702;width:240;height:180" type="#_x0000_t202" id="docshape117"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5%</w:t>
                    </w:r>
                  </w:p>
                </w:txbxContent>
              </v:textbox>
              <w10:wrap type="none"/>
            </v:shape>
            <v:shape style="position:absolute;left:6994;top:3648;width:892;height:180" type="#_x0000_t202" id="docshape118" filled="false" stroked="false">
              <v:textbox inset="0,0,0,0">
                <w:txbxContent>
                  <w:p>
                    <w:pPr>
                      <w:tabs>
                        <w:tab w:pos="651" w:val="left" w:leader="none"/>
                      </w:tabs>
                      <w:spacing w:line="180" w:lineRule="exact" w:before="0"/>
                      <w:ind w:left="0" w:right="0" w:firstLine="0"/>
                      <w:jc w:val="left"/>
                      <w:rPr>
                        <w:rFonts w:ascii="Calibri"/>
                        <w:sz w:val="18"/>
                      </w:rPr>
                    </w:pPr>
                    <w:r>
                      <w:rPr>
                        <w:rFonts w:ascii="Calibri"/>
                        <w:color w:val="7E7E7E"/>
                        <w:spacing w:val="-5"/>
                        <w:sz w:val="18"/>
                      </w:rPr>
                      <w:t>3%</w:t>
                    </w:r>
                    <w:r>
                      <w:rPr>
                        <w:rFonts w:ascii="Calibri"/>
                        <w:color w:val="7E7E7E"/>
                        <w:sz w:val="18"/>
                      </w:rPr>
                      <w:tab/>
                    </w:r>
                    <w:r>
                      <w:rPr>
                        <w:rFonts w:ascii="Calibri"/>
                        <w:color w:val="7E7E7E"/>
                        <w:spacing w:val="-5"/>
                        <w:sz w:val="18"/>
                      </w:rPr>
                      <w:t>3%</w:t>
                    </w:r>
                  </w:p>
                </w:txbxContent>
              </v:textbox>
              <w10:wrap type="none"/>
            </v:shape>
            <v:shape style="position:absolute;left:455;top:4194;width:240;height:180" type="#_x0000_t202" id="docshape119" filled="false" stroked="false">
              <v:textbox inset="0,0,0,0">
                <w:txbxContent>
                  <w:p>
                    <w:pPr>
                      <w:spacing w:line="180" w:lineRule="exact" w:before="0"/>
                      <w:ind w:left="0" w:right="0" w:firstLine="0"/>
                      <w:jc w:val="left"/>
                      <w:rPr>
                        <w:rFonts w:ascii="Calibri"/>
                        <w:sz w:val="18"/>
                      </w:rPr>
                    </w:pPr>
                    <w:r>
                      <w:rPr>
                        <w:rFonts w:ascii="Calibri"/>
                        <w:color w:val="7E7E7E"/>
                        <w:spacing w:val="-5"/>
                        <w:sz w:val="18"/>
                      </w:rPr>
                      <w:t>0%</w:t>
                    </w:r>
                  </w:p>
                </w:txbxContent>
              </v:textbox>
              <w10:wrap type="none"/>
            </v:shape>
            <v:shape style="position:absolute;left:1005;top:4419;width:7494;height:180" type="#_x0000_t202" id="docshape120" filled="false" stroked="false">
              <v:textbox inset="0,0,0,0">
                <w:txbxContent>
                  <w:p>
                    <w:pPr>
                      <w:tabs>
                        <w:tab w:pos="606" w:val="left" w:leader="none"/>
                        <w:tab w:pos="1258" w:val="left" w:leader="none"/>
                        <w:tab w:pos="1910" w:val="left" w:leader="none"/>
                        <w:tab w:pos="2562" w:val="left" w:leader="none"/>
                        <w:tab w:pos="3214" w:val="left" w:leader="none"/>
                        <w:tab w:pos="3866" w:val="left" w:leader="none"/>
                        <w:tab w:pos="4518" w:val="left" w:leader="none"/>
                        <w:tab w:pos="5170" w:val="left" w:leader="none"/>
                        <w:tab w:pos="5822" w:val="left" w:leader="none"/>
                        <w:tab w:pos="6475" w:val="left" w:leader="none"/>
                        <w:tab w:pos="7201" w:val="left" w:leader="none"/>
                      </w:tabs>
                      <w:spacing w:line="180" w:lineRule="exact" w:before="0"/>
                      <w:ind w:left="0" w:right="0" w:firstLine="0"/>
                      <w:jc w:val="left"/>
                      <w:rPr>
                        <w:rFonts w:ascii="Calibri"/>
                        <w:sz w:val="18"/>
                      </w:rPr>
                    </w:pPr>
                    <w:r>
                      <w:rPr>
                        <w:rFonts w:ascii="Calibri"/>
                        <w:color w:val="7E7E7E"/>
                        <w:spacing w:val="-2"/>
                        <w:sz w:val="18"/>
                      </w:rPr>
                      <w:t>0-</w:t>
                    </w:r>
                    <w:r>
                      <w:rPr>
                        <w:rFonts w:ascii="Calibri"/>
                        <w:color w:val="7E7E7E"/>
                        <w:spacing w:val="-5"/>
                        <w:sz w:val="18"/>
                      </w:rPr>
                      <w:t>14</w:t>
                    </w:r>
                    <w:r>
                      <w:rPr>
                        <w:rFonts w:ascii="Calibri"/>
                        <w:color w:val="7E7E7E"/>
                        <w:sz w:val="18"/>
                      </w:rPr>
                      <w:tab/>
                    </w:r>
                    <w:r>
                      <w:rPr>
                        <w:rFonts w:ascii="Calibri"/>
                        <w:color w:val="7E7E7E"/>
                        <w:spacing w:val="-2"/>
                        <w:sz w:val="18"/>
                      </w:rPr>
                      <w:t>15-</w:t>
                    </w:r>
                    <w:r>
                      <w:rPr>
                        <w:rFonts w:ascii="Calibri"/>
                        <w:color w:val="7E7E7E"/>
                        <w:spacing w:val="-5"/>
                        <w:sz w:val="18"/>
                      </w:rPr>
                      <w:t>19</w:t>
                    </w:r>
                    <w:r>
                      <w:rPr>
                        <w:rFonts w:ascii="Calibri"/>
                        <w:color w:val="7E7E7E"/>
                        <w:sz w:val="18"/>
                      </w:rPr>
                      <w:tab/>
                    </w:r>
                    <w:r>
                      <w:rPr>
                        <w:rFonts w:ascii="Calibri"/>
                        <w:color w:val="7E7E7E"/>
                        <w:spacing w:val="-2"/>
                        <w:sz w:val="18"/>
                      </w:rPr>
                      <w:t>20-</w:t>
                    </w:r>
                    <w:r>
                      <w:rPr>
                        <w:rFonts w:ascii="Calibri"/>
                        <w:color w:val="7E7E7E"/>
                        <w:spacing w:val="-5"/>
                        <w:sz w:val="18"/>
                      </w:rPr>
                      <w:t>24</w:t>
                    </w:r>
                    <w:r>
                      <w:rPr>
                        <w:rFonts w:ascii="Calibri"/>
                        <w:color w:val="7E7E7E"/>
                        <w:sz w:val="18"/>
                      </w:rPr>
                      <w:tab/>
                    </w:r>
                    <w:r>
                      <w:rPr>
                        <w:rFonts w:ascii="Calibri"/>
                        <w:color w:val="7E7E7E"/>
                        <w:spacing w:val="-2"/>
                        <w:sz w:val="18"/>
                      </w:rPr>
                      <w:t>25-</w:t>
                    </w:r>
                    <w:r>
                      <w:rPr>
                        <w:rFonts w:ascii="Calibri"/>
                        <w:color w:val="7E7E7E"/>
                        <w:spacing w:val="-5"/>
                        <w:sz w:val="18"/>
                      </w:rPr>
                      <w:t>29</w:t>
                    </w:r>
                    <w:r>
                      <w:rPr>
                        <w:rFonts w:ascii="Calibri"/>
                        <w:color w:val="7E7E7E"/>
                        <w:sz w:val="18"/>
                      </w:rPr>
                      <w:tab/>
                    </w:r>
                    <w:r>
                      <w:rPr>
                        <w:rFonts w:ascii="Calibri"/>
                        <w:color w:val="7E7E7E"/>
                        <w:spacing w:val="-2"/>
                        <w:sz w:val="18"/>
                      </w:rPr>
                      <w:t>30-</w:t>
                    </w:r>
                    <w:r>
                      <w:rPr>
                        <w:rFonts w:ascii="Calibri"/>
                        <w:color w:val="7E7E7E"/>
                        <w:spacing w:val="-5"/>
                        <w:sz w:val="18"/>
                      </w:rPr>
                      <w:t>34</w:t>
                    </w:r>
                    <w:r>
                      <w:rPr>
                        <w:rFonts w:ascii="Calibri"/>
                        <w:color w:val="7E7E7E"/>
                        <w:sz w:val="18"/>
                      </w:rPr>
                      <w:tab/>
                    </w:r>
                    <w:r>
                      <w:rPr>
                        <w:rFonts w:ascii="Calibri"/>
                        <w:color w:val="7E7E7E"/>
                        <w:spacing w:val="-2"/>
                        <w:sz w:val="18"/>
                      </w:rPr>
                      <w:t>35-</w:t>
                    </w:r>
                    <w:r>
                      <w:rPr>
                        <w:rFonts w:ascii="Calibri"/>
                        <w:color w:val="7E7E7E"/>
                        <w:spacing w:val="-5"/>
                        <w:sz w:val="18"/>
                      </w:rPr>
                      <w:t>39</w:t>
                    </w:r>
                    <w:r>
                      <w:rPr>
                        <w:rFonts w:ascii="Calibri"/>
                        <w:color w:val="7E7E7E"/>
                        <w:sz w:val="18"/>
                      </w:rPr>
                      <w:tab/>
                    </w:r>
                    <w:r>
                      <w:rPr>
                        <w:rFonts w:ascii="Calibri"/>
                        <w:color w:val="7E7E7E"/>
                        <w:spacing w:val="-2"/>
                        <w:sz w:val="18"/>
                      </w:rPr>
                      <w:t>40-</w:t>
                    </w:r>
                    <w:r>
                      <w:rPr>
                        <w:rFonts w:ascii="Calibri"/>
                        <w:color w:val="7E7E7E"/>
                        <w:spacing w:val="-5"/>
                        <w:sz w:val="18"/>
                      </w:rPr>
                      <w:t>44</w:t>
                    </w:r>
                    <w:r>
                      <w:rPr>
                        <w:rFonts w:ascii="Calibri"/>
                        <w:color w:val="7E7E7E"/>
                        <w:sz w:val="18"/>
                      </w:rPr>
                      <w:tab/>
                    </w:r>
                    <w:r>
                      <w:rPr>
                        <w:rFonts w:ascii="Calibri"/>
                        <w:color w:val="7E7E7E"/>
                        <w:spacing w:val="-2"/>
                        <w:sz w:val="18"/>
                      </w:rPr>
                      <w:t>45-</w:t>
                    </w:r>
                    <w:r>
                      <w:rPr>
                        <w:rFonts w:ascii="Calibri"/>
                        <w:color w:val="7E7E7E"/>
                        <w:spacing w:val="-5"/>
                        <w:sz w:val="18"/>
                      </w:rPr>
                      <w:t>49</w:t>
                    </w:r>
                    <w:r>
                      <w:rPr>
                        <w:rFonts w:ascii="Calibri"/>
                        <w:color w:val="7E7E7E"/>
                        <w:sz w:val="18"/>
                      </w:rPr>
                      <w:tab/>
                    </w:r>
                    <w:r>
                      <w:rPr>
                        <w:rFonts w:ascii="Calibri"/>
                        <w:color w:val="7E7E7E"/>
                        <w:spacing w:val="-2"/>
                        <w:sz w:val="18"/>
                      </w:rPr>
                      <w:t>50-</w:t>
                    </w:r>
                    <w:r>
                      <w:rPr>
                        <w:rFonts w:ascii="Calibri"/>
                        <w:color w:val="7E7E7E"/>
                        <w:spacing w:val="-5"/>
                        <w:sz w:val="18"/>
                      </w:rPr>
                      <w:t>54</w:t>
                    </w:r>
                    <w:r>
                      <w:rPr>
                        <w:rFonts w:ascii="Calibri"/>
                        <w:color w:val="7E7E7E"/>
                        <w:sz w:val="18"/>
                      </w:rPr>
                      <w:tab/>
                    </w:r>
                    <w:r>
                      <w:rPr>
                        <w:rFonts w:ascii="Calibri"/>
                        <w:color w:val="7E7E7E"/>
                        <w:spacing w:val="-2"/>
                        <w:sz w:val="18"/>
                      </w:rPr>
                      <w:t>55-</w:t>
                    </w:r>
                    <w:r>
                      <w:rPr>
                        <w:rFonts w:ascii="Calibri"/>
                        <w:color w:val="7E7E7E"/>
                        <w:spacing w:val="-5"/>
                        <w:sz w:val="18"/>
                      </w:rPr>
                      <w:t>59</w:t>
                    </w:r>
                    <w:r>
                      <w:rPr>
                        <w:rFonts w:ascii="Calibri"/>
                        <w:color w:val="7E7E7E"/>
                        <w:sz w:val="18"/>
                      </w:rPr>
                      <w:tab/>
                    </w:r>
                    <w:r>
                      <w:rPr>
                        <w:rFonts w:ascii="Calibri"/>
                        <w:color w:val="7E7E7E"/>
                        <w:spacing w:val="-2"/>
                        <w:sz w:val="18"/>
                      </w:rPr>
                      <w:t>60-</w:t>
                    </w:r>
                    <w:r>
                      <w:rPr>
                        <w:rFonts w:ascii="Calibri"/>
                        <w:color w:val="7E7E7E"/>
                        <w:spacing w:val="-5"/>
                        <w:sz w:val="18"/>
                      </w:rPr>
                      <w:t>64</w:t>
                    </w:r>
                    <w:r>
                      <w:rPr>
                        <w:rFonts w:ascii="Calibri"/>
                        <w:color w:val="7E7E7E"/>
                        <w:sz w:val="18"/>
                      </w:rPr>
                      <w:tab/>
                    </w:r>
                    <w:r>
                      <w:rPr>
                        <w:rFonts w:ascii="Calibri"/>
                        <w:color w:val="7E7E7E"/>
                        <w:spacing w:val="-5"/>
                        <w:sz w:val="18"/>
                      </w:rPr>
                      <w:t>65+</w:t>
                    </w:r>
                  </w:p>
                </w:txbxContent>
              </v:textbox>
              <w10:wrap type="none"/>
            </v:shape>
          </v:group>
        </w:pict>
      </w:r>
      <w:r>
        <w:rPr>
          <w:sz w:val="20"/>
        </w:rPr>
      </w:r>
    </w:p>
    <w:p>
      <w:pPr>
        <w:pStyle w:val="BodyText"/>
        <w:spacing w:before="13"/>
        <w:ind w:left="2311"/>
      </w:pPr>
      <w:r>
        <w:rPr>
          <w:b/>
        </w:rPr>
        <w:t>Grafiku</w:t>
      </w:r>
      <w:r>
        <w:rPr>
          <w:b/>
          <w:spacing w:val="-6"/>
        </w:rPr>
        <w:t> </w:t>
      </w:r>
      <w:r>
        <w:rPr>
          <w:b/>
        </w:rPr>
        <w:t>4</w:t>
      </w:r>
      <w:r>
        <w:rPr/>
        <w:t>:</w:t>
      </w:r>
      <w:r>
        <w:rPr>
          <w:spacing w:val="-6"/>
        </w:rPr>
        <w:t> </w:t>
      </w:r>
      <w:r>
        <w:rPr/>
        <w:t>Shpërndarja</w:t>
      </w:r>
      <w:r>
        <w:rPr>
          <w:spacing w:val="-7"/>
        </w:rPr>
        <w:t> </w:t>
      </w:r>
      <w:r>
        <w:rPr/>
        <w:t>e</w:t>
      </w:r>
      <w:r>
        <w:rPr>
          <w:spacing w:val="-6"/>
        </w:rPr>
        <w:t> </w:t>
      </w:r>
      <w:r>
        <w:rPr/>
        <w:t>moshave</w:t>
      </w:r>
      <w:r>
        <w:rPr>
          <w:spacing w:val="-5"/>
        </w:rPr>
        <w:t> </w:t>
      </w:r>
      <w:r>
        <w:rPr/>
        <w:t>në</w:t>
      </w:r>
      <w:r>
        <w:rPr>
          <w:spacing w:val="-5"/>
        </w:rPr>
        <w:t> </w:t>
      </w:r>
      <w:r>
        <w:rPr/>
        <w:t>komunën</w:t>
      </w:r>
      <w:r>
        <w:rPr>
          <w:spacing w:val="-6"/>
        </w:rPr>
        <w:t> </w:t>
      </w:r>
      <w:r>
        <w:rPr/>
        <w:t>e</w:t>
      </w:r>
      <w:r>
        <w:rPr>
          <w:spacing w:val="-6"/>
        </w:rPr>
        <w:t> </w:t>
      </w:r>
      <w:r>
        <w:rPr/>
        <w:t>Hani</w:t>
      </w:r>
      <w:r>
        <w:rPr>
          <w:spacing w:val="-5"/>
        </w:rPr>
        <w:t> </w:t>
      </w:r>
      <w:r>
        <w:rPr/>
        <w:t>të</w:t>
      </w:r>
      <w:r>
        <w:rPr>
          <w:spacing w:val="49"/>
        </w:rPr>
        <w:t> </w:t>
      </w:r>
      <w:r>
        <w:rPr>
          <w:spacing w:val="-2"/>
        </w:rPr>
        <w:t>Elezit</w:t>
      </w:r>
    </w:p>
    <w:p>
      <w:pPr>
        <w:pStyle w:val="BodyText"/>
        <w:spacing w:before="3"/>
        <w:rPr>
          <w:sz w:val="22"/>
        </w:rPr>
      </w:pPr>
    </w:p>
    <w:p>
      <w:pPr>
        <w:pStyle w:val="BodyText"/>
        <w:spacing w:line="288" w:lineRule="auto"/>
        <w:ind w:left="740" w:right="1439"/>
        <w:jc w:val="both"/>
      </w:pPr>
      <w:r>
        <w:rPr/>
        <w:t>Në Han të Elezit ka 1446 ekonomi familjare, rreth 11% ekonomive familjare kanë më shumë se 10 anëtarë të familjes, ndërsa rreth 22% preje tyre kanë 5 anëtarë për një familje. Madhësia mesatare e ekonomive familjare është 6.5 anëtarë. Migrimi i popullsisë është një nga sfidat e që ka</w:t>
      </w:r>
      <w:r>
        <w:rPr>
          <w:spacing w:val="-7"/>
        </w:rPr>
        <w:t> </w:t>
      </w:r>
      <w:r>
        <w:rPr/>
        <w:t>ndikim</w:t>
      </w:r>
      <w:r>
        <w:rPr>
          <w:spacing w:val="-6"/>
        </w:rPr>
        <w:t> </w:t>
      </w:r>
      <w:r>
        <w:rPr/>
        <w:t>në</w:t>
      </w:r>
      <w:r>
        <w:rPr>
          <w:spacing w:val="-7"/>
        </w:rPr>
        <w:t> </w:t>
      </w:r>
      <w:r>
        <w:rPr/>
        <w:t>çështjet</w:t>
      </w:r>
      <w:r>
        <w:rPr>
          <w:spacing w:val="-7"/>
        </w:rPr>
        <w:t> </w:t>
      </w:r>
      <w:r>
        <w:rPr/>
        <w:t>demografike,</w:t>
      </w:r>
      <w:r>
        <w:rPr>
          <w:spacing w:val="-8"/>
        </w:rPr>
        <w:t> </w:t>
      </w:r>
      <w:r>
        <w:rPr/>
        <w:t>kulturore,</w:t>
      </w:r>
      <w:r>
        <w:rPr>
          <w:spacing w:val="-8"/>
        </w:rPr>
        <w:t> </w:t>
      </w:r>
      <w:r>
        <w:rPr/>
        <w:t>ekonomike</w:t>
      </w:r>
      <w:r>
        <w:rPr>
          <w:spacing w:val="-8"/>
        </w:rPr>
        <w:t> </w:t>
      </w:r>
      <w:r>
        <w:rPr/>
        <w:t>dhe</w:t>
      </w:r>
      <w:r>
        <w:rPr>
          <w:spacing w:val="-8"/>
        </w:rPr>
        <w:t> </w:t>
      </w:r>
      <w:r>
        <w:rPr/>
        <w:t>politike.</w:t>
      </w:r>
      <w:r>
        <w:rPr>
          <w:spacing w:val="-7"/>
        </w:rPr>
        <w:t> </w:t>
      </w:r>
      <w:r>
        <w:rPr/>
        <w:t>Sipas</w:t>
      </w:r>
      <w:r>
        <w:rPr>
          <w:spacing w:val="-7"/>
        </w:rPr>
        <w:t> </w:t>
      </w:r>
      <w:r>
        <w:rPr/>
        <w:t>të</w:t>
      </w:r>
      <w:r>
        <w:rPr>
          <w:spacing w:val="-8"/>
        </w:rPr>
        <w:t> </w:t>
      </w:r>
      <w:r>
        <w:rPr/>
        <w:t>dhënave</w:t>
      </w:r>
      <w:r>
        <w:rPr>
          <w:spacing w:val="-7"/>
        </w:rPr>
        <w:t> </w:t>
      </w:r>
      <w:r>
        <w:rPr/>
        <w:t>në</w:t>
      </w:r>
      <w:r>
        <w:rPr>
          <w:spacing w:val="-7"/>
        </w:rPr>
        <w:t> </w:t>
      </w:r>
      <w:r>
        <w:rPr/>
        <w:t>Han</w:t>
      </w:r>
      <w:r>
        <w:rPr>
          <w:spacing w:val="-9"/>
        </w:rPr>
        <w:t> </w:t>
      </w:r>
      <w:r>
        <w:rPr/>
        <w:t>të Elezit ka një tendencë të migrimit nga zonat rurale ne zonën urbane. Gjithashtu ekziston një tendencë e migrimit jashtë vendit. Vlerësohet se rreth 12% e popullsisë së Hanit të Elezit, ka emigruar jashtë vendi jashtë Kosovës</w:t>
      </w:r>
      <w:r>
        <w:rPr>
          <w:vertAlign w:val="superscript"/>
        </w:rPr>
        <w:t>1</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rect style="position:absolute;margin-left:72pt;margin-top:14.571591pt;width:144.020pt;height:.66003pt;mso-position-horizontal-relative:page;mso-position-vertical-relative:paragraph;z-index:-15716864;mso-wrap-distance-left:0;mso-wrap-distance-right:0" id="docshape121"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w:t>
      </w:r>
      <w:r>
        <w:rPr>
          <w:rFonts w:ascii="Calibri" w:hAnsi="Calibri"/>
          <w:spacing w:val="-2"/>
          <w:sz w:val="20"/>
          <w:vertAlign w:val="baseline"/>
        </w:rPr>
        <w:t> </w:t>
      </w:r>
      <w:r>
        <w:rPr>
          <w:rFonts w:ascii="Calibri" w:hAnsi="Calibri"/>
          <w:sz w:val="20"/>
          <w:vertAlign w:val="baseline"/>
        </w:rPr>
        <w:t>Agjencia</w:t>
      </w:r>
      <w:r>
        <w:rPr>
          <w:rFonts w:ascii="Calibri" w:hAnsi="Calibri"/>
          <w:spacing w:val="-2"/>
          <w:sz w:val="20"/>
          <w:vertAlign w:val="baseline"/>
        </w:rPr>
        <w:t> </w:t>
      </w:r>
      <w:r>
        <w:rPr>
          <w:rFonts w:ascii="Calibri" w:hAnsi="Calibri"/>
          <w:sz w:val="20"/>
          <w:vertAlign w:val="baseline"/>
        </w:rPr>
        <w:t>e</w:t>
      </w:r>
      <w:r>
        <w:rPr>
          <w:rFonts w:ascii="Calibri" w:hAnsi="Calibri"/>
          <w:spacing w:val="-3"/>
          <w:sz w:val="20"/>
          <w:vertAlign w:val="baseline"/>
        </w:rPr>
        <w:t> </w:t>
      </w:r>
      <w:r>
        <w:rPr>
          <w:rFonts w:ascii="Calibri" w:hAnsi="Calibri"/>
          <w:sz w:val="20"/>
          <w:vertAlign w:val="baseline"/>
        </w:rPr>
        <w:t>Statistikave</w:t>
      </w:r>
      <w:r>
        <w:rPr>
          <w:rFonts w:ascii="Calibri" w:hAnsi="Calibri"/>
          <w:spacing w:val="-2"/>
          <w:sz w:val="20"/>
          <w:vertAlign w:val="baseline"/>
        </w:rPr>
        <w:t> </w:t>
      </w:r>
      <w:r>
        <w:rPr>
          <w:rFonts w:ascii="Calibri" w:hAnsi="Calibri"/>
          <w:sz w:val="20"/>
          <w:vertAlign w:val="baseline"/>
        </w:rPr>
        <w:t>të</w:t>
      </w:r>
      <w:r>
        <w:rPr>
          <w:rFonts w:ascii="Calibri" w:hAnsi="Calibri"/>
          <w:spacing w:val="-2"/>
          <w:sz w:val="20"/>
          <w:vertAlign w:val="baseline"/>
        </w:rPr>
        <w:t> </w:t>
      </w:r>
      <w:r>
        <w:rPr>
          <w:rFonts w:ascii="Calibri" w:hAnsi="Calibri"/>
          <w:sz w:val="20"/>
          <w:vertAlign w:val="baseline"/>
        </w:rPr>
        <w:t>Kosovës</w:t>
      </w:r>
      <w:r>
        <w:rPr>
          <w:rFonts w:ascii="Calibri" w:hAnsi="Calibri"/>
          <w:spacing w:val="-2"/>
          <w:sz w:val="20"/>
          <w:vertAlign w:val="baseline"/>
        </w:rPr>
        <w:t> (ASK)</w:t>
      </w:r>
    </w:p>
    <w:p>
      <w:pPr>
        <w:spacing w:after="0"/>
        <w:jc w:val="left"/>
        <w:rPr>
          <w:rFonts w:ascii="Calibri" w:hAnsi="Calibri"/>
          <w:sz w:val="20"/>
        </w:rPr>
        <w:sectPr>
          <w:pgSz w:w="12240" w:h="15840"/>
          <w:pgMar w:header="0" w:footer="990" w:top="1440" w:bottom="1180" w:left="700" w:right="0"/>
        </w:sectPr>
      </w:pPr>
    </w:p>
    <w:p>
      <w:pPr>
        <w:pStyle w:val="BodyText"/>
        <w:spacing w:before="9"/>
        <w:rPr>
          <w:rFonts w:ascii="Calibri"/>
          <w:sz w:val="19"/>
        </w:rPr>
      </w:pPr>
      <w:r>
        <w:rPr/>
        <w:pict>
          <v:shape style="position:absolute;margin-left:529.419983pt;margin-top:732.525024pt;width:10.7pt;height:10.5pt;mso-position-horizontal-relative:page;mso-position-vertical-relative:page;z-index:-19983872" type="#_x0000_t202" id="docshape122" filled="false" stroked="false">
            <v:textbox inset="0,0,0,0">
              <w:txbxContent>
                <w:p>
                  <w:pPr>
                    <w:spacing w:line="210" w:lineRule="exact" w:before="0"/>
                    <w:ind w:left="0" w:right="0" w:firstLine="0"/>
                    <w:jc w:val="left"/>
                    <w:rPr>
                      <w:rFonts w:ascii="Calibri"/>
                      <w:sz w:val="21"/>
                    </w:rPr>
                  </w:pPr>
                  <w:r>
                    <w:rPr>
                      <w:rFonts w:ascii="Calibri"/>
                      <w:spacing w:val="-5"/>
                      <w:sz w:val="21"/>
                    </w:rPr>
                    <w:t>18</w:t>
                  </w:r>
                </w:p>
              </w:txbxContent>
            </v:textbox>
            <w10:wrap type="none"/>
          </v:shape>
        </w:pict>
      </w:r>
      <w:r>
        <w:rPr/>
        <w:pict>
          <v:group style="position:absolute;margin-left:1.5pt;margin-top:0pt;width:610.5pt;height:789pt;mso-position-horizontal-relative:page;mso-position-vertical-relative:page;z-index:-19983360" id="docshapegroup123" coordorigin="30,0" coordsize="12210,15780">
            <v:rect style="position:absolute;left:30;top:0;width:12210;height:15780" id="docshape124" filled="true" fillcolor="#ffefe4" stroked="false">
              <v:fill type="solid"/>
            </v:rect>
            <v:shape style="position:absolute;left:1253;top:1559;width:10987;height:13089" id="docshape125" coordorigin="1254,1559" coordsize="10987,13089" path="m3290,11379l3284,11359,3272,11342,3251,11333,3236,11333,3217,11338,3195,11350,3170,11368,1778,12577,1745,12612,1721,12649,1706,12695,1702,12756,1702,14562,1708,14590,1724,14612,1748,14627,1778,14632,3213,14632,3243,14627,3267,14612,3283,14590,3289,14562,3289,11399,3290,11379xm5310,11616l5308,11590,5299,11566,5285,11548,5264,11539,5248,11541,5229,11549,5208,11563,5183,11585,4512,12205,4499,12210,4488,12211,4477,12210,4470,12205,3858,11639,3790,11595,3749,11598,3728,11628,3722,11662,3722,14578,3728,14605,3745,14627,3769,14642,3799,14648,5234,14648,5264,14642,5288,14627,5304,14605,5310,14578,5310,11616xm7289,9809l7284,9787,7271,9770,7251,9761,7235,9762,7216,9769,7194,9781,7170,9801,5777,11011,5744,11045,5720,11083,5706,11129,5701,11189,5701,14570,5707,14598,5723,14620,5747,14635,5777,14640,7212,14640,7242,14635,7266,14620,7282,14598,7288,14570,7288,9832,7289,9809xm7823,8351l7806,8336,7806,8312,7789,8297,7755,8297,6694,8514,6669,8514,6660,8522,6651,8535,6647,8549,6651,8563,6660,8576,6915,8809,4504,11011,4071,10616,3391,9995,3382,9991,3370,9989,3358,9991,3349,9995,1260,11903,1255,11911,1254,11922,1255,11933,1260,11942,1566,12221,1575,12225,1587,12226,1599,12225,1608,12221,3374,10616,4487,11631,4496,11636,4508,11637,4520,11636,4529,11631,5208,11011,7263,9134,7518,9367,7532,9376,7548,9379,7563,9376,7577,9367,7586,9359,7586,9344,7636,9134,7823,8351xm12240,1559l5729,1559,5729,3222,12240,3222,12240,1559xe" filled="true" fillcolor="#f9c297" stroked="false">
              <v:path arrowok="t"/>
              <v:fill type="solid"/>
            </v:shape>
            <w10:wrap type="none"/>
          </v:group>
        </w:pict>
      </w:r>
    </w:p>
    <w:p>
      <w:pPr>
        <w:spacing w:before="78"/>
        <w:ind w:left="6352" w:right="0" w:firstLine="0"/>
        <w:jc w:val="left"/>
        <w:rPr>
          <w:b/>
          <w:sz w:val="52"/>
        </w:rPr>
      </w:pPr>
      <w:r>
        <w:rPr>
          <w:b/>
          <w:sz w:val="52"/>
        </w:rPr>
        <w:t>Profili</w:t>
      </w:r>
      <w:r>
        <w:rPr>
          <w:b/>
          <w:spacing w:val="-16"/>
          <w:sz w:val="52"/>
        </w:rPr>
        <w:t> </w:t>
      </w:r>
      <w:r>
        <w:rPr>
          <w:b/>
          <w:spacing w:val="-2"/>
          <w:sz w:val="52"/>
        </w:rPr>
        <w:t>Ekonomik</w:t>
      </w:r>
    </w:p>
    <w:p>
      <w:pPr>
        <w:spacing w:after="0"/>
        <w:jc w:val="left"/>
        <w:rPr>
          <w:sz w:val="52"/>
        </w:rPr>
        <w:sectPr>
          <w:footerReference w:type="default" r:id="rId39"/>
          <w:pgSz w:w="12240" w:h="15840"/>
          <w:pgMar w:footer="0" w:header="0" w:top="1820" w:bottom="280" w:left="700" w:right="0"/>
        </w:sectPr>
      </w:pPr>
    </w:p>
    <w:p>
      <w:pPr>
        <w:pStyle w:val="Heading1"/>
        <w:numPr>
          <w:ilvl w:val="0"/>
          <w:numId w:val="4"/>
        </w:numPr>
        <w:tabs>
          <w:tab w:pos="2026" w:val="left" w:leader="none"/>
        </w:tabs>
        <w:spacing w:line="240" w:lineRule="auto" w:before="177" w:after="0"/>
        <w:ind w:left="2025" w:right="0" w:hanging="361"/>
        <w:jc w:val="left"/>
        <w:rPr>
          <w:color w:val="FFFFFF"/>
        </w:rPr>
      </w:pPr>
      <w:r>
        <w:rPr/>
        <w:pict>
          <v:group style="position:absolute;margin-left:-.5pt;margin-top:.3pt;width:612.25pt;height:52.3pt;mso-position-horizontal-relative:page;mso-position-vertical-relative:page;z-index:-19982336" id="docshapegroup127" coordorigin="-10,6" coordsize="12245,1046">
            <v:rect style="position:absolute;left:0;top:16;width:7067;height:1026" id="docshape128" filled="true" fillcolor="#eab9a4" stroked="false">
              <v:fill type="solid"/>
            </v:rect>
            <v:rect style="position:absolute;left:0;top:16;width:7067;height:1026" id="docshape129" filled="false" stroked="true" strokeweight="1.0pt" strokecolor="#eab9a4">
              <v:stroke dashstyle="solid"/>
            </v:rect>
            <v:rect style="position:absolute;left:7078;top:16;width:5147;height:547" id="docshape130" filled="true" fillcolor="#eab9a4" stroked="false">
              <v:fill type="solid"/>
            </v:rect>
            <v:rect style="position:absolute;left:7078;top:16;width:5147;height:547" id="docshape131" filled="false" stroked="true" strokeweight="1pt" strokecolor="#eab9a4">
              <v:stroke dashstyle="solid"/>
            </v:rect>
            <v:shape style="position:absolute;left:5650;top:28;width:2820;height:1013" id="docshape132" coordorigin="5651,28" coordsize="2820,1013" path="m8471,28l6766,28,5651,1040,7356,1040,8471,28xe" filled="true" fillcolor="#eab9a4" stroked="false">
              <v:path arrowok="t"/>
              <v:fill type="solid"/>
            </v:shape>
            <v:shape style="position:absolute;left:5650;top:28;width:2820;height:1013" id="docshape133" coordorigin="5651,28" coordsize="2820,1013" path="m5651,1040l6766,28,8471,28,7356,1040,5651,1040xe" filled="false" stroked="true" strokeweight="1pt" strokecolor="#eab9a4">
              <v:path arrowok="t"/>
              <v:stroke dashstyle="solid"/>
            </v:shape>
            <w10:wrap type="none"/>
          </v:group>
        </w:pict>
      </w:r>
      <w:r>
        <w:rPr>
          <w:color w:val="FFFFFF"/>
        </w:rPr>
        <w:t>Zhvillimi</w:t>
      </w:r>
      <w:r>
        <w:rPr>
          <w:color w:val="FFFFFF"/>
          <w:spacing w:val="-2"/>
        </w:rPr>
        <w:t> ekonomik</w:t>
      </w:r>
    </w:p>
    <w:p>
      <w:pPr>
        <w:pStyle w:val="BodyText"/>
        <w:rPr>
          <w:b/>
          <w:sz w:val="20"/>
        </w:rPr>
      </w:pPr>
    </w:p>
    <w:p>
      <w:pPr>
        <w:pStyle w:val="BodyText"/>
        <w:rPr>
          <w:b/>
          <w:sz w:val="20"/>
        </w:rPr>
      </w:pPr>
    </w:p>
    <w:p>
      <w:pPr>
        <w:pStyle w:val="BodyText"/>
        <w:rPr>
          <w:b/>
          <w:sz w:val="20"/>
        </w:rPr>
      </w:pPr>
    </w:p>
    <w:p>
      <w:pPr>
        <w:pStyle w:val="BodyText"/>
        <w:spacing w:line="288" w:lineRule="auto" w:before="205"/>
        <w:ind w:left="740" w:right="1435"/>
      </w:pPr>
      <w:r>
        <w:rPr/>
        <w:t>Peizazhi dhe organizimi hapësinor i Qytezës së Hanit të Elezit lë të nënkuptojë se industria e materialeve ndërtimore ende mbetet aktiviteti kryesor ekonomik në vend. Në këtë industri dominon prodhimi i çimentos si veprimtari e vetme në Kosovë e ndjekur nga prodhimi i rërës/ zhavorrit</w:t>
      </w:r>
      <w:r>
        <w:rPr>
          <w:spacing w:val="-2"/>
        </w:rPr>
        <w:t> </w:t>
      </w:r>
      <w:r>
        <w:rPr/>
        <w:t>(3</w:t>
      </w:r>
      <w:r>
        <w:rPr>
          <w:spacing w:val="-1"/>
        </w:rPr>
        <w:t> </w:t>
      </w:r>
      <w:r>
        <w:rPr/>
        <w:t>prodhues)</w:t>
      </w:r>
      <w:r>
        <w:rPr>
          <w:spacing w:val="-1"/>
        </w:rPr>
        <w:t> </w:t>
      </w:r>
      <w:r>
        <w:rPr/>
        <w:t>dhe</w:t>
      </w:r>
      <w:r>
        <w:rPr>
          <w:spacing w:val="-1"/>
        </w:rPr>
        <w:t> </w:t>
      </w:r>
      <w:r>
        <w:rPr/>
        <w:t>stiroporit</w:t>
      </w:r>
      <w:r>
        <w:rPr>
          <w:spacing w:val="-2"/>
        </w:rPr>
        <w:t> </w:t>
      </w:r>
      <w:r>
        <w:rPr/>
        <w:t>në</w:t>
      </w:r>
      <w:r>
        <w:rPr>
          <w:spacing w:val="-1"/>
        </w:rPr>
        <w:t> </w:t>
      </w:r>
      <w:r>
        <w:rPr/>
        <w:t>masa</w:t>
      </w:r>
      <w:r>
        <w:rPr>
          <w:spacing w:val="-2"/>
        </w:rPr>
        <w:t> </w:t>
      </w:r>
      <w:r>
        <w:rPr/>
        <w:t>më</w:t>
      </w:r>
      <w:r>
        <w:rPr>
          <w:spacing w:val="-1"/>
        </w:rPr>
        <w:t> </w:t>
      </w:r>
      <w:r>
        <w:rPr/>
        <w:t>të</w:t>
      </w:r>
      <w:r>
        <w:rPr>
          <w:spacing w:val="-1"/>
        </w:rPr>
        <w:t> </w:t>
      </w:r>
      <w:r>
        <w:rPr/>
        <w:t>vogla.</w:t>
      </w:r>
      <w:r>
        <w:rPr>
          <w:spacing w:val="-1"/>
        </w:rPr>
        <w:t> </w:t>
      </w:r>
      <w:r>
        <w:rPr/>
        <w:t>Kjo</w:t>
      </w:r>
      <w:r>
        <w:rPr>
          <w:spacing w:val="-1"/>
        </w:rPr>
        <w:t> </w:t>
      </w:r>
      <w:r>
        <w:rPr/>
        <w:t>industri</w:t>
      </w:r>
      <w:r>
        <w:rPr>
          <w:spacing w:val="-1"/>
        </w:rPr>
        <w:t> </w:t>
      </w:r>
      <w:r>
        <w:rPr/>
        <w:t>ka tërhequr</w:t>
      </w:r>
      <w:r>
        <w:rPr>
          <w:spacing w:val="-1"/>
        </w:rPr>
        <w:t> </w:t>
      </w:r>
      <w:r>
        <w:rPr/>
        <w:t>me</w:t>
      </w:r>
      <w:r>
        <w:rPr>
          <w:spacing w:val="-2"/>
        </w:rPr>
        <w:t> </w:t>
      </w:r>
      <w:r>
        <w:rPr/>
        <w:t>vete</w:t>
      </w:r>
      <w:r>
        <w:rPr>
          <w:spacing w:val="-1"/>
        </w:rPr>
        <w:t> </w:t>
      </w:r>
      <w:r>
        <w:rPr/>
        <w:t>edhe transportin</w:t>
      </w:r>
      <w:r>
        <w:rPr>
          <w:spacing w:val="-3"/>
        </w:rPr>
        <w:t> </w:t>
      </w:r>
      <w:r>
        <w:rPr/>
        <w:t>e</w:t>
      </w:r>
      <w:r>
        <w:rPr>
          <w:spacing w:val="-4"/>
        </w:rPr>
        <w:t> </w:t>
      </w:r>
      <w:r>
        <w:rPr/>
        <w:t>materialeve</w:t>
      </w:r>
      <w:r>
        <w:rPr>
          <w:spacing w:val="-3"/>
        </w:rPr>
        <w:t> </w:t>
      </w:r>
      <w:r>
        <w:rPr/>
        <w:t>ndërtimore</w:t>
      </w:r>
      <w:r>
        <w:rPr>
          <w:spacing w:val="-5"/>
        </w:rPr>
        <w:t> </w:t>
      </w:r>
      <w:r>
        <w:rPr/>
        <w:t>si</w:t>
      </w:r>
      <w:r>
        <w:rPr>
          <w:spacing w:val="-3"/>
        </w:rPr>
        <w:t> </w:t>
      </w:r>
      <w:r>
        <w:rPr/>
        <w:t>një</w:t>
      </w:r>
      <w:r>
        <w:rPr>
          <w:spacing w:val="-3"/>
        </w:rPr>
        <w:t> </w:t>
      </w:r>
      <w:r>
        <w:rPr/>
        <w:t>veprimtari</w:t>
      </w:r>
      <w:r>
        <w:rPr>
          <w:spacing w:val="-3"/>
        </w:rPr>
        <w:t> </w:t>
      </w:r>
      <w:r>
        <w:rPr/>
        <w:t>mjaft</w:t>
      </w:r>
      <w:r>
        <w:rPr>
          <w:spacing w:val="-4"/>
        </w:rPr>
        <w:t> </w:t>
      </w:r>
      <w:r>
        <w:rPr/>
        <w:t>e</w:t>
      </w:r>
      <w:r>
        <w:rPr>
          <w:spacing w:val="-3"/>
        </w:rPr>
        <w:t> </w:t>
      </w:r>
      <w:r>
        <w:rPr/>
        <w:t>zhvilluar</w:t>
      </w:r>
      <w:r>
        <w:rPr>
          <w:spacing w:val="-4"/>
        </w:rPr>
        <w:t> </w:t>
      </w:r>
      <w:r>
        <w:rPr/>
        <w:t>me</w:t>
      </w:r>
      <w:r>
        <w:rPr>
          <w:spacing w:val="-3"/>
        </w:rPr>
        <w:t> </w:t>
      </w:r>
      <w:r>
        <w:rPr/>
        <w:t>mbi</w:t>
      </w:r>
      <w:r>
        <w:rPr>
          <w:spacing w:val="-3"/>
        </w:rPr>
        <w:t> </w:t>
      </w:r>
      <w:r>
        <w:rPr/>
        <w:t>një</w:t>
      </w:r>
      <w:r>
        <w:rPr>
          <w:spacing w:val="-4"/>
        </w:rPr>
        <w:t> </w:t>
      </w:r>
      <w:r>
        <w:rPr/>
        <w:t>qind</w:t>
      </w:r>
      <w:r>
        <w:rPr>
          <w:spacing w:val="-3"/>
        </w:rPr>
        <w:t> </w:t>
      </w:r>
      <w:r>
        <w:rPr/>
        <w:t>kamionë në pronësi të kompanive të ndryshme lokale.</w:t>
      </w:r>
    </w:p>
    <w:p>
      <w:pPr>
        <w:pStyle w:val="BodyText"/>
        <w:spacing w:before="201"/>
        <w:ind w:left="740" w:right="1437"/>
        <w:jc w:val="both"/>
      </w:pPr>
      <w:r>
        <w:rPr/>
        <w:t>Duke</w:t>
      </w:r>
      <w:r>
        <w:rPr>
          <w:spacing w:val="-15"/>
        </w:rPr>
        <w:t> </w:t>
      </w:r>
      <w:r>
        <w:rPr/>
        <w:t>marrë</w:t>
      </w:r>
      <w:r>
        <w:rPr>
          <w:spacing w:val="-15"/>
        </w:rPr>
        <w:t> </w:t>
      </w:r>
      <w:r>
        <w:rPr/>
        <w:t>parasysh</w:t>
      </w:r>
      <w:r>
        <w:rPr>
          <w:spacing w:val="-15"/>
        </w:rPr>
        <w:t> </w:t>
      </w:r>
      <w:r>
        <w:rPr/>
        <w:t>lidhjen</w:t>
      </w:r>
      <w:r>
        <w:rPr>
          <w:spacing w:val="-15"/>
        </w:rPr>
        <w:t> </w:t>
      </w:r>
      <w:r>
        <w:rPr/>
        <w:t>e</w:t>
      </w:r>
      <w:r>
        <w:rPr>
          <w:spacing w:val="-15"/>
        </w:rPr>
        <w:t> </w:t>
      </w:r>
      <w:r>
        <w:rPr/>
        <w:t>lehtë</w:t>
      </w:r>
      <w:r>
        <w:rPr>
          <w:spacing w:val="-15"/>
        </w:rPr>
        <w:t> </w:t>
      </w:r>
      <w:r>
        <w:rPr/>
        <w:t>dhe</w:t>
      </w:r>
      <w:r>
        <w:rPr>
          <w:spacing w:val="-15"/>
        </w:rPr>
        <w:t> </w:t>
      </w:r>
      <w:r>
        <w:rPr/>
        <w:t>shumë</w:t>
      </w:r>
      <w:r>
        <w:rPr>
          <w:spacing w:val="-15"/>
        </w:rPr>
        <w:t> </w:t>
      </w:r>
      <w:r>
        <w:rPr/>
        <w:t>të</w:t>
      </w:r>
      <w:r>
        <w:rPr>
          <w:spacing w:val="-15"/>
        </w:rPr>
        <w:t> </w:t>
      </w:r>
      <w:r>
        <w:rPr/>
        <w:t>mirë</w:t>
      </w:r>
      <w:r>
        <w:rPr>
          <w:spacing w:val="-15"/>
        </w:rPr>
        <w:t> </w:t>
      </w:r>
      <w:r>
        <w:rPr/>
        <w:t>me</w:t>
      </w:r>
      <w:r>
        <w:rPr>
          <w:spacing w:val="-14"/>
        </w:rPr>
        <w:t> </w:t>
      </w:r>
      <w:r>
        <w:rPr/>
        <w:t>arteriet</w:t>
      </w:r>
      <w:r>
        <w:rPr>
          <w:spacing w:val="-14"/>
        </w:rPr>
        <w:t> </w:t>
      </w:r>
      <w:r>
        <w:rPr/>
        <w:t>kyçe</w:t>
      </w:r>
      <w:r>
        <w:rPr>
          <w:spacing w:val="-14"/>
        </w:rPr>
        <w:t> </w:t>
      </w:r>
      <w:r>
        <w:rPr/>
        <w:t>nacionale</w:t>
      </w:r>
      <w:r>
        <w:rPr>
          <w:spacing w:val="-14"/>
        </w:rPr>
        <w:t> </w:t>
      </w:r>
      <w:r>
        <w:rPr/>
        <w:t>rrugore,</w:t>
      </w:r>
      <w:r>
        <w:rPr>
          <w:spacing w:val="-14"/>
        </w:rPr>
        <w:t> </w:t>
      </w:r>
      <w:r>
        <w:rPr/>
        <w:t>bizneset shërbyese hoteliere deri vonë kishin gjithashtu një zhvillim solid posaçërisht</w:t>
      </w:r>
      <w:r>
        <w:rPr/>
        <w:t> përgjatë</w:t>
      </w:r>
      <w:r>
        <w:rPr/>
        <w:t> rrugës nacionale</w:t>
      </w:r>
      <w:r>
        <w:rPr>
          <w:spacing w:val="-15"/>
        </w:rPr>
        <w:t> </w:t>
      </w:r>
      <w:r>
        <w:rPr/>
        <w:t>duke</w:t>
      </w:r>
      <w:r>
        <w:rPr>
          <w:spacing w:val="-15"/>
        </w:rPr>
        <w:t> </w:t>
      </w:r>
      <w:r>
        <w:rPr/>
        <w:t>sjellë</w:t>
      </w:r>
      <w:r>
        <w:rPr>
          <w:spacing w:val="-15"/>
        </w:rPr>
        <w:t> </w:t>
      </w:r>
      <w:r>
        <w:rPr/>
        <w:t>të</w:t>
      </w:r>
      <w:r>
        <w:rPr>
          <w:spacing w:val="-15"/>
        </w:rPr>
        <w:t> </w:t>
      </w:r>
      <w:r>
        <w:rPr/>
        <w:t>hyra</w:t>
      </w:r>
      <w:r>
        <w:rPr>
          <w:spacing w:val="-15"/>
        </w:rPr>
        <w:t> </w:t>
      </w:r>
      <w:r>
        <w:rPr/>
        <w:t>shtesë</w:t>
      </w:r>
      <w:r>
        <w:rPr>
          <w:spacing w:val="-15"/>
        </w:rPr>
        <w:t> </w:t>
      </w:r>
      <w:r>
        <w:rPr/>
        <w:t>nga</w:t>
      </w:r>
      <w:r>
        <w:rPr>
          <w:spacing w:val="-15"/>
        </w:rPr>
        <w:t> </w:t>
      </w:r>
      <w:r>
        <w:rPr/>
        <w:t>jashtë</w:t>
      </w:r>
      <w:r>
        <w:rPr>
          <w:spacing w:val="-15"/>
        </w:rPr>
        <w:t> </w:t>
      </w:r>
      <w:r>
        <w:rPr/>
        <w:t>Komunës.</w:t>
      </w:r>
      <w:r>
        <w:rPr>
          <w:spacing w:val="-15"/>
        </w:rPr>
        <w:t> </w:t>
      </w:r>
      <w:r>
        <w:rPr/>
        <w:t>Mirëpo,</w:t>
      </w:r>
      <w:r>
        <w:rPr>
          <w:spacing w:val="-15"/>
        </w:rPr>
        <w:t> </w:t>
      </w:r>
      <w:r>
        <w:rPr/>
        <w:t>ndërtimi</w:t>
      </w:r>
      <w:r>
        <w:rPr>
          <w:spacing w:val="-15"/>
        </w:rPr>
        <w:t> </w:t>
      </w:r>
      <w:r>
        <w:rPr/>
        <w:t>i</w:t>
      </w:r>
      <w:r>
        <w:rPr>
          <w:spacing w:val="-15"/>
        </w:rPr>
        <w:t> </w:t>
      </w:r>
      <w:r>
        <w:rPr/>
        <w:t>autoudhës</w:t>
      </w:r>
      <w:r>
        <w:rPr>
          <w:spacing w:val="-15"/>
        </w:rPr>
        <w:t> </w:t>
      </w:r>
      <w:r>
        <w:rPr/>
        <w:t>i</w:t>
      </w:r>
      <w:r>
        <w:rPr>
          <w:spacing w:val="-15"/>
        </w:rPr>
        <w:t> </w:t>
      </w:r>
      <w:r>
        <w:rPr/>
        <w:t>ka</w:t>
      </w:r>
      <w:r>
        <w:rPr>
          <w:spacing w:val="-15"/>
        </w:rPr>
        <w:t> </w:t>
      </w:r>
      <w:r>
        <w:rPr/>
        <w:t>kufizuar këto të hyra dhe tashmë shërbimet hoteliere jepen kryesisht për banorët lokal.</w:t>
      </w:r>
    </w:p>
    <w:p>
      <w:pPr>
        <w:pStyle w:val="BodyText"/>
        <w:spacing w:before="199"/>
        <w:ind w:left="740" w:right="1437"/>
        <w:jc w:val="both"/>
      </w:pPr>
      <w:r>
        <w:rPr/>
        <w:t>Edhe pse me tokë bujqësore kualitative të kufizuar, në numër i madh i banorëve të komunës janë marrë tradicionalisht me bujqësi. Si kultura më të mëdha kemi kryesisht: misrin që kultivohet në luginën</w:t>
      </w:r>
      <w:r>
        <w:rPr>
          <w:spacing w:val="-3"/>
        </w:rPr>
        <w:t> </w:t>
      </w:r>
      <w:r>
        <w:rPr/>
        <w:t>Lepenc,</w:t>
      </w:r>
      <w:r>
        <w:rPr>
          <w:spacing w:val="-3"/>
        </w:rPr>
        <w:t> </w:t>
      </w:r>
      <w:r>
        <w:rPr/>
        <w:t>grurin</w:t>
      </w:r>
      <w:r>
        <w:rPr>
          <w:spacing w:val="-3"/>
        </w:rPr>
        <w:t> </w:t>
      </w:r>
      <w:r>
        <w:rPr/>
        <w:t>në</w:t>
      </w:r>
      <w:r>
        <w:rPr>
          <w:spacing w:val="-3"/>
        </w:rPr>
        <w:t> </w:t>
      </w:r>
      <w:r>
        <w:rPr/>
        <w:t>rrafshnaltën</w:t>
      </w:r>
      <w:r>
        <w:rPr>
          <w:spacing w:val="-3"/>
        </w:rPr>
        <w:t> </w:t>
      </w:r>
      <w:r>
        <w:rPr/>
        <w:t>e</w:t>
      </w:r>
      <w:r>
        <w:rPr>
          <w:spacing w:val="-3"/>
        </w:rPr>
        <w:t> </w:t>
      </w:r>
      <w:r>
        <w:rPr/>
        <w:t>Krivenikut</w:t>
      </w:r>
      <w:r>
        <w:rPr>
          <w:spacing w:val="-3"/>
        </w:rPr>
        <w:t> </w:t>
      </w:r>
      <w:r>
        <w:rPr/>
        <w:t>dhe</w:t>
      </w:r>
      <w:r>
        <w:rPr>
          <w:spacing w:val="-3"/>
        </w:rPr>
        <w:t> </w:t>
      </w:r>
      <w:r>
        <w:rPr/>
        <w:t>livadhet</w:t>
      </w:r>
      <w:r>
        <w:rPr>
          <w:spacing w:val="-1"/>
        </w:rPr>
        <w:t> </w:t>
      </w:r>
      <w:r>
        <w:rPr/>
        <w:t>si</w:t>
      </w:r>
      <w:r>
        <w:rPr>
          <w:spacing w:val="-3"/>
        </w:rPr>
        <w:t> </w:t>
      </w:r>
      <w:r>
        <w:rPr/>
        <w:t>aktivitet</w:t>
      </w:r>
      <w:r>
        <w:rPr>
          <w:spacing w:val="-3"/>
        </w:rPr>
        <w:t> </w:t>
      </w:r>
      <w:r>
        <w:rPr/>
        <w:t>përcjellës</w:t>
      </w:r>
      <w:r>
        <w:rPr>
          <w:spacing w:val="-4"/>
        </w:rPr>
        <w:t> </w:t>
      </w:r>
      <w:r>
        <w:rPr/>
        <w:t>i</w:t>
      </w:r>
      <w:r>
        <w:rPr>
          <w:spacing w:val="-3"/>
        </w:rPr>
        <w:t> </w:t>
      </w:r>
      <w:r>
        <w:rPr/>
        <w:t>zhvillimit blegtoral në Bjeshkët e Sharrit dhe Karadakut. Përtej kësaj banorët vazhdojnë edhe më tej të kultivojnë fruta/ perime në kopshtet e tyre (në raste edhe me serra) si dhe fruta mali në sasi të kufizuara kur ato janë subvencionuar.</w:t>
      </w:r>
    </w:p>
    <w:p>
      <w:pPr>
        <w:pStyle w:val="BodyText"/>
        <w:spacing w:before="201"/>
        <w:ind w:left="740" w:right="1439"/>
        <w:jc w:val="both"/>
      </w:pPr>
      <w:r>
        <w:rPr/>
        <w:t>Turizmi</w:t>
      </w:r>
      <w:r>
        <w:rPr>
          <w:spacing w:val="-15"/>
        </w:rPr>
        <w:t> </w:t>
      </w:r>
      <w:r>
        <w:rPr/>
        <w:t>malor</w:t>
      </w:r>
      <w:r>
        <w:rPr>
          <w:spacing w:val="-15"/>
        </w:rPr>
        <w:t> </w:t>
      </w:r>
      <w:r>
        <w:rPr/>
        <w:t>paraqet</w:t>
      </w:r>
      <w:r>
        <w:rPr>
          <w:spacing w:val="-15"/>
        </w:rPr>
        <w:t> </w:t>
      </w:r>
      <w:r>
        <w:rPr/>
        <w:t>degën</w:t>
      </w:r>
      <w:r>
        <w:rPr>
          <w:spacing w:val="-15"/>
        </w:rPr>
        <w:t> </w:t>
      </w:r>
      <w:r>
        <w:rPr/>
        <w:t>e</w:t>
      </w:r>
      <w:r>
        <w:rPr>
          <w:spacing w:val="-15"/>
        </w:rPr>
        <w:t> </w:t>
      </w:r>
      <w:r>
        <w:rPr/>
        <w:t>re</w:t>
      </w:r>
      <w:r>
        <w:rPr>
          <w:spacing w:val="-15"/>
        </w:rPr>
        <w:t> </w:t>
      </w:r>
      <w:r>
        <w:rPr/>
        <w:t>ekonomike</w:t>
      </w:r>
      <w:r>
        <w:rPr>
          <w:spacing w:val="-15"/>
        </w:rPr>
        <w:t> </w:t>
      </w:r>
      <w:r>
        <w:rPr/>
        <w:t>që</w:t>
      </w:r>
      <w:r>
        <w:rPr>
          <w:spacing w:val="-15"/>
        </w:rPr>
        <w:t> </w:t>
      </w:r>
      <w:r>
        <w:rPr/>
        <w:t>sapo</w:t>
      </w:r>
      <w:r>
        <w:rPr>
          <w:spacing w:val="-15"/>
        </w:rPr>
        <w:t> </w:t>
      </w:r>
      <w:r>
        <w:rPr/>
        <w:t>ka</w:t>
      </w:r>
      <w:r>
        <w:rPr>
          <w:spacing w:val="-15"/>
        </w:rPr>
        <w:t> </w:t>
      </w:r>
      <w:r>
        <w:rPr/>
        <w:t>filluar</w:t>
      </w:r>
      <w:r>
        <w:rPr>
          <w:spacing w:val="-15"/>
        </w:rPr>
        <w:t> </w:t>
      </w:r>
      <w:r>
        <w:rPr/>
        <w:t>të</w:t>
      </w:r>
      <w:r>
        <w:rPr>
          <w:spacing w:val="-15"/>
        </w:rPr>
        <w:t> </w:t>
      </w:r>
      <w:r>
        <w:rPr/>
        <w:t>zhvillohet</w:t>
      </w:r>
      <w:r>
        <w:rPr>
          <w:spacing w:val="-15"/>
        </w:rPr>
        <w:t> </w:t>
      </w:r>
      <w:r>
        <w:rPr/>
        <w:t>në</w:t>
      </w:r>
      <w:r>
        <w:rPr>
          <w:spacing w:val="-15"/>
        </w:rPr>
        <w:t> </w:t>
      </w:r>
      <w:r>
        <w:rPr/>
        <w:t>pjesën</w:t>
      </w:r>
      <w:r>
        <w:rPr>
          <w:spacing w:val="-15"/>
        </w:rPr>
        <w:t> </w:t>
      </w:r>
      <w:r>
        <w:rPr/>
        <w:t>e</w:t>
      </w:r>
      <w:r>
        <w:rPr>
          <w:spacing w:val="-15"/>
        </w:rPr>
        <w:t> </w:t>
      </w:r>
      <w:r>
        <w:rPr/>
        <w:t>Pustenikut, Neçavcit dhe ndonjë hapësire tjetër.</w:t>
      </w:r>
    </w:p>
    <w:p>
      <w:pPr>
        <w:pStyle w:val="BodyText"/>
        <w:spacing w:before="199"/>
        <w:ind w:left="740" w:right="1439"/>
        <w:jc w:val="both"/>
      </w:pPr>
      <w:r>
        <w:rPr/>
        <w:t>Edhe përkundër asaj që u përmend më lart, Komuna e Hanit të Elezit vlerësohet të ketë zhvillim të</w:t>
      </w:r>
      <w:r>
        <w:rPr>
          <w:spacing w:val="-12"/>
        </w:rPr>
        <w:t> </w:t>
      </w:r>
      <w:r>
        <w:rPr/>
        <w:t>ulët</w:t>
      </w:r>
      <w:r>
        <w:rPr>
          <w:spacing w:val="-13"/>
        </w:rPr>
        <w:t> </w:t>
      </w:r>
      <w:r>
        <w:rPr/>
        <w:t>ekonomik.</w:t>
      </w:r>
      <w:r>
        <w:rPr>
          <w:spacing w:val="-13"/>
        </w:rPr>
        <w:t> </w:t>
      </w:r>
      <w:r>
        <w:rPr/>
        <w:t>Në</w:t>
      </w:r>
      <w:r>
        <w:rPr>
          <w:spacing w:val="-13"/>
        </w:rPr>
        <w:t> </w:t>
      </w:r>
      <w:r>
        <w:rPr/>
        <w:t>përgjithësi,</w:t>
      </w:r>
      <w:r>
        <w:rPr>
          <w:spacing w:val="-14"/>
        </w:rPr>
        <w:t> </w:t>
      </w:r>
      <w:r>
        <w:rPr/>
        <w:t>mjedisi</w:t>
      </w:r>
      <w:r>
        <w:rPr>
          <w:spacing w:val="-12"/>
        </w:rPr>
        <w:t> </w:t>
      </w:r>
      <w:r>
        <w:rPr/>
        <w:t>për</w:t>
      </w:r>
      <w:r>
        <w:rPr>
          <w:spacing w:val="-13"/>
        </w:rPr>
        <w:t> </w:t>
      </w:r>
      <w:r>
        <w:rPr/>
        <w:t>zhvillimin</w:t>
      </w:r>
      <w:r>
        <w:rPr>
          <w:spacing w:val="-13"/>
        </w:rPr>
        <w:t> </w:t>
      </w:r>
      <w:r>
        <w:rPr/>
        <w:t>e</w:t>
      </w:r>
      <w:r>
        <w:rPr>
          <w:spacing w:val="-13"/>
        </w:rPr>
        <w:t> </w:t>
      </w:r>
      <w:r>
        <w:rPr/>
        <w:t>ndërmarrjeve</w:t>
      </w:r>
      <w:r>
        <w:rPr>
          <w:spacing w:val="-14"/>
        </w:rPr>
        <w:t> </w:t>
      </w:r>
      <w:r>
        <w:rPr/>
        <w:t>ende</w:t>
      </w:r>
      <w:r>
        <w:rPr>
          <w:spacing w:val="-13"/>
        </w:rPr>
        <w:t> </w:t>
      </w:r>
      <w:r>
        <w:rPr/>
        <w:t>mbetet</w:t>
      </w:r>
      <w:r>
        <w:rPr>
          <w:spacing w:val="-12"/>
        </w:rPr>
        <w:t> </w:t>
      </w:r>
      <w:r>
        <w:rPr/>
        <w:t>i</w:t>
      </w:r>
      <w:r>
        <w:rPr>
          <w:spacing w:val="-13"/>
        </w:rPr>
        <w:t> </w:t>
      </w:r>
      <w:r>
        <w:rPr/>
        <w:t>pafavorshëm dhe</w:t>
      </w:r>
      <w:r>
        <w:rPr>
          <w:spacing w:val="-14"/>
        </w:rPr>
        <w:t> </w:t>
      </w:r>
      <w:r>
        <w:rPr/>
        <w:t>me</w:t>
      </w:r>
      <w:r>
        <w:rPr>
          <w:spacing w:val="-14"/>
        </w:rPr>
        <w:t> </w:t>
      </w:r>
      <w:r>
        <w:rPr/>
        <w:t>mbështetje</w:t>
      </w:r>
      <w:r>
        <w:rPr>
          <w:spacing w:val="-14"/>
        </w:rPr>
        <w:t> </w:t>
      </w:r>
      <w:r>
        <w:rPr/>
        <w:t>të</w:t>
      </w:r>
      <w:r>
        <w:rPr>
          <w:spacing w:val="-14"/>
        </w:rPr>
        <w:t> </w:t>
      </w:r>
      <w:r>
        <w:rPr/>
        <w:t>pamjaftueshme.</w:t>
      </w:r>
      <w:r>
        <w:rPr>
          <w:spacing w:val="-14"/>
        </w:rPr>
        <w:t> </w:t>
      </w:r>
      <w:r>
        <w:rPr/>
        <w:t>Potenciali</w:t>
      </w:r>
      <w:r>
        <w:rPr>
          <w:spacing w:val="-15"/>
        </w:rPr>
        <w:t> </w:t>
      </w:r>
      <w:r>
        <w:rPr/>
        <w:t>për</w:t>
      </w:r>
      <w:r>
        <w:rPr>
          <w:spacing w:val="-14"/>
        </w:rPr>
        <w:t> </w:t>
      </w:r>
      <w:r>
        <w:rPr/>
        <w:t>procesim</w:t>
      </w:r>
      <w:r>
        <w:rPr>
          <w:spacing w:val="-14"/>
        </w:rPr>
        <w:t> </w:t>
      </w:r>
      <w:r>
        <w:rPr/>
        <w:t>të</w:t>
      </w:r>
      <w:r>
        <w:rPr>
          <w:spacing w:val="-11"/>
        </w:rPr>
        <w:t> </w:t>
      </w:r>
      <w:r>
        <w:rPr/>
        <w:t>materialeve</w:t>
      </w:r>
      <w:r>
        <w:rPr>
          <w:spacing w:val="-14"/>
        </w:rPr>
        <w:t> </w:t>
      </w:r>
      <w:r>
        <w:rPr/>
        <w:t>ndërtimore</w:t>
      </w:r>
      <w:r>
        <w:rPr>
          <w:spacing w:val="-14"/>
        </w:rPr>
        <w:t> </w:t>
      </w:r>
      <w:r>
        <w:rPr/>
        <w:t>si</w:t>
      </w:r>
      <w:r>
        <w:rPr>
          <w:spacing w:val="-14"/>
        </w:rPr>
        <w:t> </w:t>
      </w:r>
      <w:r>
        <w:rPr/>
        <w:t>zhavorr dhe çimento në elemente ndërtimore montazhe apo gjysmë montazhe mbetet për tu analizuar. Potenciali</w:t>
      </w:r>
      <w:r>
        <w:rPr>
          <w:spacing w:val="-5"/>
        </w:rPr>
        <w:t> </w:t>
      </w:r>
      <w:r>
        <w:rPr/>
        <w:t>turistik</w:t>
      </w:r>
      <w:r>
        <w:rPr>
          <w:spacing w:val="-6"/>
        </w:rPr>
        <w:t> </w:t>
      </w:r>
      <w:r>
        <w:rPr/>
        <w:t>(natyra/</w:t>
      </w:r>
      <w:r>
        <w:rPr>
          <w:spacing w:val="-4"/>
        </w:rPr>
        <w:t> </w:t>
      </w:r>
      <w:r>
        <w:rPr/>
        <w:t>kultura</w:t>
      </w:r>
      <w:r>
        <w:rPr>
          <w:spacing w:val="-4"/>
        </w:rPr>
        <w:t> </w:t>
      </w:r>
      <w:r>
        <w:rPr/>
        <w:t>në</w:t>
      </w:r>
      <w:r>
        <w:rPr>
          <w:spacing w:val="-5"/>
        </w:rPr>
        <w:t> </w:t>
      </w:r>
      <w:r>
        <w:rPr/>
        <w:t>bashkëpunim</w:t>
      </w:r>
      <w:r>
        <w:rPr>
          <w:spacing w:val="-4"/>
        </w:rPr>
        <w:t> </w:t>
      </w:r>
      <w:r>
        <w:rPr/>
        <w:t>me</w:t>
      </w:r>
      <w:r>
        <w:rPr>
          <w:spacing w:val="-5"/>
        </w:rPr>
        <w:t> </w:t>
      </w:r>
      <w:r>
        <w:rPr/>
        <w:t>shërbimet</w:t>
      </w:r>
      <w:r>
        <w:rPr>
          <w:spacing w:val="-4"/>
        </w:rPr>
        <w:t> </w:t>
      </w:r>
      <w:r>
        <w:rPr/>
        <w:t>hotelierike)</w:t>
      </w:r>
      <w:r>
        <w:rPr>
          <w:spacing w:val="-4"/>
        </w:rPr>
        <w:t> </w:t>
      </w:r>
      <w:r>
        <w:rPr/>
        <w:t>mundë</w:t>
      </w:r>
      <w:r>
        <w:rPr>
          <w:spacing w:val="-4"/>
        </w:rPr>
        <w:t> </w:t>
      </w:r>
      <w:r>
        <w:rPr/>
        <w:t>të</w:t>
      </w:r>
      <w:r>
        <w:rPr>
          <w:spacing w:val="-4"/>
        </w:rPr>
        <w:t> </w:t>
      </w:r>
      <w:r>
        <w:rPr/>
        <w:t>zhvillohet edhe më tej ku si ndihmesë mundë të jetë edhe prodhimi i përmirësuar bujqësor lokal.</w:t>
      </w:r>
    </w:p>
    <w:p>
      <w:pPr>
        <w:pStyle w:val="BodyText"/>
        <w:spacing w:before="4"/>
        <w:rPr>
          <w:sz w:val="15"/>
        </w:rPr>
      </w:pPr>
      <w:r>
        <w:rPr/>
        <w:pict>
          <v:shape style="position:absolute;margin-left:70.5pt;margin-top:10.054024pt;width:471.1pt;height:16.5pt;mso-position-horizontal-relative:page;mso-position-vertical-relative:paragraph;z-index:-15715328;mso-wrap-distance-left:0;mso-wrap-distance-right:0" type="#_x0000_t202" id="docshape134" filled="true" fillcolor="#eab8a3" stroked="false">
            <v:textbox inset="0,0,0,0">
              <w:txbxContent>
                <w:p>
                  <w:pPr>
                    <w:tabs>
                      <w:tab w:pos="810" w:val="left" w:leader="none"/>
                    </w:tabs>
                    <w:spacing w:before="0"/>
                    <w:ind w:left="30" w:right="0" w:firstLine="0"/>
                    <w:jc w:val="left"/>
                    <w:rPr>
                      <w:b/>
                      <w:color w:val="000000"/>
                      <w:sz w:val="24"/>
                    </w:rPr>
                  </w:pPr>
                  <w:r>
                    <w:rPr>
                      <w:b/>
                      <w:color w:val="000000"/>
                      <w:spacing w:val="-4"/>
                      <w:sz w:val="24"/>
                    </w:rPr>
                    <w:t>3.2.</w:t>
                  </w:r>
                  <w:r>
                    <w:rPr>
                      <w:b/>
                      <w:color w:val="000000"/>
                      <w:sz w:val="24"/>
                    </w:rPr>
                    <w:tab/>
                    <w:t>Sektori</w:t>
                  </w:r>
                  <w:r>
                    <w:rPr>
                      <w:b/>
                      <w:color w:val="000000"/>
                      <w:spacing w:val="-8"/>
                      <w:sz w:val="24"/>
                    </w:rPr>
                    <w:t> </w:t>
                  </w:r>
                  <w:r>
                    <w:rPr>
                      <w:b/>
                      <w:color w:val="000000"/>
                      <w:spacing w:val="-2"/>
                      <w:sz w:val="24"/>
                    </w:rPr>
                    <w:t>privat</w:t>
                  </w:r>
                </w:p>
              </w:txbxContent>
            </v:textbox>
            <v:fill type="solid"/>
            <w10:wrap type="topAndBottom"/>
          </v:shape>
        </w:pict>
      </w:r>
    </w:p>
    <w:p>
      <w:pPr>
        <w:pStyle w:val="BodyText"/>
        <w:spacing w:before="7"/>
        <w:rPr>
          <w:sz w:val="9"/>
        </w:rPr>
      </w:pPr>
    </w:p>
    <w:p>
      <w:pPr>
        <w:pStyle w:val="BodyText"/>
        <w:spacing w:before="90"/>
        <w:ind w:left="740" w:right="1436"/>
        <w:jc w:val="both"/>
      </w:pPr>
      <w:r>
        <w:rPr/>
        <w:t>Në komunë janë të regjistruara gjithsej 357 biznese. Sektorët ekonomik dominues janë kryesisht tregtia</w:t>
      </w:r>
      <w:r>
        <w:rPr>
          <w:spacing w:val="-5"/>
        </w:rPr>
        <w:t> </w:t>
      </w:r>
      <w:r>
        <w:rPr/>
        <w:t>me</w:t>
      </w:r>
      <w:r>
        <w:rPr>
          <w:spacing w:val="-5"/>
        </w:rPr>
        <w:t> </w:t>
      </w:r>
      <w:r>
        <w:rPr/>
        <w:t>shumicë</w:t>
      </w:r>
      <w:r>
        <w:rPr>
          <w:spacing w:val="-5"/>
        </w:rPr>
        <w:t> </w:t>
      </w:r>
      <w:r>
        <w:rPr/>
        <w:t>dhe</w:t>
      </w:r>
      <w:r>
        <w:rPr>
          <w:spacing w:val="-6"/>
        </w:rPr>
        <w:t> </w:t>
      </w:r>
      <w:r>
        <w:rPr/>
        <w:t>pakicë,</w:t>
      </w:r>
      <w:r>
        <w:rPr>
          <w:spacing w:val="-5"/>
        </w:rPr>
        <w:t> </w:t>
      </w:r>
      <w:r>
        <w:rPr/>
        <w:t>aktivitetet</w:t>
      </w:r>
      <w:r>
        <w:rPr>
          <w:spacing w:val="-5"/>
        </w:rPr>
        <w:t> </w:t>
      </w:r>
      <w:r>
        <w:rPr/>
        <w:t>shërbyese</w:t>
      </w:r>
      <w:r>
        <w:rPr>
          <w:spacing w:val="-5"/>
        </w:rPr>
        <w:t> </w:t>
      </w:r>
      <w:r>
        <w:rPr/>
        <w:t>dhe</w:t>
      </w:r>
      <w:r>
        <w:rPr>
          <w:spacing w:val="-4"/>
        </w:rPr>
        <w:t> </w:t>
      </w:r>
      <w:r>
        <w:rPr/>
        <w:t>ato</w:t>
      </w:r>
      <w:r>
        <w:rPr>
          <w:spacing w:val="-3"/>
        </w:rPr>
        <w:t> </w:t>
      </w:r>
      <w:r>
        <w:rPr/>
        <w:t>transportuese.</w:t>
      </w:r>
      <w:r>
        <w:rPr>
          <w:spacing w:val="-5"/>
        </w:rPr>
        <w:t> </w:t>
      </w:r>
      <w:r>
        <w:rPr/>
        <w:t>Tregtia</w:t>
      </w:r>
      <w:r>
        <w:rPr>
          <w:spacing w:val="-3"/>
        </w:rPr>
        <w:t> </w:t>
      </w:r>
      <w:r>
        <w:rPr/>
        <w:t>përfshinë</w:t>
      </w:r>
      <w:r>
        <w:rPr>
          <w:spacing w:val="-3"/>
        </w:rPr>
        <w:t> </w:t>
      </w:r>
      <w:r>
        <w:rPr/>
        <w:t>20% të</w:t>
      </w:r>
      <w:r>
        <w:rPr>
          <w:spacing w:val="-4"/>
        </w:rPr>
        <w:t> </w:t>
      </w:r>
      <w:r>
        <w:rPr/>
        <w:t>ndërmarrjeve,</w:t>
      </w:r>
      <w:r>
        <w:rPr>
          <w:spacing w:val="-4"/>
        </w:rPr>
        <w:t> </w:t>
      </w:r>
      <w:r>
        <w:rPr/>
        <w:t>aktivitetet</w:t>
      </w:r>
      <w:r>
        <w:rPr>
          <w:spacing w:val="-4"/>
        </w:rPr>
        <w:t> </w:t>
      </w:r>
      <w:r>
        <w:rPr/>
        <w:t>shërbyese</w:t>
      </w:r>
      <w:r>
        <w:rPr>
          <w:spacing w:val="-4"/>
        </w:rPr>
        <w:t> </w:t>
      </w:r>
      <w:r>
        <w:rPr/>
        <w:t>16%,</w:t>
      </w:r>
      <w:r>
        <w:rPr>
          <w:spacing w:val="-5"/>
        </w:rPr>
        <w:t> </w:t>
      </w:r>
      <w:r>
        <w:rPr/>
        <w:t>transporti</w:t>
      </w:r>
      <w:r>
        <w:rPr>
          <w:spacing w:val="-4"/>
        </w:rPr>
        <w:t> </w:t>
      </w:r>
      <w:r>
        <w:rPr/>
        <w:t>18%,</w:t>
      </w:r>
      <w:r>
        <w:rPr>
          <w:spacing w:val="-4"/>
        </w:rPr>
        <w:t> </w:t>
      </w:r>
      <w:r>
        <w:rPr/>
        <w:t>ndërtimtaria</w:t>
      </w:r>
      <w:r>
        <w:rPr>
          <w:spacing w:val="-5"/>
        </w:rPr>
        <w:t> </w:t>
      </w:r>
      <w:r>
        <w:rPr/>
        <w:t>6%,</w:t>
      </w:r>
      <w:r>
        <w:rPr>
          <w:spacing w:val="-4"/>
        </w:rPr>
        <w:t> </w:t>
      </w:r>
      <w:r>
        <w:rPr/>
        <w:t>ndërsa</w:t>
      </w:r>
      <w:r>
        <w:rPr>
          <w:spacing w:val="-4"/>
        </w:rPr>
        <w:t> </w:t>
      </w:r>
      <w:r>
        <w:rPr/>
        <w:t>sektorët</w:t>
      </w:r>
      <w:r>
        <w:rPr>
          <w:spacing w:val="-4"/>
        </w:rPr>
        <w:t> </w:t>
      </w:r>
      <w:r>
        <w:rPr/>
        <w:t>tjerë përfshinë pjesën tjetër prej 40%. Përkundër potencialeve në vend për zhvillimin e bujqësisë, ky sektor mbetet fare pak i përfaqësuar me një përqindje tepër të ulët. 93% e bizneseve janë të përqendruara në Qytezë dhe përgjatë rrugës nacionale N2.</w:t>
      </w:r>
    </w:p>
    <w:p>
      <w:pPr>
        <w:pStyle w:val="BodyText"/>
        <w:spacing w:before="200"/>
        <w:ind w:left="740" w:right="1438"/>
        <w:jc w:val="both"/>
      </w:pPr>
      <w:r>
        <w:rPr/>
        <w:t>Sikur në tërë Kosovën, informaliteti ekonomik është shumë i lartë. Ai është shumë i theksuar në formën</w:t>
      </w:r>
      <w:r>
        <w:rPr>
          <w:spacing w:val="-4"/>
        </w:rPr>
        <w:t> </w:t>
      </w:r>
      <w:r>
        <w:rPr/>
        <w:t>e</w:t>
      </w:r>
      <w:r>
        <w:rPr>
          <w:spacing w:val="-4"/>
        </w:rPr>
        <w:t> </w:t>
      </w:r>
      <w:r>
        <w:rPr/>
        <w:t>bizneseve</w:t>
      </w:r>
      <w:r>
        <w:rPr>
          <w:spacing w:val="-5"/>
        </w:rPr>
        <w:t> </w:t>
      </w:r>
      <w:r>
        <w:rPr/>
        <w:t>të</w:t>
      </w:r>
      <w:r>
        <w:rPr>
          <w:spacing w:val="-4"/>
        </w:rPr>
        <w:t> </w:t>
      </w:r>
      <w:r>
        <w:rPr/>
        <w:t>paregjistruara</w:t>
      </w:r>
      <w:r>
        <w:rPr>
          <w:spacing w:val="-6"/>
        </w:rPr>
        <w:t> </w:t>
      </w:r>
      <w:r>
        <w:rPr/>
        <w:t>ndërtimore,</w:t>
      </w:r>
      <w:r>
        <w:rPr>
          <w:spacing w:val="-5"/>
        </w:rPr>
        <w:t> </w:t>
      </w:r>
      <w:r>
        <w:rPr/>
        <w:t>shërbime</w:t>
      </w:r>
      <w:r>
        <w:rPr>
          <w:spacing w:val="-4"/>
        </w:rPr>
        <w:t> </w:t>
      </w:r>
      <w:r>
        <w:rPr/>
        <w:t>profesionale</w:t>
      </w:r>
      <w:r>
        <w:rPr>
          <w:spacing w:val="-5"/>
        </w:rPr>
        <w:t> </w:t>
      </w:r>
      <w:r>
        <w:rPr/>
        <w:t>të</w:t>
      </w:r>
      <w:r>
        <w:rPr>
          <w:spacing w:val="-4"/>
        </w:rPr>
        <w:t> </w:t>
      </w:r>
      <w:r>
        <w:rPr/>
        <w:t>ofruara</w:t>
      </w:r>
      <w:r>
        <w:rPr>
          <w:spacing w:val="-4"/>
        </w:rPr>
        <w:t> </w:t>
      </w:r>
      <w:r>
        <w:rPr/>
        <w:t>nëpër</w:t>
      </w:r>
      <w:r>
        <w:rPr>
          <w:spacing w:val="-4"/>
        </w:rPr>
        <w:t> </w:t>
      </w:r>
      <w:r>
        <w:rPr/>
        <w:t>amvisëri, prodhimtari</w:t>
      </w:r>
      <w:r>
        <w:rPr>
          <w:spacing w:val="-8"/>
        </w:rPr>
        <w:t> </w:t>
      </w:r>
      <w:r>
        <w:rPr/>
        <w:t>bujqësore</w:t>
      </w:r>
      <w:r>
        <w:rPr>
          <w:spacing w:val="-7"/>
        </w:rPr>
        <w:t> </w:t>
      </w:r>
      <w:r>
        <w:rPr/>
        <w:t>,</w:t>
      </w:r>
      <w:r>
        <w:rPr>
          <w:spacing w:val="-7"/>
        </w:rPr>
        <w:t> </w:t>
      </w:r>
      <w:r>
        <w:rPr/>
        <w:t>etj.</w:t>
      </w:r>
      <w:r>
        <w:rPr>
          <w:spacing w:val="-7"/>
        </w:rPr>
        <w:t> </w:t>
      </w:r>
      <w:r>
        <w:rPr/>
        <w:t>Informaliteti</w:t>
      </w:r>
      <w:r>
        <w:rPr>
          <w:spacing w:val="-6"/>
        </w:rPr>
        <w:t> </w:t>
      </w:r>
      <w:r>
        <w:rPr/>
        <w:t>gjithashtu</w:t>
      </w:r>
      <w:r>
        <w:rPr>
          <w:spacing w:val="-8"/>
        </w:rPr>
        <w:t> </w:t>
      </w:r>
      <w:r>
        <w:rPr/>
        <w:t>shprehet</w:t>
      </w:r>
      <w:r>
        <w:rPr>
          <w:spacing w:val="-3"/>
        </w:rPr>
        <w:t> </w:t>
      </w:r>
      <w:r>
        <w:rPr/>
        <w:t>edhe</w:t>
      </w:r>
      <w:r>
        <w:rPr>
          <w:spacing w:val="-7"/>
        </w:rPr>
        <w:t> </w:t>
      </w:r>
      <w:r>
        <w:rPr/>
        <w:t>te</w:t>
      </w:r>
      <w:r>
        <w:rPr>
          <w:spacing w:val="-6"/>
        </w:rPr>
        <w:t> </w:t>
      </w:r>
      <w:r>
        <w:rPr/>
        <w:t>bizneset</w:t>
      </w:r>
      <w:r>
        <w:rPr>
          <w:spacing w:val="-6"/>
        </w:rPr>
        <w:t> </w:t>
      </w:r>
      <w:r>
        <w:rPr/>
        <w:t>e</w:t>
      </w:r>
      <w:r>
        <w:rPr>
          <w:spacing w:val="-7"/>
        </w:rPr>
        <w:t> </w:t>
      </w:r>
      <w:r>
        <w:rPr/>
        <w:t>regjistruara</w:t>
      </w:r>
      <w:r>
        <w:rPr>
          <w:spacing w:val="-7"/>
        </w:rPr>
        <w:t> </w:t>
      </w:r>
      <w:r>
        <w:rPr/>
        <w:t>kur</w:t>
      </w:r>
      <w:r>
        <w:rPr>
          <w:spacing w:val="-7"/>
        </w:rPr>
        <w:t> </w:t>
      </w:r>
      <w:r>
        <w:rPr/>
        <w:t>një pjesë e aktivitetit të tyre nuk</w:t>
      </w:r>
      <w:r>
        <w:rPr>
          <w:spacing w:val="40"/>
        </w:rPr>
        <w:t> </w:t>
      </w:r>
      <w:r>
        <w:rPr/>
        <w:t>regjistrohet fare.</w:t>
      </w:r>
    </w:p>
    <w:p>
      <w:pPr>
        <w:pStyle w:val="BodyText"/>
        <w:spacing w:before="201"/>
        <w:ind w:left="740" w:right="1436"/>
        <w:jc w:val="both"/>
      </w:pPr>
      <w:r>
        <w:rPr/>
        <w:t>Të gjitha ndërmarrjet janë private me përjashtim të Kompanisë për Menaxhim të Mbeturinave “Pastrimi” dhe Kompanisë Regjionale për Ujësjellës/ Kanalizim “Bifurkacioni” – Njësia në Han të Elezit, të cilat janë publike. Dominimi i sektorit privat është një tregues se ka nevojë për përkrahje të mëtejme të tyre, duke i pasur parasysh edhe potencialet lokale.</w:t>
      </w:r>
    </w:p>
    <w:p>
      <w:pPr>
        <w:spacing w:after="0"/>
        <w:jc w:val="both"/>
        <w:sectPr>
          <w:footerReference w:type="default" r:id="rId40"/>
          <w:pgSz w:w="12240" w:h="15840"/>
          <w:pgMar w:footer="990" w:header="0" w:top="0" w:bottom="1180" w:left="700" w:right="0"/>
          <w:pgNumType w:start="19"/>
        </w:sectPr>
      </w:pPr>
    </w:p>
    <w:p>
      <w:pPr>
        <w:pStyle w:val="BodyText"/>
        <w:spacing w:before="60"/>
        <w:ind w:left="740" w:right="1439"/>
        <w:jc w:val="both"/>
      </w:pPr>
      <w:r>
        <w:rPr/>
        <w:t>Sa</w:t>
      </w:r>
      <w:r>
        <w:rPr>
          <w:spacing w:val="-6"/>
        </w:rPr>
        <w:t> </w:t>
      </w:r>
      <w:r>
        <w:rPr/>
        <w:t>i</w:t>
      </w:r>
      <w:r>
        <w:rPr>
          <w:spacing w:val="-6"/>
        </w:rPr>
        <w:t> </w:t>
      </w:r>
      <w:r>
        <w:rPr/>
        <w:t>përket</w:t>
      </w:r>
      <w:r>
        <w:rPr>
          <w:spacing w:val="-5"/>
        </w:rPr>
        <w:t> </w:t>
      </w:r>
      <w:r>
        <w:rPr/>
        <w:t>tregut,</w:t>
      </w:r>
      <w:r>
        <w:rPr>
          <w:spacing w:val="-6"/>
        </w:rPr>
        <w:t> </w:t>
      </w:r>
      <w:r>
        <w:rPr/>
        <w:t>përveç</w:t>
      </w:r>
      <w:r>
        <w:rPr>
          <w:spacing w:val="-7"/>
        </w:rPr>
        <w:t> </w:t>
      </w:r>
      <w:r>
        <w:rPr/>
        <w:t>drithërave</w:t>
      </w:r>
      <w:r>
        <w:rPr>
          <w:spacing w:val="-6"/>
        </w:rPr>
        <w:t> </w:t>
      </w:r>
      <w:r>
        <w:rPr/>
        <w:t>që</w:t>
      </w:r>
      <w:r>
        <w:rPr>
          <w:spacing w:val="-6"/>
        </w:rPr>
        <w:t> </w:t>
      </w:r>
      <w:r>
        <w:rPr/>
        <w:t>për</w:t>
      </w:r>
      <w:r>
        <w:rPr>
          <w:spacing w:val="-6"/>
        </w:rPr>
        <w:t> </w:t>
      </w:r>
      <w:r>
        <w:rPr/>
        <w:t>momentin</w:t>
      </w:r>
      <w:r>
        <w:rPr>
          <w:spacing w:val="-6"/>
        </w:rPr>
        <w:t> </w:t>
      </w:r>
      <w:r>
        <w:rPr/>
        <w:t>e</w:t>
      </w:r>
      <w:r>
        <w:rPr>
          <w:spacing w:val="-6"/>
        </w:rPr>
        <w:t> </w:t>
      </w:r>
      <w:r>
        <w:rPr/>
        <w:t>kanë</w:t>
      </w:r>
      <w:r>
        <w:rPr>
          <w:spacing w:val="-6"/>
        </w:rPr>
        <w:t> </w:t>
      </w:r>
      <w:r>
        <w:rPr/>
        <w:t>atë</w:t>
      </w:r>
      <w:r>
        <w:rPr>
          <w:spacing w:val="-5"/>
        </w:rPr>
        <w:t> </w:t>
      </w:r>
      <w:r>
        <w:rPr/>
        <w:t>më</w:t>
      </w:r>
      <w:r>
        <w:rPr>
          <w:spacing w:val="-5"/>
        </w:rPr>
        <w:t> </w:t>
      </w:r>
      <w:r>
        <w:rPr/>
        <w:t>të</w:t>
      </w:r>
      <w:r>
        <w:rPr>
          <w:spacing w:val="-5"/>
        </w:rPr>
        <w:t> </w:t>
      </w:r>
      <w:r>
        <w:rPr/>
        <w:t>organizuar,</w:t>
      </w:r>
      <w:r>
        <w:rPr>
          <w:spacing w:val="-6"/>
        </w:rPr>
        <w:t> </w:t>
      </w:r>
      <w:r>
        <w:rPr/>
        <w:t>prodhimet</w:t>
      </w:r>
      <w:r>
        <w:rPr>
          <w:spacing w:val="-6"/>
        </w:rPr>
        <w:t> </w:t>
      </w:r>
      <w:r>
        <w:rPr/>
        <w:t>tjera vendase</w:t>
      </w:r>
      <w:r>
        <w:rPr>
          <w:spacing w:val="-9"/>
        </w:rPr>
        <w:t> </w:t>
      </w:r>
      <w:r>
        <w:rPr/>
        <w:t>kanë</w:t>
      </w:r>
      <w:r>
        <w:rPr>
          <w:spacing w:val="-9"/>
        </w:rPr>
        <w:t> </w:t>
      </w:r>
      <w:r>
        <w:rPr/>
        <w:t>vështirësi</w:t>
      </w:r>
      <w:r>
        <w:rPr>
          <w:spacing w:val="-10"/>
        </w:rPr>
        <w:t> </w:t>
      </w:r>
      <w:r>
        <w:rPr/>
        <w:t>që</w:t>
      </w:r>
      <w:r>
        <w:rPr>
          <w:spacing w:val="-9"/>
        </w:rPr>
        <w:t> </w:t>
      </w:r>
      <w:r>
        <w:rPr/>
        <w:t>të</w:t>
      </w:r>
      <w:r>
        <w:rPr>
          <w:spacing w:val="-9"/>
        </w:rPr>
        <w:t> </w:t>
      </w:r>
      <w:r>
        <w:rPr/>
        <w:t>plasohen</w:t>
      </w:r>
      <w:r>
        <w:rPr>
          <w:spacing w:val="-9"/>
        </w:rPr>
        <w:t> </w:t>
      </w:r>
      <w:r>
        <w:rPr/>
        <w:t>në</w:t>
      </w:r>
      <w:r>
        <w:rPr>
          <w:spacing w:val="-9"/>
        </w:rPr>
        <w:t> </w:t>
      </w:r>
      <w:r>
        <w:rPr/>
        <w:t>treg</w:t>
      </w:r>
      <w:r>
        <w:rPr>
          <w:spacing w:val="-9"/>
        </w:rPr>
        <w:t> </w:t>
      </w:r>
      <w:r>
        <w:rPr/>
        <w:t>dhe</w:t>
      </w:r>
      <w:r>
        <w:rPr>
          <w:spacing w:val="-9"/>
        </w:rPr>
        <w:t> </w:t>
      </w:r>
      <w:r>
        <w:rPr/>
        <w:t>të</w:t>
      </w:r>
      <w:r>
        <w:rPr>
          <w:spacing w:val="-9"/>
        </w:rPr>
        <w:t> </w:t>
      </w:r>
      <w:r>
        <w:rPr/>
        <w:t>shiten.</w:t>
      </w:r>
      <w:r>
        <w:rPr>
          <w:spacing w:val="-9"/>
        </w:rPr>
        <w:t> </w:t>
      </w:r>
      <w:r>
        <w:rPr/>
        <w:t>Tregu</w:t>
      </w:r>
      <w:r>
        <w:rPr>
          <w:spacing w:val="-9"/>
        </w:rPr>
        <w:t> </w:t>
      </w:r>
      <w:r>
        <w:rPr/>
        <w:t>i</w:t>
      </w:r>
      <w:r>
        <w:rPr>
          <w:spacing w:val="-9"/>
        </w:rPr>
        <w:t> </w:t>
      </w:r>
      <w:r>
        <w:rPr/>
        <w:t>këtyre</w:t>
      </w:r>
      <w:r>
        <w:rPr>
          <w:spacing w:val="-10"/>
        </w:rPr>
        <w:t> </w:t>
      </w:r>
      <w:r>
        <w:rPr/>
        <w:t>prodhimeve</w:t>
      </w:r>
      <w:r>
        <w:rPr>
          <w:spacing w:val="-10"/>
        </w:rPr>
        <w:t> </w:t>
      </w:r>
      <w:r>
        <w:rPr/>
        <w:t>në</w:t>
      </w:r>
      <w:r>
        <w:rPr>
          <w:spacing w:val="-9"/>
        </w:rPr>
        <w:t> </w:t>
      </w:r>
      <w:r>
        <w:rPr/>
        <w:t>Kosovë nuk është i rregulluar. Në Han të Elezit ekziston tregu i qytetit i cili organizohet një herë në javë si dhe një vend ku mundë të ekspozohen prodhimet (i ndërtuar nga LAB). Por fuqia blerëse e Komunës me numër të vogël të banorëve nuk mundë të konsumojë prodhimet që shumica e tyre kanë një periudhë të shkurtër konsumimi. Prodhimet e mjedrës janë ulur ndjeshëm për shkak të tregut jo të organizuar dhe çmimit të ulët, përderisa pemët dhe perimet e ndryshme plasohen në tregun më të gjerë kosovar me shumë vështirësi.</w:t>
      </w:r>
    </w:p>
    <w:p>
      <w:pPr>
        <w:pStyle w:val="BodyText"/>
        <w:spacing w:before="200"/>
        <w:ind w:left="740" w:right="1436"/>
        <w:jc w:val="both"/>
      </w:pPr>
      <w:r>
        <w:rPr/>
        <w:t>Gjithsesi janë bërë hapat e parë për standardizimin e produkteve bujqësore si dhe trajnime dhe mbështetje permanente të bujqve për kultivim sa më mirë dhe efikas të kulturave të lartpërmendura. Trajnime dhe mbështetje ka pasur edhe për</w:t>
      </w:r>
      <w:r>
        <w:rPr>
          <w:spacing w:val="-1"/>
        </w:rPr>
        <w:t> </w:t>
      </w:r>
      <w:r>
        <w:rPr/>
        <w:t>aktivitete biznesore të</w:t>
      </w:r>
      <w:r>
        <w:rPr>
          <w:spacing w:val="-1"/>
        </w:rPr>
        <w:t> </w:t>
      </w:r>
      <w:r>
        <w:rPr/>
        <w:t>natyrave tjera. Këto aktivitete pritet të intensifikohen në vitet në vijim.</w:t>
      </w:r>
    </w:p>
    <w:p>
      <w:pPr>
        <w:pStyle w:val="BodyText"/>
        <w:rPr>
          <w:sz w:val="20"/>
        </w:rPr>
      </w:pPr>
    </w:p>
    <w:p>
      <w:pPr>
        <w:pStyle w:val="BodyText"/>
        <w:rPr>
          <w:sz w:val="20"/>
        </w:rPr>
      </w:pPr>
    </w:p>
    <w:p>
      <w:pPr>
        <w:pStyle w:val="BodyText"/>
        <w:spacing w:before="8"/>
        <w:rPr>
          <w:sz w:val="16"/>
        </w:rPr>
      </w:pPr>
      <w:r>
        <w:rPr/>
        <w:pict>
          <v:shape style="position:absolute;margin-left:70.5pt;margin-top:10.836016pt;width:471.1pt;height:13.75pt;mso-position-horizontal-relative:page;mso-position-vertical-relative:paragraph;z-index:-15714304;mso-wrap-distance-left:0;mso-wrap-distance-right:0" type="#_x0000_t202" id="docshape135" filled="true" fillcolor="#eab8a3" stroked="false">
            <v:textbox inset="0,0,0,0">
              <w:txbxContent>
                <w:p>
                  <w:pPr>
                    <w:tabs>
                      <w:tab w:pos="810" w:val="left" w:leader="none"/>
                    </w:tabs>
                    <w:spacing w:line="274" w:lineRule="exact" w:before="0"/>
                    <w:ind w:left="30" w:right="0" w:firstLine="0"/>
                    <w:jc w:val="left"/>
                    <w:rPr>
                      <w:b/>
                      <w:color w:val="000000"/>
                      <w:sz w:val="24"/>
                    </w:rPr>
                  </w:pPr>
                  <w:r>
                    <w:rPr>
                      <w:b/>
                      <w:color w:val="000000"/>
                      <w:spacing w:val="-4"/>
                      <w:sz w:val="24"/>
                    </w:rPr>
                    <w:t>3.3.</w:t>
                  </w:r>
                  <w:r>
                    <w:rPr>
                      <w:b/>
                      <w:color w:val="000000"/>
                      <w:sz w:val="24"/>
                    </w:rPr>
                    <w:tab/>
                    <w:t>Regjistrimi</w:t>
                  </w:r>
                  <w:r>
                    <w:rPr>
                      <w:b/>
                      <w:color w:val="000000"/>
                      <w:spacing w:val="-5"/>
                      <w:sz w:val="24"/>
                    </w:rPr>
                    <w:t> </w:t>
                  </w:r>
                  <w:r>
                    <w:rPr>
                      <w:b/>
                      <w:color w:val="000000"/>
                      <w:sz w:val="24"/>
                    </w:rPr>
                    <w:t>bizneseve</w:t>
                  </w:r>
                  <w:r>
                    <w:rPr>
                      <w:b/>
                      <w:color w:val="000000"/>
                      <w:spacing w:val="-3"/>
                      <w:sz w:val="24"/>
                    </w:rPr>
                    <w:t> </w:t>
                  </w:r>
                  <w:r>
                    <w:rPr>
                      <w:b/>
                      <w:color w:val="000000"/>
                      <w:sz w:val="24"/>
                    </w:rPr>
                    <w:t>sipas</w:t>
                  </w:r>
                  <w:r>
                    <w:rPr>
                      <w:b/>
                      <w:color w:val="000000"/>
                      <w:spacing w:val="-3"/>
                      <w:sz w:val="24"/>
                    </w:rPr>
                    <w:t> </w:t>
                  </w:r>
                  <w:r>
                    <w:rPr>
                      <w:b/>
                      <w:color w:val="000000"/>
                      <w:sz w:val="24"/>
                    </w:rPr>
                    <w:t>llojit</w:t>
                  </w:r>
                  <w:r>
                    <w:rPr>
                      <w:b/>
                      <w:color w:val="000000"/>
                      <w:spacing w:val="-4"/>
                      <w:sz w:val="24"/>
                    </w:rPr>
                    <w:t> </w:t>
                  </w:r>
                  <w:r>
                    <w:rPr>
                      <w:b/>
                      <w:color w:val="000000"/>
                      <w:sz w:val="24"/>
                    </w:rPr>
                    <w:t>të</w:t>
                  </w:r>
                  <w:r>
                    <w:rPr>
                      <w:b/>
                      <w:color w:val="000000"/>
                      <w:spacing w:val="-5"/>
                      <w:sz w:val="24"/>
                    </w:rPr>
                    <w:t> </w:t>
                  </w:r>
                  <w:r>
                    <w:rPr>
                      <w:b/>
                      <w:color w:val="000000"/>
                      <w:spacing w:val="-2"/>
                      <w:sz w:val="24"/>
                    </w:rPr>
                    <w:t>biznesit.</w:t>
                  </w:r>
                </w:p>
              </w:txbxContent>
            </v:textbox>
            <v:fill type="solid"/>
            <w10:wrap type="topAndBottom"/>
          </v:shape>
        </w:pict>
      </w:r>
    </w:p>
    <w:p>
      <w:pPr>
        <w:pStyle w:val="BodyText"/>
        <w:rPr>
          <w:sz w:val="20"/>
        </w:rPr>
      </w:pPr>
    </w:p>
    <w:p>
      <w:pPr>
        <w:pStyle w:val="BodyText"/>
        <w:spacing w:before="5"/>
        <w:rPr>
          <w:sz w:val="27"/>
        </w:rPr>
      </w:pPr>
    </w:p>
    <w:tbl>
      <w:tblPr>
        <w:tblW w:w="0" w:type="auto"/>
        <w:jc w:val="left"/>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1"/>
        <w:gridCol w:w="960"/>
        <w:gridCol w:w="960"/>
      </w:tblGrid>
      <w:tr>
        <w:trPr>
          <w:trHeight w:val="299" w:hRule="atLeast"/>
        </w:trPr>
        <w:tc>
          <w:tcPr>
            <w:tcW w:w="4521" w:type="dxa"/>
          </w:tcPr>
          <w:p>
            <w:pPr>
              <w:pStyle w:val="TableParagraph"/>
              <w:spacing w:line="248" w:lineRule="exact" w:before="31"/>
              <w:ind w:left="107"/>
              <w:rPr>
                <w:rFonts w:ascii="Calibri"/>
                <w:sz w:val="22"/>
              </w:rPr>
            </w:pPr>
            <w:r>
              <w:rPr>
                <w:rFonts w:ascii="Calibri"/>
                <w:sz w:val="22"/>
              </w:rPr>
              <w:t>Biznesi</w:t>
            </w:r>
            <w:r>
              <w:rPr>
                <w:rFonts w:ascii="Calibri"/>
                <w:spacing w:val="-8"/>
                <w:sz w:val="22"/>
              </w:rPr>
              <w:t> </w:t>
            </w:r>
            <w:r>
              <w:rPr>
                <w:rFonts w:ascii="Calibri"/>
                <w:spacing w:val="-2"/>
                <w:sz w:val="22"/>
              </w:rPr>
              <w:t>Individuale(B.I.)</w:t>
            </w:r>
          </w:p>
        </w:tc>
        <w:tc>
          <w:tcPr>
            <w:tcW w:w="960" w:type="dxa"/>
          </w:tcPr>
          <w:p>
            <w:pPr>
              <w:pStyle w:val="TableParagraph"/>
              <w:spacing w:line="248" w:lineRule="exact" w:before="31"/>
              <w:ind w:right="97"/>
              <w:jc w:val="right"/>
              <w:rPr>
                <w:rFonts w:ascii="Calibri"/>
                <w:sz w:val="22"/>
              </w:rPr>
            </w:pPr>
            <w:r>
              <w:rPr>
                <w:rFonts w:ascii="Calibri"/>
                <w:spacing w:val="-5"/>
                <w:sz w:val="22"/>
              </w:rPr>
              <w:t>223</w:t>
            </w:r>
          </w:p>
        </w:tc>
        <w:tc>
          <w:tcPr>
            <w:tcW w:w="960" w:type="dxa"/>
          </w:tcPr>
          <w:p>
            <w:pPr>
              <w:pStyle w:val="TableParagraph"/>
              <w:spacing w:line="248" w:lineRule="exact" w:before="31"/>
              <w:ind w:right="97"/>
              <w:jc w:val="right"/>
              <w:rPr>
                <w:rFonts w:ascii="Calibri"/>
                <w:sz w:val="22"/>
              </w:rPr>
            </w:pPr>
            <w:r>
              <w:rPr>
                <w:rFonts w:ascii="Calibri"/>
                <w:spacing w:val="-2"/>
                <w:sz w:val="22"/>
              </w:rPr>
              <w:t>62.47%</w:t>
            </w:r>
          </w:p>
        </w:tc>
      </w:tr>
      <w:tr>
        <w:trPr>
          <w:trHeight w:val="300" w:hRule="atLeast"/>
        </w:trPr>
        <w:tc>
          <w:tcPr>
            <w:tcW w:w="4521" w:type="dxa"/>
          </w:tcPr>
          <w:p>
            <w:pPr>
              <w:pStyle w:val="TableParagraph"/>
              <w:spacing w:line="248" w:lineRule="exact" w:before="32"/>
              <w:ind w:left="107"/>
              <w:rPr>
                <w:rFonts w:ascii="Calibri" w:hAnsi="Calibri"/>
                <w:sz w:val="22"/>
              </w:rPr>
            </w:pPr>
            <w:r>
              <w:rPr>
                <w:rFonts w:ascii="Calibri" w:hAnsi="Calibri"/>
                <w:sz w:val="22"/>
              </w:rPr>
              <w:t>Shoqërisë</w:t>
            </w:r>
            <w:r>
              <w:rPr>
                <w:rFonts w:ascii="Calibri" w:hAnsi="Calibri"/>
                <w:spacing w:val="-8"/>
                <w:sz w:val="22"/>
              </w:rPr>
              <w:t> </w:t>
            </w:r>
            <w:r>
              <w:rPr>
                <w:rFonts w:ascii="Calibri" w:hAnsi="Calibri"/>
                <w:sz w:val="22"/>
              </w:rPr>
              <w:t>me</w:t>
            </w:r>
            <w:r>
              <w:rPr>
                <w:rFonts w:ascii="Calibri" w:hAnsi="Calibri"/>
                <w:spacing w:val="-7"/>
                <w:sz w:val="22"/>
              </w:rPr>
              <w:t> </w:t>
            </w:r>
            <w:r>
              <w:rPr>
                <w:rFonts w:ascii="Calibri" w:hAnsi="Calibri"/>
                <w:sz w:val="22"/>
              </w:rPr>
              <w:t>Përgjegjësi</w:t>
            </w:r>
            <w:r>
              <w:rPr>
                <w:rFonts w:ascii="Calibri" w:hAnsi="Calibri"/>
                <w:spacing w:val="-8"/>
                <w:sz w:val="22"/>
              </w:rPr>
              <w:t> </w:t>
            </w:r>
            <w:r>
              <w:rPr>
                <w:rFonts w:ascii="Calibri" w:hAnsi="Calibri"/>
                <w:sz w:val="22"/>
              </w:rPr>
              <w:t>të</w:t>
            </w:r>
            <w:r>
              <w:rPr>
                <w:rFonts w:ascii="Calibri" w:hAnsi="Calibri"/>
                <w:spacing w:val="-8"/>
                <w:sz w:val="22"/>
              </w:rPr>
              <w:t> </w:t>
            </w:r>
            <w:r>
              <w:rPr>
                <w:rFonts w:ascii="Calibri" w:hAnsi="Calibri"/>
                <w:sz w:val="22"/>
              </w:rPr>
              <w:t>Kufizuar</w:t>
            </w:r>
            <w:r>
              <w:rPr>
                <w:rFonts w:ascii="Calibri" w:hAnsi="Calibri"/>
                <w:spacing w:val="-9"/>
                <w:sz w:val="22"/>
              </w:rPr>
              <w:t> </w:t>
            </w:r>
            <w:r>
              <w:rPr>
                <w:rFonts w:ascii="Calibri" w:hAnsi="Calibri"/>
                <w:spacing w:val="-2"/>
                <w:sz w:val="22"/>
              </w:rPr>
              <w:t>(SH.P.K.)</w:t>
            </w:r>
          </w:p>
        </w:tc>
        <w:tc>
          <w:tcPr>
            <w:tcW w:w="960" w:type="dxa"/>
          </w:tcPr>
          <w:p>
            <w:pPr>
              <w:pStyle w:val="TableParagraph"/>
              <w:spacing w:line="248" w:lineRule="exact" w:before="32"/>
              <w:ind w:right="97"/>
              <w:jc w:val="right"/>
              <w:rPr>
                <w:rFonts w:ascii="Calibri"/>
                <w:sz w:val="22"/>
              </w:rPr>
            </w:pPr>
            <w:r>
              <w:rPr>
                <w:rFonts w:ascii="Calibri"/>
                <w:spacing w:val="-5"/>
                <w:sz w:val="22"/>
              </w:rPr>
              <w:t>133</w:t>
            </w:r>
          </w:p>
        </w:tc>
        <w:tc>
          <w:tcPr>
            <w:tcW w:w="960" w:type="dxa"/>
          </w:tcPr>
          <w:p>
            <w:pPr>
              <w:pStyle w:val="TableParagraph"/>
              <w:spacing w:line="248" w:lineRule="exact" w:before="32"/>
              <w:ind w:right="97"/>
              <w:jc w:val="right"/>
              <w:rPr>
                <w:rFonts w:ascii="Calibri"/>
                <w:sz w:val="22"/>
              </w:rPr>
            </w:pPr>
            <w:r>
              <w:rPr>
                <w:rFonts w:ascii="Calibri"/>
                <w:spacing w:val="-2"/>
                <w:sz w:val="22"/>
              </w:rPr>
              <w:t>37.25%</w:t>
            </w:r>
          </w:p>
        </w:tc>
      </w:tr>
      <w:tr>
        <w:trPr>
          <w:trHeight w:val="299" w:hRule="atLeast"/>
        </w:trPr>
        <w:tc>
          <w:tcPr>
            <w:tcW w:w="4521" w:type="dxa"/>
          </w:tcPr>
          <w:p>
            <w:pPr>
              <w:pStyle w:val="TableParagraph"/>
              <w:spacing w:line="248" w:lineRule="exact" w:before="31"/>
              <w:ind w:left="107"/>
              <w:rPr>
                <w:rFonts w:ascii="Calibri"/>
                <w:sz w:val="22"/>
              </w:rPr>
            </w:pPr>
            <w:r>
              <w:rPr>
                <w:rFonts w:ascii="Calibri"/>
                <w:spacing w:val="-2"/>
                <w:sz w:val="22"/>
              </w:rPr>
              <w:t>Shoqerite</w:t>
            </w:r>
            <w:r>
              <w:rPr>
                <w:rFonts w:ascii="Calibri"/>
                <w:spacing w:val="5"/>
                <w:sz w:val="22"/>
              </w:rPr>
              <w:t> </w:t>
            </w:r>
            <w:r>
              <w:rPr>
                <w:rFonts w:ascii="Calibri"/>
                <w:spacing w:val="-2"/>
                <w:sz w:val="22"/>
              </w:rPr>
              <w:t>Aksionere</w:t>
            </w:r>
            <w:r>
              <w:rPr>
                <w:rFonts w:ascii="Calibri"/>
                <w:spacing w:val="5"/>
                <w:sz w:val="22"/>
              </w:rPr>
              <w:t> </w:t>
            </w:r>
            <w:r>
              <w:rPr>
                <w:rFonts w:ascii="Calibri"/>
                <w:spacing w:val="-2"/>
                <w:sz w:val="22"/>
              </w:rPr>
              <w:t>(SH.A.)</w:t>
            </w:r>
          </w:p>
        </w:tc>
        <w:tc>
          <w:tcPr>
            <w:tcW w:w="960" w:type="dxa"/>
          </w:tcPr>
          <w:p>
            <w:pPr>
              <w:pStyle w:val="TableParagraph"/>
              <w:spacing w:line="248" w:lineRule="exact" w:before="31"/>
              <w:ind w:right="97"/>
              <w:jc w:val="right"/>
              <w:rPr>
                <w:rFonts w:ascii="Calibri"/>
                <w:sz w:val="22"/>
              </w:rPr>
            </w:pPr>
            <w:r>
              <w:rPr>
                <w:rFonts w:ascii="Calibri"/>
                <w:w w:val="99"/>
                <w:sz w:val="22"/>
              </w:rPr>
              <w:t>1</w:t>
            </w:r>
          </w:p>
        </w:tc>
        <w:tc>
          <w:tcPr>
            <w:tcW w:w="960" w:type="dxa"/>
          </w:tcPr>
          <w:p>
            <w:pPr>
              <w:pStyle w:val="TableParagraph"/>
              <w:spacing w:line="248" w:lineRule="exact" w:before="31"/>
              <w:ind w:right="98"/>
              <w:jc w:val="right"/>
              <w:rPr>
                <w:rFonts w:ascii="Calibri"/>
                <w:sz w:val="22"/>
              </w:rPr>
            </w:pPr>
            <w:r>
              <w:rPr>
                <w:rFonts w:ascii="Calibri"/>
                <w:spacing w:val="-2"/>
                <w:sz w:val="22"/>
              </w:rPr>
              <w:t>0.28%</w:t>
            </w:r>
          </w:p>
        </w:tc>
      </w:tr>
    </w:tbl>
    <w:p>
      <w:pPr>
        <w:pStyle w:val="BodyText"/>
        <w:rPr>
          <w:sz w:val="8"/>
        </w:rPr>
      </w:pPr>
    </w:p>
    <w:p>
      <w:pPr>
        <w:pStyle w:val="BodyText"/>
        <w:spacing w:before="90"/>
        <w:ind w:right="698"/>
        <w:jc w:val="center"/>
      </w:pPr>
      <w:r>
        <w:rPr>
          <w:b/>
        </w:rPr>
        <w:t>Tabela</w:t>
      </w:r>
      <w:r>
        <w:rPr>
          <w:b/>
          <w:spacing w:val="-4"/>
        </w:rPr>
        <w:t> </w:t>
      </w:r>
      <w:r>
        <w:rPr>
          <w:b/>
        </w:rPr>
        <w:t>3:</w:t>
      </w:r>
      <w:r>
        <w:rPr>
          <w:b/>
          <w:spacing w:val="-3"/>
        </w:rPr>
        <w:t> </w:t>
      </w:r>
      <w:r>
        <w:rPr/>
        <w:t>Regjistrimi</w:t>
      </w:r>
      <w:r>
        <w:rPr>
          <w:spacing w:val="-3"/>
        </w:rPr>
        <w:t> </w:t>
      </w:r>
      <w:r>
        <w:rPr/>
        <w:t>bizneseve</w:t>
      </w:r>
      <w:r>
        <w:rPr>
          <w:spacing w:val="-3"/>
        </w:rPr>
        <w:t> </w:t>
      </w:r>
      <w:r>
        <w:rPr/>
        <w:t>sipas</w:t>
      </w:r>
      <w:r>
        <w:rPr>
          <w:spacing w:val="-4"/>
        </w:rPr>
        <w:t> </w:t>
      </w:r>
      <w:r>
        <w:rPr/>
        <w:t>llojit</w:t>
      </w:r>
      <w:r>
        <w:rPr>
          <w:spacing w:val="-4"/>
        </w:rPr>
        <w:t> </w:t>
      </w:r>
      <w:r>
        <w:rPr/>
        <w:t>të</w:t>
      </w:r>
      <w:r>
        <w:rPr>
          <w:spacing w:val="-3"/>
        </w:rPr>
        <w:t> </w:t>
      </w:r>
      <w:r>
        <w:rPr>
          <w:spacing w:val="-2"/>
        </w:rPr>
        <w:t>biznesit.</w:t>
      </w:r>
    </w:p>
    <w:p>
      <w:pPr>
        <w:pStyle w:val="BodyText"/>
        <w:rPr>
          <w:sz w:val="29"/>
        </w:rPr>
      </w:pPr>
      <w:r>
        <w:rPr/>
        <w:pict>
          <v:group style="position:absolute;margin-left:77.625pt;margin-top:17.926573pt;width:456pt;height:163.5pt;mso-position-horizontal-relative:page;mso-position-vertical-relative:paragraph;z-index:-15713792;mso-wrap-distance-left:0;mso-wrap-distance-right:0" id="docshapegroup136" coordorigin="1553,359" coordsize="9120,3270">
            <v:shape style="position:absolute;left:4499;top:1086;width:3245;height:1783" type="#_x0000_t75" id="docshape137" stroked="false">
              <v:imagedata r:id="rId41" o:title=""/>
            </v:shape>
            <v:shape style="position:absolute;left:2220;top:3282;width:99;height:99" type="#_x0000_t75" id="docshape138" stroked="false">
              <v:imagedata r:id="rId42" o:title=""/>
            </v:shape>
            <v:shape style="position:absolute;left:4253;top:3282;width:99;height:99" type="#_x0000_t75" id="docshape139" stroked="false">
              <v:imagedata r:id="rId43" o:title=""/>
            </v:shape>
            <v:rect style="position:absolute;left:7916;top:3282;width:99;height:99" id="docshape140" filled="true" fillcolor="#ff0000" stroked="false">
              <v:fill type="solid"/>
            </v:rect>
            <v:rect style="position:absolute;left:1560;top:366;width:9105;height:3255" id="docshape141" filled="false" stroked="true" strokeweight=".75pt" strokecolor="#e8ebe3">
              <v:stroke dashstyle="solid"/>
            </v:rect>
            <v:shape style="position:absolute;left:4254;top:559;width:3736;height:210" type="#_x0000_t202" id="docshape142" filled="false" stroked="false">
              <v:textbox inset="0,0,0,0">
                <w:txbxContent>
                  <w:p>
                    <w:pPr>
                      <w:spacing w:line="210" w:lineRule="exact" w:before="0"/>
                      <w:ind w:left="0" w:right="0" w:firstLine="0"/>
                      <w:jc w:val="left"/>
                      <w:rPr>
                        <w:rFonts w:ascii="Calibri" w:hAnsi="Calibri"/>
                        <w:b/>
                        <w:sz w:val="21"/>
                      </w:rPr>
                    </w:pPr>
                    <w:r>
                      <w:rPr>
                        <w:rFonts w:ascii="Calibri" w:hAnsi="Calibri"/>
                        <w:b/>
                        <w:sz w:val="21"/>
                      </w:rPr>
                      <w:t>Regjistrimi</w:t>
                    </w:r>
                    <w:r>
                      <w:rPr>
                        <w:rFonts w:ascii="Calibri" w:hAnsi="Calibri"/>
                        <w:b/>
                        <w:spacing w:val="-3"/>
                        <w:sz w:val="21"/>
                      </w:rPr>
                      <w:t> </w:t>
                    </w:r>
                    <w:r>
                      <w:rPr>
                        <w:rFonts w:ascii="Calibri" w:hAnsi="Calibri"/>
                        <w:b/>
                        <w:sz w:val="21"/>
                      </w:rPr>
                      <w:t>bizneseve</w:t>
                    </w:r>
                    <w:r>
                      <w:rPr>
                        <w:rFonts w:ascii="Calibri" w:hAnsi="Calibri"/>
                        <w:b/>
                        <w:spacing w:val="-3"/>
                        <w:sz w:val="21"/>
                      </w:rPr>
                      <w:t> </w:t>
                    </w:r>
                    <w:r>
                      <w:rPr>
                        <w:rFonts w:ascii="Calibri" w:hAnsi="Calibri"/>
                        <w:b/>
                        <w:sz w:val="21"/>
                      </w:rPr>
                      <w:t>sipas</w:t>
                    </w:r>
                    <w:r>
                      <w:rPr>
                        <w:rFonts w:ascii="Calibri" w:hAnsi="Calibri"/>
                        <w:b/>
                        <w:spacing w:val="-1"/>
                        <w:sz w:val="21"/>
                      </w:rPr>
                      <w:t> </w:t>
                    </w:r>
                    <w:r>
                      <w:rPr>
                        <w:rFonts w:ascii="Calibri" w:hAnsi="Calibri"/>
                        <w:b/>
                        <w:sz w:val="21"/>
                      </w:rPr>
                      <w:t>llojit</w:t>
                    </w:r>
                    <w:r>
                      <w:rPr>
                        <w:rFonts w:ascii="Calibri" w:hAnsi="Calibri"/>
                        <w:b/>
                        <w:spacing w:val="-3"/>
                        <w:sz w:val="21"/>
                      </w:rPr>
                      <w:t> </w:t>
                    </w:r>
                    <w:r>
                      <w:rPr>
                        <w:rFonts w:ascii="Calibri" w:hAnsi="Calibri"/>
                        <w:b/>
                        <w:sz w:val="21"/>
                      </w:rPr>
                      <w:t>të</w:t>
                    </w:r>
                    <w:r>
                      <w:rPr>
                        <w:rFonts w:ascii="Calibri" w:hAnsi="Calibri"/>
                        <w:b/>
                        <w:spacing w:val="-1"/>
                        <w:sz w:val="21"/>
                      </w:rPr>
                      <w:t> </w:t>
                    </w:r>
                    <w:r>
                      <w:rPr>
                        <w:rFonts w:ascii="Calibri" w:hAnsi="Calibri"/>
                        <w:b/>
                        <w:spacing w:val="-2"/>
                        <w:sz w:val="21"/>
                      </w:rPr>
                      <w:t>biznesit</w:t>
                    </w:r>
                  </w:p>
                </w:txbxContent>
              </v:textbox>
              <w10:wrap type="none"/>
            </v:shape>
            <v:shape style="position:absolute;left:4945;top:1536;width:679;height:220" type="#_x0000_t202" id="docshape143" filled="false" stroked="false">
              <v:textbox inset="0,0,0,0">
                <w:txbxContent>
                  <w:p>
                    <w:pPr>
                      <w:spacing w:line="220" w:lineRule="exact" w:before="0"/>
                      <w:ind w:left="0" w:right="0" w:firstLine="0"/>
                      <w:jc w:val="left"/>
                      <w:rPr>
                        <w:rFonts w:ascii="Calibri"/>
                        <w:sz w:val="22"/>
                      </w:rPr>
                    </w:pPr>
                    <w:r>
                      <w:rPr>
                        <w:rFonts w:ascii="Calibri"/>
                        <w:spacing w:val="-2"/>
                        <w:sz w:val="22"/>
                      </w:rPr>
                      <w:t>62.47%</w:t>
                    </w:r>
                  </w:p>
                </w:txbxContent>
              </v:textbox>
              <w10:wrap type="none"/>
            </v:shape>
            <v:shape style="position:absolute;left:6638;top:1615;width:679;height:220" type="#_x0000_t202" id="docshape144" filled="false" stroked="false">
              <v:textbox inset="0,0,0,0">
                <w:txbxContent>
                  <w:p>
                    <w:pPr>
                      <w:spacing w:line="220" w:lineRule="exact" w:before="0"/>
                      <w:ind w:left="0" w:right="0" w:firstLine="0"/>
                      <w:jc w:val="left"/>
                      <w:rPr>
                        <w:rFonts w:ascii="Calibri"/>
                        <w:sz w:val="22"/>
                      </w:rPr>
                    </w:pPr>
                    <w:r>
                      <w:rPr>
                        <w:rFonts w:ascii="Calibri"/>
                        <w:spacing w:val="-2"/>
                        <w:sz w:val="22"/>
                      </w:rPr>
                      <w:t>37.25%</w:t>
                    </w:r>
                  </w:p>
                </w:txbxContent>
              </v:textbox>
              <w10:wrap type="none"/>
            </v:shape>
            <v:shape style="position:absolute;left:2361;top:2854;width:7737;height:576" type="#_x0000_t202" id="docshape145" filled="false" stroked="false">
              <v:textbox inset="0,0,0,0">
                <w:txbxContent>
                  <w:p>
                    <w:pPr>
                      <w:spacing w:line="224" w:lineRule="exact" w:before="0"/>
                      <w:ind w:left="4253" w:right="2906" w:firstLine="0"/>
                      <w:jc w:val="center"/>
                      <w:rPr>
                        <w:rFonts w:ascii="Calibri"/>
                        <w:sz w:val="22"/>
                      </w:rPr>
                    </w:pPr>
                    <w:r>
                      <w:rPr>
                        <w:rFonts w:ascii="Calibri"/>
                        <w:spacing w:val="-2"/>
                        <w:sz w:val="22"/>
                      </w:rPr>
                      <w:t>0.28%</w:t>
                    </w:r>
                  </w:p>
                  <w:p>
                    <w:pPr>
                      <w:tabs>
                        <w:tab w:pos="2033" w:val="left" w:leader="none"/>
                        <w:tab w:pos="5696" w:val="left" w:leader="none"/>
                      </w:tabs>
                      <w:spacing w:line="216" w:lineRule="exact" w:before="135"/>
                      <w:ind w:left="0" w:right="0" w:firstLine="0"/>
                      <w:jc w:val="left"/>
                      <w:rPr>
                        <w:rFonts w:ascii="Calibri" w:hAnsi="Calibri"/>
                        <w:sz w:val="18"/>
                      </w:rPr>
                    </w:pPr>
                    <w:r>
                      <w:rPr>
                        <w:rFonts w:ascii="Calibri" w:hAnsi="Calibri"/>
                        <w:sz w:val="18"/>
                      </w:rPr>
                      <w:t>Biznesi</w:t>
                    </w:r>
                    <w:r>
                      <w:rPr>
                        <w:rFonts w:ascii="Calibri" w:hAnsi="Calibri"/>
                        <w:spacing w:val="-1"/>
                        <w:sz w:val="18"/>
                      </w:rPr>
                      <w:t> </w:t>
                    </w:r>
                    <w:r>
                      <w:rPr>
                        <w:rFonts w:ascii="Calibri" w:hAnsi="Calibri"/>
                        <w:spacing w:val="-2"/>
                        <w:sz w:val="18"/>
                      </w:rPr>
                      <w:t>Individuale(B.I.)</w:t>
                    </w:r>
                    <w:r>
                      <w:rPr>
                        <w:rFonts w:ascii="Calibri" w:hAnsi="Calibri"/>
                        <w:sz w:val="18"/>
                      </w:rPr>
                      <w:tab/>
                      <w:t>Shoqërisë</w:t>
                    </w:r>
                    <w:r>
                      <w:rPr>
                        <w:rFonts w:ascii="Calibri" w:hAnsi="Calibri"/>
                        <w:spacing w:val="-5"/>
                        <w:sz w:val="18"/>
                      </w:rPr>
                      <w:t> </w:t>
                    </w:r>
                    <w:r>
                      <w:rPr>
                        <w:rFonts w:ascii="Calibri" w:hAnsi="Calibri"/>
                        <w:sz w:val="18"/>
                      </w:rPr>
                      <w:t>me</w:t>
                    </w:r>
                    <w:r>
                      <w:rPr>
                        <w:rFonts w:ascii="Calibri" w:hAnsi="Calibri"/>
                        <w:spacing w:val="-2"/>
                        <w:sz w:val="18"/>
                      </w:rPr>
                      <w:t> </w:t>
                    </w:r>
                    <w:r>
                      <w:rPr>
                        <w:rFonts w:ascii="Calibri" w:hAnsi="Calibri"/>
                        <w:sz w:val="18"/>
                      </w:rPr>
                      <w:t>Përgjegjësi</w:t>
                    </w:r>
                    <w:r>
                      <w:rPr>
                        <w:rFonts w:ascii="Calibri" w:hAnsi="Calibri"/>
                        <w:spacing w:val="-2"/>
                        <w:sz w:val="18"/>
                      </w:rPr>
                      <w:t> </w:t>
                    </w:r>
                    <w:r>
                      <w:rPr>
                        <w:rFonts w:ascii="Calibri" w:hAnsi="Calibri"/>
                        <w:sz w:val="18"/>
                      </w:rPr>
                      <w:t>të</w:t>
                    </w:r>
                    <w:r>
                      <w:rPr>
                        <w:rFonts w:ascii="Calibri" w:hAnsi="Calibri"/>
                        <w:spacing w:val="-3"/>
                        <w:sz w:val="18"/>
                      </w:rPr>
                      <w:t> </w:t>
                    </w:r>
                    <w:r>
                      <w:rPr>
                        <w:rFonts w:ascii="Calibri" w:hAnsi="Calibri"/>
                        <w:sz w:val="18"/>
                      </w:rPr>
                      <w:t>Kufizuar</w:t>
                    </w:r>
                    <w:r>
                      <w:rPr>
                        <w:rFonts w:ascii="Calibri" w:hAnsi="Calibri"/>
                        <w:spacing w:val="-1"/>
                        <w:sz w:val="18"/>
                      </w:rPr>
                      <w:t> </w:t>
                    </w:r>
                    <w:r>
                      <w:rPr>
                        <w:rFonts w:ascii="Calibri" w:hAnsi="Calibri"/>
                        <w:spacing w:val="-2"/>
                        <w:sz w:val="18"/>
                      </w:rPr>
                      <w:t>(SH.P.K.)</w:t>
                    </w:r>
                    <w:r>
                      <w:rPr>
                        <w:rFonts w:ascii="Calibri" w:hAnsi="Calibri"/>
                        <w:sz w:val="18"/>
                      </w:rPr>
                      <w:tab/>
                      <w:t>Shoqerite</w:t>
                    </w:r>
                    <w:r>
                      <w:rPr>
                        <w:rFonts w:ascii="Calibri" w:hAnsi="Calibri"/>
                        <w:spacing w:val="-3"/>
                        <w:sz w:val="18"/>
                      </w:rPr>
                      <w:t> </w:t>
                    </w:r>
                    <w:r>
                      <w:rPr>
                        <w:rFonts w:ascii="Calibri" w:hAnsi="Calibri"/>
                        <w:sz w:val="18"/>
                      </w:rPr>
                      <w:t>Aksionere</w:t>
                    </w:r>
                    <w:r>
                      <w:rPr>
                        <w:rFonts w:ascii="Calibri" w:hAnsi="Calibri"/>
                        <w:spacing w:val="-2"/>
                        <w:sz w:val="18"/>
                      </w:rPr>
                      <w:t> (SH.A.)</w:t>
                    </w:r>
                  </w:p>
                </w:txbxContent>
              </v:textbox>
              <w10:wrap type="none"/>
            </v:shape>
            <w10:wrap type="topAndBottom"/>
          </v:group>
        </w:pict>
      </w:r>
    </w:p>
    <w:p>
      <w:pPr>
        <w:pStyle w:val="BodyText"/>
        <w:spacing w:before="9"/>
        <w:ind w:right="700"/>
        <w:jc w:val="center"/>
      </w:pPr>
      <w:r>
        <w:rPr>
          <w:b/>
        </w:rPr>
        <w:t>Grafiku</w:t>
      </w:r>
      <w:r>
        <w:rPr>
          <w:b/>
          <w:spacing w:val="-7"/>
        </w:rPr>
        <w:t> </w:t>
      </w:r>
      <w:r>
        <w:rPr>
          <w:b/>
        </w:rPr>
        <w:t>5:</w:t>
      </w:r>
      <w:r>
        <w:rPr>
          <w:b/>
          <w:spacing w:val="-7"/>
        </w:rPr>
        <w:t> </w:t>
      </w:r>
      <w:r>
        <w:rPr/>
        <w:t>Regjistrimi</w:t>
      </w:r>
      <w:r>
        <w:rPr>
          <w:spacing w:val="-8"/>
        </w:rPr>
        <w:t> </w:t>
      </w:r>
      <w:r>
        <w:rPr/>
        <w:t>bizneseve</w:t>
      </w:r>
      <w:r>
        <w:rPr>
          <w:spacing w:val="-7"/>
        </w:rPr>
        <w:t> </w:t>
      </w:r>
      <w:r>
        <w:rPr/>
        <w:t>sipas</w:t>
      </w:r>
      <w:r>
        <w:rPr>
          <w:spacing w:val="-7"/>
        </w:rPr>
        <w:t> </w:t>
      </w:r>
      <w:r>
        <w:rPr/>
        <w:t>llojit</w:t>
      </w:r>
      <w:r>
        <w:rPr>
          <w:spacing w:val="-7"/>
        </w:rPr>
        <w:t> </w:t>
      </w:r>
      <w:r>
        <w:rPr/>
        <w:t>të</w:t>
      </w:r>
      <w:r>
        <w:rPr>
          <w:spacing w:val="-8"/>
        </w:rPr>
        <w:t> </w:t>
      </w:r>
      <w:r>
        <w:rPr>
          <w:spacing w:val="-2"/>
        </w:rPr>
        <w:t>biznesit</w:t>
      </w:r>
    </w:p>
    <w:p>
      <w:pPr>
        <w:pStyle w:val="BodyText"/>
        <w:spacing w:before="1"/>
        <w:rPr>
          <w:sz w:val="22"/>
        </w:rPr>
      </w:pPr>
    </w:p>
    <w:p>
      <w:pPr>
        <w:pStyle w:val="Heading2"/>
        <w:numPr>
          <w:ilvl w:val="1"/>
          <w:numId w:val="9"/>
        </w:numPr>
        <w:tabs>
          <w:tab w:pos="750" w:val="left" w:leader="none"/>
          <w:tab w:pos="751" w:val="left" w:leader="none"/>
          <w:tab w:pos="9421" w:val="left" w:leader="none"/>
        </w:tabs>
        <w:spacing w:line="240" w:lineRule="auto" w:before="0" w:after="0"/>
        <w:ind w:left="750" w:right="696" w:hanging="751"/>
        <w:jc w:val="center"/>
      </w:pPr>
      <w:r>
        <w:rPr>
          <w:color w:val="000000"/>
          <w:shd w:fill="EAB8A3" w:color="auto" w:val="clear"/>
        </w:rPr>
        <w:t>Regjistrimi</w:t>
      </w:r>
      <w:r>
        <w:rPr>
          <w:color w:val="000000"/>
          <w:spacing w:val="-4"/>
          <w:shd w:fill="EAB8A3" w:color="auto" w:val="clear"/>
        </w:rPr>
        <w:t> </w:t>
      </w:r>
      <w:r>
        <w:rPr>
          <w:color w:val="000000"/>
          <w:shd w:fill="EAB8A3" w:color="auto" w:val="clear"/>
        </w:rPr>
        <w:t>i</w:t>
      </w:r>
      <w:r>
        <w:rPr>
          <w:color w:val="000000"/>
          <w:spacing w:val="-3"/>
          <w:shd w:fill="EAB8A3" w:color="auto" w:val="clear"/>
        </w:rPr>
        <w:t> </w:t>
      </w:r>
      <w:r>
        <w:rPr>
          <w:color w:val="000000"/>
          <w:shd w:fill="EAB8A3" w:color="auto" w:val="clear"/>
        </w:rPr>
        <w:t>pronarëve</w:t>
      </w:r>
      <w:r>
        <w:rPr>
          <w:color w:val="000000"/>
          <w:spacing w:val="-3"/>
          <w:shd w:fill="EAB8A3" w:color="auto" w:val="clear"/>
        </w:rPr>
        <w:t> </w:t>
      </w:r>
      <w:r>
        <w:rPr>
          <w:color w:val="000000"/>
          <w:shd w:fill="EAB8A3" w:color="auto" w:val="clear"/>
        </w:rPr>
        <w:t>të</w:t>
      </w:r>
      <w:r>
        <w:rPr>
          <w:color w:val="000000"/>
          <w:spacing w:val="-3"/>
          <w:shd w:fill="EAB8A3" w:color="auto" w:val="clear"/>
        </w:rPr>
        <w:t> </w:t>
      </w:r>
      <w:r>
        <w:rPr>
          <w:color w:val="000000"/>
          <w:shd w:fill="EAB8A3" w:color="auto" w:val="clear"/>
        </w:rPr>
        <w:t>bizneseve</w:t>
      </w:r>
      <w:r>
        <w:rPr>
          <w:color w:val="000000"/>
          <w:spacing w:val="-2"/>
          <w:shd w:fill="EAB8A3" w:color="auto" w:val="clear"/>
        </w:rPr>
        <w:t> </w:t>
      </w:r>
      <w:r>
        <w:rPr>
          <w:color w:val="000000"/>
          <w:shd w:fill="EAB8A3" w:color="auto" w:val="clear"/>
        </w:rPr>
        <w:t>sipas</w:t>
      </w:r>
      <w:r>
        <w:rPr>
          <w:color w:val="000000"/>
          <w:spacing w:val="-3"/>
          <w:shd w:fill="EAB8A3" w:color="auto" w:val="clear"/>
        </w:rPr>
        <w:t> </w:t>
      </w:r>
      <w:r>
        <w:rPr>
          <w:color w:val="000000"/>
          <w:spacing w:val="-2"/>
          <w:shd w:fill="EAB8A3" w:color="auto" w:val="clear"/>
        </w:rPr>
        <w:t>gjinisë.</w:t>
      </w:r>
      <w:r>
        <w:rPr>
          <w:color w:val="000000"/>
          <w:shd w:fill="EAB8A3" w:color="auto" w:val="clear"/>
        </w:rPr>
        <w:tab/>
      </w:r>
    </w:p>
    <w:p>
      <w:pPr>
        <w:pStyle w:val="BodyText"/>
        <w:spacing w:line="288" w:lineRule="auto" w:before="201"/>
        <w:ind w:left="740" w:right="1435"/>
      </w:pPr>
      <w:r>
        <w:rPr/>
        <w:t>Më</w:t>
      </w:r>
      <w:r>
        <w:rPr>
          <w:spacing w:val="-11"/>
        </w:rPr>
        <w:t> </w:t>
      </w:r>
      <w:r>
        <w:rPr/>
        <w:t>poshtë</w:t>
      </w:r>
      <w:r>
        <w:rPr>
          <w:spacing w:val="-13"/>
        </w:rPr>
        <w:t> </w:t>
      </w:r>
      <w:r>
        <w:rPr/>
        <w:t>me</w:t>
      </w:r>
      <w:r>
        <w:rPr>
          <w:spacing w:val="-11"/>
        </w:rPr>
        <w:t> </w:t>
      </w:r>
      <w:r>
        <w:rPr/>
        <w:t>anë</w:t>
      </w:r>
      <w:r>
        <w:rPr>
          <w:spacing w:val="-13"/>
        </w:rPr>
        <w:t> </w:t>
      </w:r>
      <w:r>
        <w:rPr/>
        <w:t>të</w:t>
      </w:r>
      <w:r>
        <w:rPr>
          <w:spacing w:val="-12"/>
        </w:rPr>
        <w:t> </w:t>
      </w:r>
      <w:r>
        <w:rPr/>
        <w:t>tabelës</w:t>
      </w:r>
      <w:r>
        <w:rPr>
          <w:spacing w:val="-12"/>
        </w:rPr>
        <w:t> </w:t>
      </w:r>
      <w:r>
        <w:rPr/>
        <w:t>dhe</w:t>
      </w:r>
      <w:r>
        <w:rPr>
          <w:spacing w:val="37"/>
        </w:rPr>
        <w:t> </w:t>
      </w:r>
      <w:r>
        <w:rPr/>
        <w:t>grafikut</w:t>
      </w:r>
      <w:r>
        <w:rPr>
          <w:spacing w:val="-11"/>
        </w:rPr>
        <w:t> </w:t>
      </w:r>
      <w:r>
        <w:rPr/>
        <w:t>kemi</w:t>
      </w:r>
      <w:r>
        <w:rPr>
          <w:spacing w:val="-13"/>
        </w:rPr>
        <w:t> </w:t>
      </w:r>
      <w:r>
        <w:rPr/>
        <w:t>paraqitur</w:t>
      </w:r>
      <w:r>
        <w:rPr>
          <w:spacing w:val="-13"/>
        </w:rPr>
        <w:t> </w:t>
      </w:r>
      <w:r>
        <w:rPr/>
        <w:t>regjistrimin</w:t>
      </w:r>
      <w:r>
        <w:rPr>
          <w:spacing w:val="-13"/>
        </w:rPr>
        <w:t> </w:t>
      </w:r>
      <w:r>
        <w:rPr/>
        <w:t>e</w:t>
      </w:r>
      <w:r>
        <w:rPr>
          <w:spacing w:val="-12"/>
        </w:rPr>
        <w:t> </w:t>
      </w:r>
      <w:r>
        <w:rPr/>
        <w:t>pronarve</w:t>
      </w:r>
      <w:r>
        <w:rPr>
          <w:spacing w:val="-13"/>
        </w:rPr>
        <w:t> </w:t>
      </w:r>
      <w:r>
        <w:rPr/>
        <w:t>të</w:t>
      </w:r>
      <w:r>
        <w:rPr>
          <w:spacing w:val="-11"/>
        </w:rPr>
        <w:t> </w:t>
      </w:r>
      <w:r>
        <w:rPr/>
        <w:t>bizneseve</w:t>
      </w:r>
      <w:r>
        <w:rPr>
          <w:spacing w:val="-13"/>
        </w:rPr>
        <w:t> </w:t>
      </w:r>
      <w:r>
        <w:rPr/>
        <w:t>sipas gjinisë në komunën e Hanit të Elezit gh</w:t>
      </w:r>
    </w:p>
    <w:p>
      <w:pPr>
        <w:pStyle w:val="BodyText"/>
        <w:rPr>
          <w:sz w:val="20"/>
        </w:rPr>
      </w:pPr>
    </w:p>
    <w:p>
      <w:pPr>
        <w:pStyle w:val="BodyText"/>
        <w:rPr>
          <w:sz w:val="20"/>
        </w:rPr>
      </w:pPr>
    </w:p>
    <w:p>
      <w:pPr>
        <w:pStyle w:val="BodyText"/>
        <w:rPr>
          <w:sz w:val="17"/>
        </w:rPr>
      </w:pPr>
    </w:p>
    <w:tbl>
      <w:tblPr>
        <w:tblW w:w="0" w:type="auto"/>
        <w:jc w:val="left"/>
        <w:tblInd w:w="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9"/>
        <w:gridCol w:w="961"/>
        <w:gridCol w:w="961"/>
      </w:tblGrid>
      <w:tr>
        <w:trPr>
          <w:trHeight w:val="301" w:hRule="atLeast"/>
        </w:trPr>
        <w:tc>
          <w:tcPr>
            <w:tcW w:w="2519" w:type="dxa"/>
          </w:tcPr>
          <w:p>
            <w:pPr>
              <w:pStyle w:val="TableParagraph"/>
              <w:spacing w:line="249" w:lineRule="exact" w:before="32"/>
              <w:ind w:left="107"/>
              <w:rPr>
                <w:rFonts w:ascii="Calibri"/>
                <w:sz w:val="22"/>
              </w:rPr>
            </w:pPr>
            <w:r>
              <w:rPr>
                <w:rFonts w:ascii="Calibri"/>
                <w:spacing w:val="-2"/>
                <w:sz w:val="22"/>
              </w:rPr>
              <w:t>Meshkuj</w:t>
            </w:r>
          </w:p>
        </w:tc>
        <w:tc>
          <w:tcPr>
            <w:tcW w:w="961" w:type="dxa"/>
          </w:tcPr>
          <w:p>
            <w:pPr>
              <w:pStyle w:val="TableParagraph"/>
              <w:spacing w:line="249" w:lineRule="exact" w:before="32"/>
              <w:ind w:left="518"/>
              <w:rPr>
                <w:rFonts w:ascii="Calibri"/>
                <w:sz w:val="22"/>
              </w:rPr>
            </w:pPr>
            <w:r>
              <w:rPr>
                <w:rFonts w:ascii="Calibri"/>
                <w:spacing w:val="-5"/>
                <w:sz w:val="22"/>
              </w:rPr>
              <w:t>290</w:t>
            </w:r>
          </w:p>
        </w:tc>
        <w:tc>
          <w:tcPr>
            <w:tcW w:w="961" w:type="dxa"/>
          </w:tcPr>
          <w:p>
            <w:pPr>
              <w:pStyle w:val="TableParagraph"/>
              <w:spacing w:line="265" w:lineRule="exact" w:before="16"/>
              <w:ind w:left="150"/>
              <w:rPr>
                <w:rFonts w:ascii="Calibri"/>
                <w:sz w:val="22"/>
              </w:rPr>
            </w:pPr>
            <w:r>
              <w:rPr>
                <w:rFonts w:ascii="Calibri"/>
                <w:spacing w:val="-2"/>
                <w:sz w:val="22"/>
              </w:rPr>
              <w:t>81.23%</w:t>
            </w:r>
          </w:p>
        </w:tc>
      </w:tr>
    </w:tbl>
    <w:p>
      <w:pPr>
        <w:spacing w:after="0" w:line="265" w:lineRule="exact"/>
        <w:rPr>
          <w:rFonts w:ascii="Calibri"/>
          <w:sz w:val="22"/>
        </w:rPr>
        <w:sectPr>
          <w:pgSz w:w="12240" w:h="15840"/>
          <w:pgMar w:header="0" w:footer="990" w:top="1380" w:bottom="1561" w:left="700" w:right="0"/>
        </w:sectPr>
      </w:pPr>
    </w:p>
    <w:tbl>
      <w:tblPr>
        <w:tblW w:w="0" w:type="auto"/>
        <w:jc w:val="left"/>
        <w:tblInd w:w="3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9"/>
        <w:gridCol w:w="961"/>
        <w:gridCol w:w="961"/>
      </w:tblGrid>
      <w:tr>
        <w:trPr>
          <w:trHeight w:val="299" w:hRule="atLeast"/>
        </w:trPr>
        <w:tc>
          <w:tcPr>
            <w:tcW w:w="2519" w:type="dxa"/>
            <w:tcBorders>
              <w:top w:val="nil"/>
            </w:tcBorders>
          </w:tcPr>
          <w:p>
            <w:pPr>
              <w:pStyle w:val="TableParagraph"/>
              <w:spacing w:line="248" w:lineRule="exact" w:before="31"/>
              <w:ind w:left="107"/>
              <w:rPr>
                <w:rFonts w:ascii="Calibri"/>
                <w:sz w:val="22"/>
              </w:rPr>
            </w:pPr>
            <w:r>
              <w:rPr>
                <w:rFonts w:ascii="Calibri"/>
                <w:spacing w:val="-2"/>
                <w:sz w:val="22"/>
              </w:rPr>
              <w:t>Femra</w:t>
            </w:r>
          </w:p>
        </w:tc>
        <w:tc>
          <w:tcPr>
            <w:tcW w:w="961" w:type="dxa"/>
            <w:tcBorders>
              <w:top w:val="nil"/>
            </w:tcBorders>
          </w:tcPr>
          <w:p>
            <w:pPr>
              <w:pStyle w:val="TableParagraph"/>
              <w:spacing w:line="248" w:lineRule="exact" w:before="31"/>
              <w:ind w:left="630"/>
              <w:rPr>
                <w:rFonts w:ascii="Calibri"/>
                <w:sz w:val="22"/>
              </w:rPr>
            </w:pPr>
            <w:r>
              <w:rPr>
                <w:rFonts w:ascii="Calibri"/>
                <w:spacing w:val="-5"/>
                <w:sz w:val="22"/>
              </w:rPr>
              <w:t>67</w:t>
            </w:r>
          </w:p>
        </w:tc>
        <w:tc>
          <w:tcPr>
            <w:tcW w:w="961" w:type="dxa"/>
            <w:tcBorders>
              <w:top w:val="nil"/>
            </w:tcBorders>
          </w:tcPr>
          <w:p>
            <w:pPr>
              <w:pStyle w:val="TableParagraph"/>
              <w:spacing w:line="264" w:lineRule="exact" w:before="16"/>
              <w:ind w:left="150"/>
              <w:rPr>
                <w:rFonts w:ascii="Calibri"/>
                <w:sz w:val="22"/>
              </w:rPr>
            </w:pPr>
            <w:r>
              <w:rPr>
                <w:rFonts w:ascii="Calibri"/>
                <w:spacing w:val="-2"/>
                <w:sz w:val="22"/>
              </w:rPr>
              <w:t>18.77%</w:t>
            </w:r>
          </w:p>
        </w:tc>
      </w:tr>
    </w:tbl>
    <w:p>
      <w:pPr>
        <w:pStyle w:val="BodyText"/>
        <w:spacing w:before="21"/>
        <w:ind w:left="2607"/>
      </w:pPr>
      <w:r>
        <w:rPr>
          <w:b/>
        </w:rPr>
        <w:t>Tabela</w:t>
      </w:r>
      <w:r>
        <w:rPr>
          <w:b/>
          <w:spacing w:val="-4"/>
        </w:rPr>
        <w:t> </w:t>
      </w:r>
      <w:r>
        <w:rPr>
          <w:b/>
        </w:rPr>
        <w:t>4:</w:t>
      </w:r>
      <w:r>
        <w:rPr>
          <w:b/>
          <w:spacing w:val="-3"/>
        </w:rPr>
        <w:t> </w:t>
      </w:r>
      <w:r>
        <w:rPr/>
        <w:t>Regjistrimi</w:t>
      </w:r>
      <w:r>
        <w:rPr>
          <w:spacing w:val="-4"/>
        </w:rPr>
        <w:t> </w:t>
      </w:r>
      <w:r>
        <w:rPr/>
        <w:t>i</w:t>
      </w:r>
      <w:r>
        <w:rPr>
          <w:spacing w:val="-3"/>
        </w:rPr>
        <w:t> </w:t>
      </w:r>
      <w:r>
        <w:rPr/>
        <w:t>pronarve</w:t>
      </w:r>
      <w:r>
        <w:rPr>
          <w:spacing w:val="-4"/>
        </w:rPr>
        <w:t> </w:t>
      </w:r>
      <w:r>
        <w:rPr/>
        <w:t>të</w:t>
      </w:r>
      <w:r>
        <w:rPr>
          <w:spacing w:val="-3"/>
        </w:rPr>
        <w:t> </w:t>
      </w:r>
      <w:r>
        <w:rPr/>
        <w:t>bizneseve</w:t>
      </w:r>
      <w:r>
        <w:rPr>
          <w:spacing w:val="-3"/>
        </w:rPr>
        <w:t> </w:t>
      </w:r>
      <w:r>
        <w:rPr/>
        <w:t>sipas</w:t>
      </w:r>
      <w:r>
        <w:rPr>
          <w:spacing w:val="-3"/>
        </w:rPr>
        <w:t> </w:t>
      </w:r>
      <w:r>
        <w:rPr>
          <w:spacing w:val="-2"/>
        </w:rPr>
        <w:t>gjinisë</w:t>
      </w:r>
    </w:p>
    <w:p>
      <w:pPr>
        <w:pStyle w:val="BodyText"/>
        <w:spacing w:before="7"/>
        <w:rPr>
          <w:sz w:val="14"/>
        </w:rPr>
      </w:pPr>
      <w:r>
        <w:rPr/>
        <w:pict>
          <v:group style="position:absolute;margin-left:154.875pt;margin-top:9.626172pt;width:301.45pt;height:176.6pt;mso-position-horizontal-relative:page;mso-position-vertical-relative:paragraph;z-index:-15713280;mso-wrap-distance-left:0;mso-wrap-distance-right:0" id="docshapegroup146" coordorigin="3098,193" coordsize="6029,3532">
            <v:shape style="position:absolute;left:4692;top:891;width:3127;height:1919" type="#_x0000_t75" id="docshape147" stroked="false">
              <v:imagedata r:id="rId44" o:title=""/>
            </v:shape>
            <v:shape style="position:absolute;left:5360;top:3378;width:99;height:99" type="#_x0000_t75" id="docshape148" stroked="false">
              <v:imagedata r:id="rId45" o:title=""/>
            </v:shape>
            <v:shape style="position:absolute;left:6288;top:3378;width:99;height:99" type="#_x0000_t75" id="docshape149" stroked="false">
              <v:imagedata r:id="rId46" o:title=""/>
            </v:shape>
            <v:shape style="position:absolute;left:3105;top:200;width:6014;height:3517" type="#_x0000_t202" id="docshape150" filled="false" stroked="true" strokeweight=".75pt" strokecolor="#e8ebe3">
              <v:textbox inset="0,0,0,0">
                <w:txbxContent>
                  <w:p>
                    <w:pPr>
                      <w:spacing w:before="143"/>
                      <w:ind w:left="870" w:right="870" w:firstLine="0"/>
                      <w:jc w:val="center"/>
                      <w:rPr>
                        <w:rFonts w:ascii="Calibri" w:hAnsi="Calibri"/>
                        <w:b/>
                        <w:sz w:val="21"/>
                      </w:rPr>
                    </w:pPr>
                    <w:r>
                      <w:rPr>
                        <w:rFonts w:ascii="Calibri" w:hAnsi="Calibri"/>
                        <w:b/>
                        <w:sz w:val="21"/>
                      </w:rPr>
                      <w:t>Regjistrimi</w:t>
                    </w:r>
                    <w:r>
                      <w:rPr>
                        <w:rFonts w:ascii="Calibri" w:hAnsi="Calibri"/>
                        <w:b/>
                        <w:spacing w:val="-5"/>
                        <w:sz w:val="21"/>
                      </w:rPr>
                      <w:t> </w:t>
                    </w:r>
                    <w:r>
                      <w:rPr>
                        <w:rFonts w:ascii="Calibri" w:hAnsi="Calibri"/>
                        <w:b/>
                        <w:sz w:val="21"/>
                      </w:rPr>
                      <w:t>i</w:t>
                    </w:r>
                    <w:r>
                      <w:rPr>
                        <w:rFonts w:ascii="Calibri" w:hAnsi="Calibri"/>
                        <w:b/>
                        <w:spacing w:val="-3"/>
                        <w:sz w:val="21"/>
                      </w:rPr>
                      <w:t> </w:t>
                    </w:r>
                    <w:r>
                      <w:rPr>
                        <w:rFonts w:ascii="Calibri" w:hAnsi="Calibri"/>
                        <w:b/>
                        <w:sz w:val="22"/>
                      </w:rPr>
                      <w:t>pronarëve </w:t>
                    </w:r>
                    <w:r>
                      <w:rPr>
                        <w:rFonts w:ascii="Calibri" w:hAnsi="Calibri"/>
                        <w:b/>
                        <w:sz w:val="21"/>
                      </w:rPr>
                      <w:t>të</w:t>
                    </w:r>
                    <w:r>
                      <w:rPr>
                        <w:rFonts w:ascii="Calibri" w:hAnsi="Calibri"/>
                        <w:b/>
                        <w:spacing w:val="-4"/>
                        <w:sz w:val="21"/>
                      </w:rPr>
                      <w:t> </w:t>
                    </w:r>
                    <w:r>
                      <w:rPr>
                        <w:rFonts w:ascii="Calibri" w:hAnsi="Calibri"/>
                        <w:b/>
                        <w:sz w:val="21"/>
                      </w:rPr>
                      <w:t>bizneseve</w:t>
                    </w:r>
                    <w:r>
                      <w:rPr>
                        <w:rFonts w:ascii="Calibri" w:hAnsi="Calibri"/>
                        <w:b/>
                        <w:spacing w:val="-4"/>
                        <w:sz w:val="21"/>
                      </w:rPr>
                      <w:t> </w:t>
                    </w:r>
                    <w:r>
                      <w:rPr>
                        <w:rFonts w:ascii="Calibri" w:hAnsi="Calibri"/>
                        <w:b/>
                        <w:sz w:val="21"/>
                      </w:rPr>
                      <w:t>sipas</w:t>
                    </w:r>
                    <w:r>
                      <w:rPr>
                        <w:rFonts w:ascii="Calibri" w:hAnsi="Calibri"/>
                        <w:b/>
                        <w:spacing w:val="-3"/>
                        <w:sz w:val="21"/>
                      </w:rPr>
                      <w:t> </w:t>
                    </w:r>
                    <w:r>
                      <w:rPr>
                        <w:rFonts w:ascii="Calibri" w:hAnsi="Calibri"/>
                        <w:b/>
                        <w:spacing w:val="-2"/>
                        <w:sz w:val="21"/>
                      </w:rPr>
                      <w:t>gjinisë</w:t>
                    </w:r>
                  </w:p>
                  <w:p>
                    <w:pPr>
                      <w:spacing w:line="240" w:lineRule="auto" w:before="0"/>
                      <w:rPr>
                        <w:rFonts w:ascii="Calibri"/>
                        <w:b/>
                        <w:sz w:val="22"/>
                      </w:rPr>
                    </w:pPr>
                  </w:p>
                  <w:p>
                    <w:pPr>
                      <w:spacing w:line="240" w:lineRule="auto" w:before="11"/>
                      <w:rPr>
                        <w:rFonts w:ascii="Calibri"/>
                        <w:b/>
                        <w:sz w:val="21"/>
                      </w:rPr>
                    </w:pPr>
                  </w:p>
                  <w:p>
                    <w:pPr>
                      <w:spacing w:before="1"/>
                      <w:ind w:left="133" w:right="870" w:firstLine="0"/>
                      <w:jc w:val="center"/>
                      <w:rPr>
                        <w:rFonts w:ascii="Calibri"/>
                        <w:sz w:val="18"/>
                      </w:rPr>
                    </w:pPr>
                    <w:r>
                      <w:rPr>
                        <w:rFonts w:ascii="Calibri"/>
                        <w:spacing w:val="-2"/>
                        <w:sz w:val="18"/>
                      </w:rPr>
                      <w:t>18.77%</w:t>
                    </w:r>
                  </w:p>
                  <w:p>
                    <w:pPr>
                      <w:spacing w:line="240" w:lineRule="auto" w:before="0"/>
                      <w:rPr>
                        <w:rFonts w:ascii="Calibri"/>
                        <w:sz w:val="18"/>
                      </w:rPr>
                    </w:pPr>
                  </w:p>
                  <w:p>
                    <w:pPr>
                      <w:spacing w:line="240" w:lineRule="auto" w:before="4"/>
                      <w:rPr>
                        <w:rFonts w:ascii="Calibri"/>
                        <w:sz w:val="20"/>
                      </w:rPr>
                    </w:pPr>
                  </w:p>
                  <w:p>
                    <w:pPr>
                      <w:spacing w:before="0"/>
                      <w:ind w:left="0" w:right="2142" w:firstLine="0"/>
                      <w:jc w:val="right"/>
                      <w:rPr>
                        <w:rFonts w:ascii="Calibri"/>
                        <w:sz w:val="18"/>
                      </w:rPr>
                    </w:pPr>
                    <w:r>
                      <w:rPr>
                        <w:rFonts w:ascii="Calibri"/>
                        <w:spacing w:val="-2"/>
                        <w:sz w:val="18"/>
                      </w:rPr>
                      <w:t>81.23%</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tabs>
                        <w:tab w:pos="927" w:val="left" w:leader="none"/>
                      </w:tabs>
                      <w:spacing w:before="147"/>
                      <w:ind w:left="0" w:right="2214" w:firstLine="0"/>
                      <w:jc w:val="right"/>
                      <w:rPr>
                        <w:rFonts w:ascii="Calibri"/>
                        <w:sz w:val="18"/>
                      </w:rPr>
                    </w:pPr>
                    <w:r>
                      <w:rPr>
                        <w:rFonts w:ascii="Calibri"/>
                        <w:spacing w:val="-2"/>
                        <w:sz w:val="18"/>
                      </w:rPr>
                      <w:t>Meshkuj</w:t>
                    </w:r>
                    <w:r>
                      <w:rPr>
                        <w:rFonts w:ascii="Calibri"/>
                        <w:sz w:val="18"/>
                      </w:rPr>
                      <w:tab/>
                    </w:r>
                    <w:r>
                      <w:rPr>
                        <w:rFonts w:ascii="Calibri"/>
                        <w:spacing w:val="-2"/>
                        <w:sz w:val="18"/>
                      </w:rPr>
                      <w:t>Femra</w:t>
                    </w:r>
                  </w:p>
                </w:txbxContent>
              </v:textbox>
              <v:stroke dashstyle="solid"/>
              <w10:wrap type="none"/>
            </v:shape>
            <w10:wrap type="topAndBottom"/>
          </v:group>
        </w:pict>
      </w:r>
    </w:p>
    <w:p>
      <w:pPr>
        <w:pStyle w:val="BodyText"/>
        <w:spacing w:before="16"/>
        <w:ind w:left="2493"/>
      </w:pPr>
      <w:r>
        <w:rPr>
          <w:b/>
        </w:rPr>
        <w:t>Grafiku</w:t>
      </w:r>
      <w:r>
        <w:rPr>
          <w:b/>
          <w:spacing w:val="-7"/>
        </w:rPr>
        <w:t> </w:t>
      </w:r>
      <w:r>
        <w:rPr>
          <w:b/>
        </w:rPr>
        <w:t>6:</w:t>
      </w:r>
      <w:r>
        <w:rPr>
          <w:b/>
          <w:spacing w:val="-7"/>
        </w:rPr>
        <w:t> </w:t>
      </w:r>
      <w:r>
        <w:rPr/>
        <w:t>Regjistrimi</w:t>
      </w:r>
      <w:r>
        <w:rPr>
          <w:spacing w:val="-7"/>
        </w:rPr>
        <w:t> </w:t>
      </w:r>
      <w:r>
        <w:rPr/>
        <w:t>i</w:t>
      </w:r>
      <w:r>
        <w:rPr>
          <w:spacing w:val="-8"/>
        </w:rPr>
        <w:t> </w:t>
      </w:r>
      <w:r>
        <w:rPr/>
        <w:t>pronarëve</w:t>
      </w:r>
      <w:r>
        <w:rPr>
          <w:spacing w:val="-7"/>
        </w:rPr>
        <w:t> </w:t>
      </w:r>
      <w:r>
        <w:rPr/>
        <w:t>të</w:t>
      </w:r>
      <w:r>
        <w:rPr>
          <w:spacing w:val="-7"/>
        </w:rPr>
        <w:t> </w:t>
      </w:r>
      <w:r>
        <w:rPr/>
        <w:t>bizneseve</w:t>
      </w:r>
      <w:r>
        <w:rPr>
          <w:spacing w:val="-8"/>
        </w:rPr>
        <w:t> </w:t>
      </w:r>
      <w:r>
        <w:rPr/>
        <w:t>sipas</w:t>
      </w:r>
      <w:r>
        <w:rPr>
          <w:spacing w:val="-6"/>
        </w:rPr>
        <w:t> </w:t>
      </w:r>
      <w:r>
        <w:rPr>
          <w:spacing w:val="-2"/>
        </w:rPr>
        <w:t>gjinisë</w:t>
      </w:r>
    </w:p>
    <w:p>
      <w:pPr>
        <w:pStyle w:val="BodyText"/>
        <w:rPr>
          <w:sz w:val="20"/>
        </w:rPr>
      </w:pPr>
    </w:p>
    <w:p>
      <w:pPr>
        <w:pStyle w:val="BodyText"/>
        <w:spacing w:before="7"/>
        <w:rPr>
          <w:sz w:val="16"/>
        </w:rPr>
      </w:pPr>
    </w:p>
    <w:p>
      <w:pPr>
        <w:pStyle w:val="Heading2"/>
        <w:numPr>
          <w:ilvl w:val="1"/>
          <w:numId w:val="9"/>
        </w:numPr>
        <w:tabs>
          <w:tab w:pos="1460" w:val="left" w:leader="none"/>
          <w:tab w:pos="1461" w:val="left" w:leader="none"/>
          <w:tab w:pos="10131" w:val="left" w:leader="none"/>
        </w:tabs>
        <w:spacing w:line="240" w:lineRule="auto" w:before="90" w:after="0"/>
        <w:ind w:left="1460" w:right="0" w:hanging="751"/>
        <w:jc w:val="left"/>
      </w:pPr>
      <w:r>
        <w:rPr>
          <w:color w:val="000000"/>
          <w:shd w:fill="EAB8A3" w:color="auto" w:val="clear"/>
        </w:rPr>
        <w:t>Regjistrimi</w:t>
      </w:r>
      <w:r>
        <w:rPr>
          <w:color w:val="000000"/>
          <w:spacing w:val="-7"/>
          <w:shd w:fill="EAB8A3" w:color="auto" w:val="clear"/>
        </w:rPr>
        <w:t> </w:t>
      </w:r>
      <w:r>
        <w:rPr>
          <w:color w:val="000000"/>
          <w:shd w:fill="EAB8A3" w:color="auto" w:val="clear"/>
        </w:rPr>
        <w:t>bizneseve</w:t>
      </w:r>
      <w:r>
        <w:rPr>
          <w:color w:val="000000"/>
          <w:spacing w:val="-5"/>
          <w:shd w:fill="EAB8A3" w:color="auto" w:val="clear"/>
        </w:rPr>
        <w:t> </w:t>
      </w:r>
      <w:r>
        <w:rPr>
          <w:color w:val="000000"/>
          <w:shd w:fill="EAB8A3" w:color="auto" w:val="clear"/>
        </w:rPr>
        <w:t>2019-</w:t>
      </w:r>
      <w:r>
        <w:rPr>
          <w:color w:val="000000"/>
          <w:spacing w:val="-4"/>
          <w:shd w:fill="EAB8A3" w:color="auto" w:val="clear"/>
        </w:rPr>
        <w:t>2022</w:t>
      </w:r>
      <w:r>
        <w:rPr>
          <w:color w:val="000000"/>
          <w:shd w:fill="EAB8A3" w:color="auto" w:val="clear"/>
        </w:rPr>
        <w:tab/>
      </w:r>
    </w:p>
    <w:p>
      <w:pPr>
        <w:pStyle w:val="BodyText"/>
        <w:spacing w:before="201"/>
        <w:ind w:left="740" w:right="1435"/>
      </w:pPr>
      <w:r>
        <w:rPr/>
        <w:t>Regjistrimi</w:t>
      </w:r>
      <w:r>
        <w:rPr>
          <w:spacing w:val="-3"/>
        </w:rPr>
        <w:t> </w:t>
      </w:r>
      <w:r>
        <w:rPr/>
        <w:t>i</w:t>
      </w:r>
      <w:r>
        <w:rPr>
          <w:spacing w:val="-4"/>
        </w:rPr>
        <w:t> </w:t>
      </w:r>
      <w:r>
        <w:rPr/>
        <w:t>bizneseve</w:t>
      </w:r>
      <w:r>
        <w:rPr>
          <w:spacing w:val="-3"/>
        </w:rPr>
        <w:t> </w:t>
      </w:r>
      <w:r>
        <w:rPr/>
        <w:t>te</w:t>
      </w:r>
      <w:r>
        <w:rPr>
          <w:spacing w:val="-3"/>
        </w:rPr>
        <w:t> </w:t>
      </w:r>
      <w:r>
        <w:rPr/>
        <w:t>reja</w:t>
      </w:r>
      <w:r>
        <w:rPr>
          <w:spacing w:val="-3"/>
        </w:rPr>
        <w:t> </w:t>
      </w:r>
      <w:r>
        <w:rPr/>
        <w:t>dhe</w:t>
      </w:r>
      <w:r>
        <w:rPr>
          <w:spacing w:val="-3"/>
        </w:rPr>
        <w:t> </w:t>
      </w:r>
      <w:r>
        <w:rPr/>
        <w:t>bizneseve</w:t>
      </w:r>
      <w:r>
        <w:rPr>
          <w:spacing w:val="-3"/>
        </w:rPr>
        <w:t> </w:t>
      </w:r>
      <w:r>
        <w:rPr/>
        <w:t>te</w:t>
      </w:r>
      <w:r>
        <w:rPr>
          <w:spacing w:val="-3"/>
        </w:rPr>
        <w:t> </w:t>
      </w:r>
      <w:r>
        <w:rPr/>
        <w:t>shuara</w:t>
      </w:r>
      <w:r>
        <w:rPr>
          <w:spacing w:val="-3"/>
        </w:rPr>
        <w:t> </w:t>
      </w:r>
      <w:r>
        <w:rPr/>
        <w:t>për vitet</w:t>
      </w:r>
      <w:r>
        <w:rPr>
          <w:spacing w:val="-3"/>
        </w:rPr>
        <w:t> </w:t>
      </w:r>
      <w:r>
        <w:rPr/>
        <w:t>2019-2022</w:t>
      </w:r>
      <w:r>
        <w:rPr>
          <w:spacing w:val="-3"/>
        </w:rPr>
        <w:t> </w:t>
      </w:r>
      <w:r>
        <w:rPr/>
        <w:t>janë</w:t>
      </w:r>
      <w:r>
        <w:rPr>
          <w:spacing w:val="-3"/>
        </w:rPr>
        <w:t> </w:t>
      </w:r>
      <w:r>
        <w:rPr/>
        <w:t>paraqitur</w:t>
      </w:r>
      <w:r>
        <w:rPr>
          <w:spacing w:val="-3"/>
        </w:rPr>
        <w:t> </w:t>
      </w:r>
      <w:r>
        <w:rPr/>
        <w:t>në tabelën dhe grafikun e më poshtëm</w:t>
      </w:r>
    </w:p>
    <w:p>
      <w:pPr>
        <w:pStyle w:val="BodyText"/>
        <w:spacing w:before="4"/>
        <w:rPr>
          <w:sz w:val="17"/>
        </w:rPr>
      </w:pPr>
    </w:p>
    <w:tbl>
      <w:tblPr>
        <w:tblW w:w="0" w:type="auto"/>
        <w:jc w:val="left"/>
        <w:tblInd w:w="3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816"/>
        <w:gridCol w:w="815"/>
        <w:gridCol w:w="815"/>
        <w:gridCol w:w="815"/>
      </w:tblGrid>
      <w:tr>
        <w:trPr>
          <w:trHeight w:val="299" w:hRule="atLeast"/>
        </w:trPr>
        <w:tc>
          <w:tcPr>
            <w:tcW w:w="4802" w:type="dxa"/>
            <w:gridSpan w:val="5"/>
            <w:shd w:val="clear" w:color="auto" w:fill="EAB8A3"/>
          </w:tcPr>
          <w:p>
            <w:pPr>
              <w:pStyle w:val="TableParagraph"/>
              <w:spacing w:line="248" w:lineRule="exact" w:before="31"/>
              <w:ind w:left="932"/>
              <w:rPr>
                <w:rFonts w:ascii="Calibri"/>
                <w:b/>
                <w:sz w:val="22"/>
              </w:rPr>
            </w:pPr>
            <w:r>
              <w:rPr>
                <w:rFonts w:ascii="Calibri"/>
                <w:b/>
                <w:spacing w:val="-2"/>
                <w:sz w:val="22"/>
              </w:rPr>
              <w:t>Regjistrimi</w:t>
            </w:r>
            <w:r>
              <w:rPr>
                <w:rFonts w:ascii="Calibri"/>
                <w:b/>
                <w:spacing w:val="11"/>
                <w:sz w:val="22"/>
              </w:rPr>
              <w:t> </w:t>
            </w:r>
            <w:r>
              <w:rPr>
                <w:rFonts w:ascii="Calibri"/>
                <w:b/>
                <w:spacing w:val="-2"/>
                <w:sz w:val="22"/>
              </w:rPr>
              <w:t>bizneseve</w:t>
            </w:r>
            <w:r>
              <w:rPr>
                <w:rFonts w:ascii="Calibri"/>
                <w:b/>
                <w:spacing w:val="10"/>
                <w:sz w:val="22"/>
              </w:rPr>
              <w:t> </w:t>
            </w:r>
            <w:r>
              <w:rPr>
                <w:rFonts w:ascii="Calibri"/>
                <w:b/>
                <w:spacing w:val="-2"/>
                <w:sz w:val="22"/>
              </w:rPr>
              <w:t>2019-</w:t>
            </w:r>
            <w:r>
              <w:rPr>
                <w:rFonts w:ascii="Calibri"/>
                <w:b/>
                <w:spacing w:val="-4"/>
                <w:sz w:val="22"/>
              </w:rPr>
              <w:t>2022</w:t>
            </w:r>
          </w:p>
        </w:tc>
      </w:tr>
      <w:tr>
        <w:trPr>
          <w:trHeight w:val="299" w:hRule="atLeast"/>
        </w:trPr>
        <w:tc>
          <w:tcPr>
            <w:tcW w:w="1541" w:type="dxa"/>
          </w:tcPr>
          <w:p>
            <w:pPr>
              <w:pStyle w:val="TableParagraph"/>
              <w:rPr>
                <w:sz w:val="22"/>
              </w:rPr>
            </w:pPr>
          </w:p>
        </w:tc>
        <w:tc>
          <w:tcPr>
            <w:tcW w:w="816" w:type="dxa"/>
          </w:tcPr>
          <w:p>
            <w:pPr>
              <w:pStyle w:val="TableParagraph"/>
              <w:spacing w:line="248" w:lineRule="exact" w:before="31"/>
              <w:ind w:right="96"/>
              <w:jc w:val="right"/>
              <w:rPr>
                <w:rFonts w:ascii="Calibri"/>
                <w:sz w:val="22"/>
              </w:rPr>
            </w:pPr>
            <w:r>
              <w:rPr>
                <w:rFonts w:ascii="Calibri"/>
                <w:spacing w:val="-4"/>
                <w:sz w:val="22"/>
              </w:rPr>
              <w:t>2019</w:t>
            </w:r>
          </w:p>
        </w:tc>
        <w:tc>
          <w:tcPr>
            <w:tcW w:w="815" w:type="dxa"/>
          </w:tcPr>
          <w:p>
            <w:pPr>
              <w:pStyle w:val="TableParagraph"/>
              <w:spacing w:line="248" w:lineRule="exact" w:before="31"/>
              <w:ind w:right="96"/>
              <w:jc w:val="right"/>
              <w:rPr>
                <w:rFonts w:ascii="Calibri"/>
                <w:sz w:val="22"/>
              </w:rPr>
            </w:pPr>
            <w:r>
              <w:rPr>
                <w:rFonts w:ascii="Calibri"/>
                <w:spacing w:val="-4"/>
                <w:sz w:val="22"/>
              </w:rPr>
              <w:t>2020</w:t>
            </w:r>
          </w:p>
        </w:tc>
        <w:tc>
          <w:tcPr>
            <w:tcW w:w="815" w:type="dxa"/>
          </w:tcPr>
          <w:p>
            <w:pPr>
              <w:pStyle w:val="TableParagraph"/>
              <w:spacing w:line="248" w:lineRule="exact" w:before="31"/>
              <w:ind w:right="96"/>
              <w:jc w:val="right"/>
              <w:rPr>
                <w:rFonts w:ascii="Calibri"/>
                <w:sz w:val="22"/>
              </w:rPr>
            </w:pPr>
            <w:r>
              <w:rPr>
                <w:rFonts w:ascii="Calibri"/>
                <w:spacing w:val="-4"/>
                <w:sz w:val="22"/>
              </w:rPr>
              <w:t>2021</w:t>
            </w:r>
          </w:p>
        </w:tc>
        <w:tc>
          <w:tcPr>
            <w:tcW w:w="815" w:type="dxa"/>
          </w:tcPr>
          <w:p>
            <w:pPr>
              <w:pStyle w:val="TableParagraph"/>
              <w:spacing w:line="248" w:lineRule="exact" w:before="31"/>
              <w:ind w:right="96"/>
              <w:jc w:val="right"/>
              <w:rPr>
                <w:rFonts w:ascii="Calibri"/>
                <w:sz w:val="22"/>
              </w:rPr>
            </w:pPr>
            <w:r>
              <w:rPr>
                <w:rFonts w:ascii="Calibri"/>
                <w:spacing w:val="-4"/>
                <w:sz w:val="22"/>
              </w:rPr>
              <w:t>2022</w:t>
            </w:r>
          </w:p>
        </w:tc>
      </w:tr>
      <w:tr>
        <w:trPr>
          <w:trHeight w:val="300" w:hRule="atLeast"/>
        </w:trPr>
        <w:tc>
          <w:tcPr>
            <w:tcW w:w="1541" w:type="dxa"/>
          </w:tcPr>
          <w:p>
            <w:pPr>
              <w:pStyle w:val="TableParagraph"/>
              <w:spacing w:line="248" w:lineRule="exact" w:before="32"/>
              <w:ind w:left="109"/>
              <w:rPr>
                <w:rFonts w:ascii="Calibri"/>
                <w:sz w:val="22"/>
              </w:rPr>
            </w:pPr>
            <w:r>
              <w:rPr>
                <w:rFonts w:ascii="Calibri"/>
                <w:spacing w:val="-2"/>
                <w:sz w:val="22"/>
              </w:rPr>
              <w:t>Aktive</w:t>
            </w:r>
          </w:p>
        </w:tc>
        <w:tc>
          <w:tcPr>
            <w:tcW w:w="816" w:type="dxa"/>
          </w:tcPr>
          <w:p>
            <w:pPr>
              <w:pStyle w:val="TableParagraph"/>
              <w:spacing w:line="248" w:lineRule="exact" w:before="32"/>
              <w:ind w:right="96"/>
              <w:jc w:val="right"/>
              <w:rPr>
                <w:rFonts w:ascii="Calibri"/>
                <w:sz w:val="22"/>
              </w:rPr>
            </w:pPr>
            <w:r>
              <w:rPr>
                <w:rFonts w:ascii="Calibri"/>
                <w:spacing w:val="-5"/>
                <w:sz w:val="22"/>
              </w:rPr>
              <w:t>38</w:t>
            </w:r>
          </w:p>
        </w:tc>
        <w:tc>
          <w:tcPr>
            <w:tcW w:w="815" w:type="dxa"/>
          </w:tcPr>
          <w:p>
            <w:pPr>
              <w:pStyle w:val="TableParagraph"/>
              <w:spacing w:line="248" w:lineRule="exact" w:before="32"/>
              <w:ind w:right="96"/>
              <w:jc w:val="right"/>
              <w:rPr>
                <w:rFonts w:ascii="Calibri"/>
                <w:sz w:val="22"/>
              </w:rPr>
            </w:pPr>
            <w:r>
              <w:rPr>
                <w:rFonts w:ascii="Calibri"/>
                <w:spacing w:val="-5"/>
                <w:sz w:val="22"/>
              </w:rPr>
              <w:t>46</w:t>
            </w:r>
          </w:p>
        </w:tc>
        <w:tc>
          <w:tcPr>
            <w:tcW w:w="815" w:type="dxa"/>
          </w:tcPr>
          <w:p>
            <w:pPr>
              <w:pStyle w:val="TableParagraph"/>
              <w:spacing w:line="248" w:lineRule="exact" w:before="32"/>
              <w:ind w:right="96"/>
              <w:jc w:val="right"/>
              <w:rPr>
                <w:rFonts w:ascii="Calibri"/>
                <w:sz w:val="22"/>
              </w:rPr>
            </w:pPr>
            <w:r>
              <w:rPr>
                <w:rFonts w:ascii="Calibri"/>
                <w:spacing w:val="-5"/>
                <w:sz w:val="22"/>
              </w:rPr>
              <w:t>30</w:t>
            </w:r>
          </w:p>
        </w:tc>
        <w:tc>
          <w:tcPr>
            <w:tcW w:w="815" w:type="dxa"/>
          </w:tcPr>
          <w:p>
            <w:pPr>
              <w:pStyle w:val="TableParagraph"/>
              <w:spacing w:line="248" w:lineRule="exact" w:before="32"/>
              <w:ind w:right="96"/>
              <w:jc w:val="right"/>
              <w:rPr>
                <w:rFonts w:ascii="Calibri"/>
                <w:sz w:val="22"/>
              </w:rPr>
            </w:pPr>
            <w:r>
              <w:rPr>
                <w:rFonts w:ascii="Calibri"/>
                <w:spacing w:val="-5"/>
                <w:sz w:val="22"/>
              </w:rPr>
              <w:t>40</w:t>
            </w:r>
          </w:p>
        </w:tc>
      </w:tr>
      <w:tr>
        <w:trPr>
          <w:trHeight w:val="299" w:hRule="atLeast"/>
        </w:trPr>
        <w:tc>
          <w:tcPr>
            <w:tcW w:w="1541" w:type="dxa"/>
          </w:tcPr>
          <w:p>
            <w:pPr>
              <w:pStyle w:val="TableParagraph"/>
              <w:spacing w:line="248" w:lineRule="exact" w:before="31"/>
              <w:ind w:left="109"/>
              <w:rPr>
                <w:rFonts w:ascii="Calibri" w:hAnsi="Calibri"/>
                <w:sz w:val="22"/>
              </w:rPr>
            </w:pPr>
            <w:r>
              <w:rPr>
                <w:rFonts w:ascii="Calibri" w:hAnsi="Calibri"/>
                <w:sz w:val="22"/>
              </w:rPr>
              <w:t>Të</w:t>
            </w:r>
            <w:r>
              <w:rPr>
                <w:rFonts w:ascii="Calibri" w:hAnsi="Calibri"/>
                <w:spacing w:val="-5"/>
                <w:sz w:val="22"/>
              </w:rPr>
              <w:t> </w:t>
            </w:r>
            <w:r>
              <w:rPr>
                <w:rFonts w:ascii="Calibri" w:hAnsi="Calibri"/>
                <w:spacing w:val="-2"/>
                <w:sz w:val="22"/>
              </w:rPr>
              <w:t>shuara</w:t>
            </w:r>
          </w:p>
        </w:tc>
        <w:tc>
          <w:tcPr>
            <w:tcW w:w="816" w:type="dxa"/>
          </w:tcPr>
          <w:p>
            <w:pPr>
              <w:pStyle w:val="TableParagraph"/>
              <w:spacing w:line="248" w:lineRule="exact" w:before="31"/>
              <w:ind w:right="96"/>
              <w:jc w:val="right"/>
              <w:rPr>
                <w:rFonts w:ascii="Calibri"/>
                <w:sz w:val="22"/>
              </w:rPr>
            </w:pPr>
            <w:r>
              <w:rPr>
                <w:rFonts w:ascii="Calibri"/>
                <w:w w:val="99"/>
                <w:sz w:val="22"/>
              </w:rPr>
              <w:t>5</w:t>
            </w:r>
          </w:p>
        </w:tc>
        <w:tc>
          <w:tcPr>
            <w:tcW w:w="815" w:type="dxa"/>
          </w:tcPr>
          <w:p>
            <w:pPr>
              <w:pStyle w:val="TableParagraph"/>
              <w:spacing w:line="248" w:lineRule="exact" w:before="31"/>
              <w:ind w:right="96"/>
              <w:jc w:val="right"/>
              <w:rPr>
                <w:rFonts w:ascii="Calibri"/>
                <w:sz w:val="22"/>
              </w:rPr>
            </w:pPr>
            <w:r>
              <w:rPr>
                <w:rFonts w:ascii="Calibri"/>
                <w:w w:val="99"/>
                <w:sz w:val="22"/>
              </w:rPr>
              <w:t>3</w:t>
            </w:r>
          </w:p>
        </w:tc>
        <w:tc>
          <w:tcPr>
            <w:tcW w:w="815" w:type="dxa"/>
          </w:tcPr>
          <w:p>
            <w:pPr>
              <w:pStyle w:val="TableParagraph"/>
              <w:spacing w:line="248" w:lineRule="exact" w:before="31"/>
              <w:ind w:right="96"/>
              <w:jc w:val="right"/>
              <w:rPr>
                <w:rFonts w:ascii="Calibri"/>
                <w:sz w:val="22"/>
              </w:rPr>
            </w:pPr>
            <w:r>
              <w:rPr>
                <w:rFonts w:ascii="Calibri"/>
                <w:w w:val="99"/>
                <w:sz w:val="22"/>
              </w:rPr>
              <w:t>3</w:t>
            </w:r>
          </w:p>
        </w:tc>
        <w:tc>
          <w:tcPr>
            <w:tcW w:w="815" w:type="dxa"/>
          </w:tcPr>
          <w:p>
            <w:pPr>
              <w:pStyle w:val="TableParagraph"/>
              <w:spacing w:line="248" w:lineRule="exact" w:before="31"/>
              <w:ind w:right="96"/>
              <w:jc w:val="right"/>
              <w:rPr>
                <w:rFonts w:ascii="Calibri"/>
                <w:sz w:val="22"/>
              </w:rPr>
            </w:pPr>
            <w:r>
              <w:rPr>
                <w:rFonts w:ascii="Calibri"/>
                <w:w w:val="99"/>
                <w:sz w:val="22"/>
              </w:rPr>
              <w:t>2</w:t>
            </w:r>
          </w:p>
        </w:tc>
      </w:tr>
    </w:tbl>
    <w:p>
      <w:pPr>
        <w:spacing w:before="3"/>
        <w:ind w:left="3313" w:right="0" w:firstLine="0"/>
        <w:jc w:val="left"/>
        <w:rPr>
          <w:sz w:val="24"/>
        </w:rPr>
      </w:pPr>
      <w:r>
        <w:rPr>
          <w:b/>
          <w:sz w:val="24"/>
        </w:rPr>
        <w:t>Tabela</w:t>
      </w:r>
      <w:r>
        <w:rPr>
          <w:b/>
          <w:spacing w:val="-6"/>
          <w:sz w:val="24"/>
        </w:rPr>
        <w:t> </w:t>
      </w:r>
      <w:r>
        <w:rPr>
          <w:b/>
          <w:sz w:val="24"/>
        </w:rPr>
        <w:t>5:</w:t>
      </w:r>
      <w:r>
        <w:rPr>
          <w:b/>
          <w:spacing w:val="-5"/>
          <w:sz w:val="24"/>
        </w:rPr>
        <w:t> </w:t>
      </w:r>
      <w:r>
        <w:rPr>
          <w:sz w:val="24"/>
        </w:rPr>
        <w:t>Regjistrimi</w:t>
      </w:r>
      <w:r>
        <w:rPr>
          <w:spacing w:val="-5"/>
          <w:sz w:val="24"/>
        </w:rPr>
        <w:t> </w:t>
      </w:r>
      <w:r>
        <w:rPr>
          <w:sz w:val="24"/>
        </w:rPr>
        <w:t>bizneseve</w:t>
      </w:r>
      <w:r>
        <w:rPr>
          <w:spacing w:val="-5"/>
          <w:sz w:val="24"/>
        </w:rPr>
        <w:t> </w:t>
      </w:r>
      <w:r>
        <w:rPr>
          <w:sz w:val="24"/>
        </w:rPr>
        <w:t>2019-</w:t>
      </w:r>
      <w:r>
        <w:rPr>
          <w:spacing w:val="-4"/>
          <w:sz w:val="24"/>
        </w:rPr>
        <w:t>2022</w:t>
      </w:r>
    </w:p>
    <w:p>
      <w:pPr>
        <w:spacing w:after="0"/>
        <w:jc w:val="left"/>
        <w:rPr>
          <w:sz w:val="24"/>
        </w:rPr>
        <w:sectPr>
          <w:type w:val="continuous"/>
          <w:pgSz w:w="12240" w:h="15840"/>
          <w:pgMar w:header="0" w:footer="990" w:top="1420" w:bottom="1180" w:left="700" w:right="0"/>
        </w:sectPr>
      </w:pPr>
    </w:p>
    <w:p>
      <w:pPr>
        <w:pStyle w:val="BodyText"/>
        <w:ind w:left="1887"/>
        <w:rPr>
          <w:sz w:val="20"/>
        </w:rPr>
      </w:pPr>
      <w:r>
        <w:rPr>
          <w:sz w:val="20"/>
        </w:rPr>
        <w:pict>
          <v:group style="width:352.5pt;height:235.85pt;mso-position-horizontal-relative:char;mso-position-vertical-relative:line" id="docshapegroup151" coordorigin="0,0" coordsize="7050,4717">
            <v:shape style="position:absolute;left:827;top:813;width:5795;height:2817" type="#_x0000_t75" id="docshape152" stroked="false">
              <v:imagedata r:id="rId47" o:title=""/>
            </v:shape>
            <v:rect style="position:absolute;left:2927;top:4328;width:99;height:99" id="docshape153" filled="true" fillcolor="#ab610d" stroked="false">
              <v:fill type="solid"/>
            </v:rect>
            <v:rect style="position:absolute;left:3783;top:4328;width:99;height:99" id="docshape154" filled="true" fillcolor="#bc572c" stroked="false">
              <v:fill type="solid"/>
            </v:rect>
            <v:rect style="position:absolute;left:7;top:7;width:7035;height:4702" id="docshape155" filled="false" stroked="true" strokeweight=".75pt" strokecolor="#d9d9d9">
              <v:stroke dashstyle="solid"/>
            </v:rect>
            <v:shape style="position:absolute;left:1758;top:200;width:2830;height:210" type="#_x0000_t202" id="docshape156" filled="false" stroked="false">
              <v:textbox inset="0,0,0,0">
                <w:txbxContent>
                  <w:p>
                    <w:pPr>
                      <w:spacing w:line="210" w:lineRule="exact" w:before="0"/>
                      <w:ind w:left="0" w:right="0" w:firstLine="0"/>
                      <w:jc w:val="left"/>
                      <w:rPr>
                        <w:rFonts w:ascii="Calibri"/>
                        <w:b/>
                        <w:sz w:val="21"/>
                      </w:rPr>
                    </w:pPr>
                    <w:r>
                      <w:rPr>
                        <w:rFonts w:ascii="Calibri"/>
                        <w:b/>
                        <w:sz w:val="21"/>
                      </w:rPr>
                      <w:t>Regjistrimi</w:t>
                    </w:r>
                    <w:r>
                      <w:rPr>
                        <w:rFonts w:ascii="Calibri"/>
                        <w:b/>
                        <w:spacing w:val="-3"/>
                        <w:sz w:val="21"/>
                      </w:rPr>
                      <w:t> </w:t>
                    </w:r>
                    <w:r>
                      <w:rPr>
                        <w:rFonts w:ascii="Calibri"/>
                        <w:b/>
                        <w:sz w:val="21"/>
                      </w:rPr>
                      <w:t>bizneseve</w:t>
                    </w:r>
                    <w:r>
                      <w:rPr>
                        <w:rFonts w:ascii="Calibri"/>
                        <w:b/>
                        <w:spacing w:val="-3"/>
                        <w:sz w:val="21"/>
                      </w:rPr>
                      <w:t> </w:t>
                    </w:r>
                    <w:r>
                      <w:rPr>
                        <w:rFonts w:ascii="Calibri"/>
                        <w:b/>
                        <w:sz w:val="21"/>
                      </w:rPr>
                      <w:t>2019-</w:t>
                    </w:r>
                    <w:r>
                      <w:rPr>
                        <w:rFonts w:ascii="Calibri"/>
                        <w:b/>
                        <w:spacing w:val="-4"/>
                        <w:sz w:val="21"/>
                      </w:rPr>
                      <w:t>2022</w:t>
                    </w:r>
                  </w:p>
                </w:txbxContent>
              </v:textbox>
              <w10:wrap type="none"/>
            </v:shape>
            <v:shape style="position:absolute;left:493;top:1005;width:203;height:180" type="#_x0000_t202" id="docshape15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50</w:t>
                    </w:r>
                  </w:p>
                </w:txbxContent>
              </v:textbox>
              <w10:wrap type="none"/>
            </v:shape>
            <v:shape style="position:absolute;left:2696;top:933;width:203;height:180" type="#_x0000_t202" id="docshape158" filled="false" stroked="false">
              <v:textbox inset="0,0,0,0">
                <w:txbxContent>
                  <w:p>
                    <w:pPr>
                      <w:spacing w:line="180" w:lineRule="exact" w:before="0"/>
                      <w:ind w:left="0" w:right="0" w:firstLine="0"/>
                      <w:jc w:val="left"/>
                      <w:rPr>
                        <w:rFonts w:ascii="Calibri"/>
                        <w:sz w:val="18"/>
                      </w:rPr>
                    </w:pPr>
                    <w:r>
                      <w:rPr>
                        <w:rFonts w:ascii="Calibri"/>
                        <w:spacing w:val="-5"/>
                        <w:sz w:val="18"/>
                      </w:rPr>
                      <w:t>46</w:t>
                    </w:r>
                  </w:p>
                </w:txbxContent>
              </v:textbox>
              <w10:wrap type="none"/>
            </v:shape>
            <v:shape style="position:absolute;left:1336;top:1340;width:203;height:180" type="#_x0000_t202" id="docshape159" filled="false" stroked="false">
              <v:textbox inset="0,0,0,0">
                <w:txbxContent>
                  <w:p>
                    <w:pPr>
                      <w:spacing w:line="180" w:lineRule="exact" w:before="0"/>
                      <w:ind w:left="0" w:right="0" w:firstLine="0"/>
                      <w:jc w:val="left"/>
                      <w:rPr>
                        <w:rFonts w:ascii="Calibri"/>
                        <w:sz w:val="18"/>
                      </w:rPr>
                    </w:pPr>
                    <w:r>
                      <w:rPr>
                        <w:rFonts w:ascii="Calibri"/>
                        <w:spacing w:val="-5"/>
                        <w:sz w:val="18"/>
                      </w:rPr>
                      <w:t>38</w:t>
                    </w:r>
                  </w:p>
                </w:txbxContent>
              </v:textbox>
              <w10:wrap type="none"/>
            </v:shape>
            <v:shape style="position:absolute;left:5414;top:1238;width:203;height:180" type="#_x0000_t202" id="docshape160" filled="false" stroked="false">
              <v:textbox inset="0,0,0,0">
                <w:txbxContent>
                  <w:p>
                    <w:pPr>
                      <w:spacing w:line="180" w:lineRule="exact" w:before="0"/>
                      <w:ind w:left="0" w:right="0" w:firstLine="0"/>
                      <w:jc w:val="left"/>
                      <w:rPr>
                        <w:rFonts w:ascii="Calibri"/>
                        <w:sz w:val="18"/>
                      </w:rPr>
                    </w:pPr>
                    <w:r>
                      <w:rPr>
                        <w:rFonts w:ascii="Calibri"/>
                        <w:spacing w:val="-5"/>
                        <w:sz w:val="18"/>
                      </w:rPr>
                      <w:t>40</w:t>
                    </w:r>
                  </w:p>
                </w:txbxContent>
              </v:textbox>
              <w10:wrap type="none"/>
            </v:shape>
            <v:shape style="position:absolute;left:493;top:1513;width:203;height:180" type="#_x0000_t202" id="docshape16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40</w:t>
                    </w:r>
                  </w:p>
                </w:txbxContent>
              </v:textbox>
              <w10:wrap type="none"/>
            </v:shape>
            <v:shape style="position:absolute;left:4055;top:1746;width:203;height:180" type="#_x0000_t202" id="docshape162" filled="false" stroked="false">
              <v:textbox inset="0,0,0,0">
                <w:txbxContent>
                  <w:p>
                    <w:pPr>
                      <w:spacing w:line="180" w:lineRule="exact" w:before="0"/>
                      <w:ind w:left="0" w:right="0" w:firstLine="0"/>
                      <w:jc w:val="left"/>
                      <w:rPr>
                        <w:rFonts w:ascii="Calibri"/>
                        <w:sz w:val="18"/>
                      </w:rPr>
                    </w:pPr>
                    <w:r>
                      <w:rPr>
                        <w:rFonts w:ascii="Calibri"/>
                        <w:spacing w:val="-5"/>
                        <w:sz w:val="18"/>
                      </w:rPr>
                      <w:t>30</w:t>
                    </w:r>
                  </w:p>
                </w:txbxContent>
              </v:textbox>
              <w10:wrap type="none"/>
            </v:shape>
            <v:shape style="position:absolute;left:493;top:2022;width:203;height:1196" type="#_x0000_t202" id="docshape163"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30</w:t>
                    </w:r>
                  </w:p>
                  <w:p>
                    <w:pPr>
                      <w:spacing w:line="240" w:lineRule="auto" w:before="7"/>
                      <w:rPr>
                        <w:rFonts w:ascii="Calibri"/>
                        <w:sz w:val="23"/>
                      </w:rPr>
                    </w:pPr>
                  </w:p>
                  <w:p>
                    <w:pPr>
                      <w:spacing w:before="0"/>
                      <w:ind w:left="0" w:right="0" w:firstLine="0"/>
                      <w:jc w:val="left"/>
                      <w:rPr>
                        <w:rFonts w:ascii="Calibri"/>
                        <w:sz w:val="18"/>
                      </w:rPr>
                    </w:pPr>
                    <w:r>
                      <w:rPr>
                        <w:rFonts w:ascii="Calibri"/>
                        <w:color w:val="585858"/>
                        <w:spacing w:val="-5"/>
                        <w:sz w:val="18"/>
                      </w:rPr>
                      <w:t>20</w:t>
                    </w:r>
                  </w:p>
                  <w:p>
                    <w:pPr>
                      <w:spacing w:line="240" w:lineRule="auto" w:before="8"/>
                      <w:rPr>
                        <w:rFonts w:ascii="Calibri"/>
                        <w:sz w:val="23"/>
                      </w:rPr>
                    </w:pPr>
                  </w:p>
                  <w:p>
                    <w:pPr>
                      <w:spacing w:line="216"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1770;top:3016;width:112;height:180" type="#_x0000_t202" id="docshape164" filled="false" stroked="false">
              <v:textbox inset="0,0,0,0">
                <w:txbxContent>
                  <w:p>
                    <w:pPr>
                      <w:spacing w:line="180" w:lineRule="exact" w:before="0"/>
                      <w:ind w:left="0" w:right="0" w:firstLine="0"/>
                      <w:jc w:val="left"/>
                      <w:rPr>
                        <w:rFonts w:ascii="Calibri"/>
                        <w:sz w:val="18"/>
                      </w:rPr>
                    </w:pPr>
                    <w:r>
                      <w:rPr>
                        <w:rFonts w:ascii="Calibri"/>
                        <w:sz w:val="18"/>
                      </w:rPr>
                      <w:t>5</w:t>
                    </w:r>
                  </w:p>
                </w:txbxContent>
              </v:textbox>
              <w10:wrap type="none"/>
            </v:shape>
            <v:shape style="position:absolute;left:3130;top:3118;width:112;height:180" type="#_x0000_t202" id="docshape165" filled="false" stroked="false">
              <v:textbox inset="0,0,0,0">
                <w:txbxContent>
                  <w:p>
                    <w:pPr>
                      <w:spacing w:line="180" w:lineRule="exact" w:before="0"/>
                      <w:ind w:left="0" w:right="0" w:firstLine="0"/>
                      <w:jc w:val="left"/>
                      <w:rPr>
                        <w:rFonts w:ascii="Calibri"/>
                        <w:sz w:val="18"/>
                      </w:rPr>
                    </w:pPr>
                    <w:r>
                      <w:rPr>
                        <w:rFonts w:ascii="Calibri"/>
                        <w:sz w:val="18"/>
                      </w:rPr>
                      <w:t>3</w:t>
                    </w:r>
                  </w:p>
                </w:txbxContent>
              </v:textbox>
              <w10:wrap type="none"/>
            </v:shape>
            <v:shape style="position:absolute;left:4489;top:3118;width:112;height:180" type="#_x0000_t202" id="docshape166" filled="false" stroked="false">
              <v:textbox inset="0,0,0,0">
                <w:txbxContent>
                  <w:p>
                    <w:pPr>
                      <w:spacing w:line="180" w:lineRule="exact" w:before="0"/>
                      <w:ind w:left="0" w:right="0" w:firstLine="0"/>
                      <w:jc w:val="left"/>
                      <w:rPr>
                        <w:rFonts w:ascii="Calibri"/>
                        <w:sz w:val="18"/>
                      </w:rPr>
                    </w:pPr>
                    <w:r>
                      <w:rPr>
                        <w:rFonts w:ascii="Calibri"/>
                        <w:sz w:val="18"/>
                      </w:rPr>
                      <w:t>3</w:t>
                    </w:r>
                  </w:p>
                </w:txbxContent>
              </v:textbox>
              <w10:wrap type="none"/>
            </v:shape>
            <v:shape style="position:absolute;left:5848;top:3169;width:112;height:180" type="#_x0000_t202" id="docshape167" filled="false" stroked="false">
              <v:textbox inset="0,0,0,0">
                <w:txbxContent>
                  <w:p>
                    <w:pPr>
                      <w:spacing w:line="180" w:lineRule="exact" w:before="0"/>
                      <w:ind w:left="0" w:right="0" w:firstLine="0"/>
                      <w:jc w:val="left"/>
                      <w:rPr>
                        <w:rFonts w:ascii="Calibri"/>
                        <w:sz w:val="18"/>
                      </w:rPr>
                    </w:pPr>
                    <w:r>
                      <w:rPr>
                        <w:rFonts w:ascii="Calibri"/>
                        <w:sz w:val="18"/>
                      </w:rPr>
                      <w:t>2</w:t>
                    </w:r>
                  </w:p>
                </w:txbxContent>
              </v:textbox>
              <w10:wrap type="none"/>
            </v:shape>
            <v:shape style="position:absolute;left:584;top:3546;width:112;height:180" type="#_x0000_t202" id="docshape168"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1340;top:3770;width:385;height:180" type="#_x0000_t202" id="docshape16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2019</w:t>
                    </w:r>
                  </w:p>
                </w:txbxContent>
              </v:textbox>
              <w10:wrap type="none"/>
            </v:shape>
            <v:shape style="position:absolute;left:2700;top:3770;width:385;height:180" type="#_x0000_t202" id="docshape17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2020</w:t>
                    </w:r>
                  </w:p>
                </w:txbxContent>
              </v:textbox>
              <w10:wrap type="none"/>
            </v:shape>
            <v:shape style="position:absolute;left:4059;top:3770;width:385;height:180" type="#_x0000_t202" id="docshape171"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5418;top:3770;width:385;height:180" type="#_x0000_t202" id="docshape172"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3068;top:4295;width:1589;height:180" type="#_x0000_t202" id="docshape173" filled="false" stroked="false">
              <v:textbox inset="0,0,0,0">
                <w:txbxContent>
                  <w:p>
                    <w:pPr>
                      <w:tabs>
                        <w:tab w:pos="855" w:val="left" w:leader="none"/>
                      </w:tabs>
                      <w:spacing w:line="180" w:lineRule="exact" w:before="0"/>
                      <w:ind w:left="0" w:right="0" w:firstLine="0"/>
                      <w:jc w:val="left"/>
                      <w:rPr>
                        <w:rFonts w:ascii="Calibri" w:hAnsi="Calibri"/>
                        <w:sz w:val="18"/>
                      </w:rPr>
                    </w:pPr>
                    <w:r>
                      <w:rPr>
                        <w:rFonts w:ascii="Calibri" w:hAnsi="Calibri"/>
                        <w:spacing w:val="-2"/>
                        <w:sz w:val="18"/>
                      </w:rPr>
                      <w:t>Aktive</w:t>
                    </w:r>
                    <w:r>
                      <w:rPr>
                        <w:rFonts w:ascii="Calibri" w:hAnsi="Calibri"/>
                        <w:sz w:val="18"/>
                      </w:rPr>
                      <w:tab/>
                      <w:t>Të</w:t>
                    </w:r>
                    <w:r>
                      <w:rPr>
                        <w:rFonts w:ascii="Calibri" w:hAnsi="Calibri"/>
                        <w:spacing w:val="-2"/>
                        <w:sz w:val="18"/>
                      </w:rPr>
                      <w:t> shuara</w:t>
                    </w:r>
                  </w:p>
                </w:txbxContent>
              </v:textbox>
              <w10:wrap type="none"/>
            </v:shape>
          </v:group>
        </w:pict>
      </w:r>
      <w:r>
        <w:rPr>
          <w:sz w:val="20"/>
        </w:rPr>
      </w:r>
    </w:p>
    <w:p>
      <w:pPr>
        <w:spacing w:line="206" w:lineRule="exact" w:before="0"/>
        <w:ind w:left="3524" w:right="0" w:firstLine="0"/>
        <w:jc w:val="left"/>
        <w:rPr>
          <w:sz w:val="21"/>
        </w:rPr>
      </w:pPr>
      <w:r>
        <w:rPr>
          <w:b/>
          <w:sz w:val="21"/>
        </w:rPr>
        <w:t>Grafiku</w:t>
      </w:r>
      <w:r>
        <w:rPr>
          <w:b/>
          <w:spacing w:val="-4"/>
          <w:sz w:val="21"/>
        </w:rPr>
        <w:t> </w:t>
      </w:r>
      <w:r>
        <w:rPr>
          <w:b/>
          <w:sz w:val="21"/>
        </w:rPr>
        <w:t>7:</w:t>
      </w:r>
      <w:r>
        <w:rPr>
          <w:b/>
          <w:spacing w:val="-2"/>
          <w:sz w:val="21"/>
        </w:rPr>
        <w:t> </w:t>
      </w:r>
      <w:r>
        <w:rPr>
          <w:sz w:val="21"/>
        </w:rPr>
        <w:t>Regjistrimi</w:t>
      </w:r>
      <w:r>
        <w:rPr>
          <w:spacing w:val="-4"/>
          <w:sz w:val="21"/>
        </w:rPr>
        <w:t> </w:t>
      </w:r>
      <w:r>
        <w:rPr>
          <w:sz w:val="21"/>
        </w:rPr>
        <w:t>bizneseve</w:t>
      </w:r>
      <w:r>
        <w:rPr>
          <w:spacing w:val="-2"/>
          <w:sz w:val="21"/>
        </w:rPr>
        <w:t> </w:t>
      </w:r>
      <w:r>
        <w:rPr>
          <w:sz w:val="21"/>
        </w:rPr>
        <w:t>2019-</w:t>
      </w:r>
      <w:r>
        <w:rPr>
          <w:spacing w:val="-4"/>
          <w:sz w:val="21"/>
        </w:rPr>
        <w:t>2022</w:t>
      </w:r>
    </w:p>
    <w:p>
      <w:pPr>
        <w:pStyle w:val="BodyText"/>
        <w:rPr>
          <w:sz w:val="20"/>
        </w:rPr>
      </w:pPr>
    </w:p>
    <w:p>
      <w:pPr>
        <w:pStyle w:val="BodyText"/>
        <w:spacing w:before="4"/>
      </w:pPr>
    </w:p>
    <w:p>
      <w:pPr>
        <w:pStyle w:val="Heading2"/>
        <w:numPr>
          <w:ilvl w:val="1"/>
          <w:numId w:val="9"/>
        </w:numPr>
        <w:tabs>
          <w:tab w:pos="1461" w:val="left" w:leader="none"/>
          <w:tab w:pos="10131" w:val="left" w:leader="none"/>
        </w:tabs>
        <w:spacing w:line="240" w:lineRule="auto" w:before="90" w:after="0"/>
        <w:ind w:left="1460" w:right="0" w:hanging="751"/>
        <w:jc w:val="both"/>
      </w:pPr>
      <w:r>
        <w:rPr>
          <w:color w:val="000000"/>
          <w:spacing w:val="-2"/>
          <w:shd w:fill="EAB8A3" w:color="auto" w:val="clear"/>
        </w:rPr>
        <w:t>Industria</w:t>
      </w:r>
      <w:r>
        <w:rPr>
          <w:color w:val="000000"/>
          <w:shd w:fill="EAB8A3" w:color="auto" w:val="clear"/>
        </w:rPr>
        <w:tab/>
      </w:r>
    </w:p>
    <w:p>
      <w:pPr>
        <w:pStyle w:val="BodyText"/>
        <w:spacing w:before="1"/>
        <w:rPr>
          <w:b/>
          <w:sz w:val="21"/>
        </w:rPr>
      </w:pPr>
    </w:p>
    <w:p>
      <w:pPr>
        <w:pStyle w:val="BodyText"/>
        <w:ind w:left="740" w:right="1438"/>
        <w:jc w:val="both"/>
      </w:pPr>
      <w:r>
        <w:rPr/>
        <w:t>Si një zhvillim që i ka dhënë karakterin qytezës dhe në të njëjtën kohë ishte edhe shkaktar i evoluimit dhe zhvillimit të saj, industria është dega më e zhvilluar ekonomike në Han të Elezit. Bazuar</w:t>
      </w:r>
      <w:r>
        <w:rPr>
          <w:spacing w:val="-2"/>
        </w:rPr>
        <w:t> </w:t>
      </w:r>
      <w:r>
        <w:rPr/>
        <w:t>në</w:t>
      </w:r>
      <w:r>
        <w:rPr>
          <w:spacing w:val="-3"/>
        </w:rPr>
        <w:t> </w:t>
      </w:r>
      <w:r>
        <w:rPr/>
        <w:t>burimin</w:t>
      </w:r>
      <w:r>
        <w:rPr>
          <w:spacing w:val="-2"/>
        </w:rPr>
        <w:t> </w:t>
      </w:r>
      <w:r>
        <w:rPr/>
        <w:t>natyror</w:t>
      </w:r>
      <w:r>
        <w:rPr>
          <w:spacing w:val="-2"/>
        </w:rPr>
        <w:t> </w:t>
      </w:r>
      <w:r>
        <w:rPr/>
        <w:t>nëntokësor</w:t>
      </w:r>
      <w:r>
        <w:rPr>
          <w:spacing w:val="-2"/>
        </w:rPr>
        <w:t> </w:t>
      </w:r>
      <w:r>
        <w:rPr/>
        <w:t>mergele</w:t>
      </w:r>
      <w:r>
        <w:rPr>
          <w:spacing w:val="-3"/>
        </w:rPr>
        <w:t> </w:t>
      </w:r>
      <w:r>
        <w:rPr/>
        <w:t>si</w:t>
      </w:r>
      <w:r>
        <w:rPr>
          <w:spacing w:val="-2"/>
        </w:rPr>
        <w:t> </w:t>
      </w:r>
      <w:r>
        <w:rPr/>
        <w:t>lëndë</w:t>
      </w:r>
      <w:r>
        <w:rPr>
          <w:spacing w:val="-3"/>
        </w:rPr>
        <w:t> </w:t>
      </w:r>
      <w:r>
        <w:rPr/>
        <w:t>e</w:t>
      </w:r>
      <w:r>
        <w:rPr>
          <w:spacing w:val="-2"/>
        </w:rPr>
        <w:t> </w:t>
      </w:r>
      <w:r>
        <w:rPr/>
        <w:t>parë</w:t>
      </w:r>
      <w:r>
        <w:rPr>
          <w:spacing w:val="-3"/>
        </w:rPr>
        <w:t> </w:t>
      </w:r>
      <w:r>
        <w:rPr/>
        <w:t>për prodhimin</w:t>
      </w:r>
      <w:r>
        <w:rPr>
          <w:spacing w:val="-3"/>
        </w:rPr>
        <w:t> </w:t>
      </w:r>
      <w:r>
        <w:rPr/>
        <w:t>e</w:t>
      </w:r>
      <w:r>
        <w:rPr>
          <w:spacing w:val="-2"/>
        </w:rPr>
        <w:t> </w:t>
      </w:r>
      <w:r>
        <w:rPr/>
        <w:t>çimentos,</w:t>
      </w:r>
      <w:r>
        <w:rPr>
          <w:spacing w:val="-3"/>
        </w:rPr>
        <w:t> </w:t>
      </w:r>
      <w:r>
        <w:rPr/>
        <w:t>i</w:t>
      </w:r>
      <w:r>
        <w:rPr>
          <w:spacing w:val="-2"/>
        </w:rPr>
        <w:t> </w:t>
      </w:r>
      <w:r>
        <w:rPr/>
        <w:t>cili</w:t>
      </w:r>
      <w:r>
        <w:rPr>
          <w:spacing w:val="-2"/>
        </w:rPr>
        <w:t> </w:t>
      </w:r>
      <w:r>
        <w:rPr/>
        <w:t>më vonë</w:t>
      </w:r>
      <w:r>
        <w:rPr>
          <w:spacing w:val="-9"/>
        </w:rPr>
        <w:t> </w:t>
      </w:r>
      <w:r>
        <w:rPr/>
        <w:t>(gjatë</w:t>
      </w:r>
      <w:r>
        <w:rPr>
          <w:spacing w:val="-10"/>
        </w:rPr>
        <w:t> </w:t>
      </w:r>
      <w:r>
        <w:rPr/>
        <w:t>viteve</w:t>
      </w:r>
      <w:r>
        <w:rPr>
          <w:spacing w:val="-9"/>
        </w:rPr>
        <w:t> </w:t>
      </w:r>
      <w:r>
        <w:rPr/>
        <w:t>70</w:t>
      </w:r>
      <w:r>
        <w:rPr>
          <w:spacing w:val="-10"/>
        </w:rPr>
        <w:t> </w:t>
      </w:r>
      <w:r>
        <w:rPr/>
        <w:t>dhe</w:t>
      </w:r>
      <w:r>
        <w:rPr>
          <w:spacing w:val="-9"/>
        </w:rPr>
        <w:t> </w:t>
      </w:r>
      <w:r>
        <w:rPr/>
        <w:t>80)</w:t>
      </w:r>
      <w:r>
        <w:rPr>
          <w:spacing w:val="-9"/>
        </w:rPr>
        <w:t> </w:t>
      </w:r>
      <w:r>
        <w:rPr/>
        <w:t>u</w:t>
      </w:r>
      <w:r>
        <w:rPr>
          <w:spacing w:val="-10"/>
        </w:rPr>
        <w:t> </w:t>
      </w:r>
      <w:r>
        <w:rPr/>
        <w:t>hulumtua</w:t>
      </w:r>
      <w:r>
        <w:rPr>
          <w:spacing w:val="-9"/>
        </w:rPr>
        <w:t> </w:t>
      </w:r>
      <w:r>
        <w:rPr/>
        <w:t>në</w:t>
      </w:r>
      <w:r>
        <w:rPr>
          <w:spacing w:val="-11"/>
        </w:rPr>
        <w:t> </w:t>
      </w:r>
      <w:r>
        <w:rPr/>
        <w:t>sasinë</w:t>
      </w:r>
      <w:r>
        <w:rPr>
          <w:spacing w:val="-9"/>
        </w:rPr>
        <w:t> </w:t>
      </w:r>
      <w:r>
        <w:rPr/>
        <w:t>e</w:t>
      </w:r>
      <w:r>
        <w:rPr>
          <w:spacing w:val="-9"/>
        </w:rPr>
        <w:t> </w:t>
      </w:r>
      <w:r>
        <w:rPr/>
        <w:t>13.438.260</w:t>
      </w:r>
      <w:r>
        <w:rPr>
          <w:spacing w:val="-10"/>
        </w:rPr>
        <w:t> </w:t>
      </w:r>
      <w:r>
        <w:rPr/>
        <w:t>ton</w:t>
      </w:r>
      <w:r>
        <w:rPr>
          <w:spacing w:val="-9"/>
        </w:rPr>
        <w:t> </w:t>
      </w:r>
      <w:r>
        <w:rPr/>
        <w:t>në</w:t>
      </w:r>
      <w:r>
        <w:rPr>
          <w:spacing w:val="-9"/>
        </w:rPr>
        <w:t> </w:t>
      </w:r>
      <w:r>
        <w:rPr/>
        <w:t>Han</w:t>
      </w:r>
      <w:r>
        <w:rPr>
          <w:spacing w:val="-10"/>
        </w:rPr>
        <w:t> </w:t>
      </w:r>
      <w:r>
        <w:rPr/>
        <w:t>të</w:t>
      </w:r>
      <w:r>
        <w:rPr>
          <w:spacing w:val="-9"/>
        </w:rPr>
        <w:t> </w:t>
      </w:r>
      <w:r>
        <w:rPr/>
        <w:t>Elezit</w:t>
      </w:r>
      <w:r>
        <w:rPr>
          <w:spacing w:val="-10"/>
        </w:rPr>
        <w:t> </w:t>
      </w:r>
      <w:r>
        <w:rPr/>
        <w:t>(e</w:t>
      </w:r>
      <w:r>
        <w:rPr>
          <w:spacing w:val="-10"/>
        </w:rPr>
        <w:t> </w:t>
      </w:r>
      <w:r>
        <w:rPr/>
        <w:t>verifikuar) dhe</w:t>
      </w:r>
      <w:r>
        <w:rPr>
          <w:spacing w:val="-9"/>
        </w:rPr>
        <w:t> </w:t>
      </w:r>
      <w:r>
        <w:rPr/>
        <w:t>25.985.030</w:t>
      </w:r>
      <w:r>
        <w:rPr>
          <w:spacing w:val="-9"/>
        </w:rPr>
        <w:t> </w:t>
      </w:r>
      <w:r>
        <w:rPr/>
        <w:t>ton</w:t>
      </w:r>
      <w:r>
        <w:rPr>
          <w:spacing w:val="-9"/>
        </w:rPr>
        <w:t> </w:t>
      </w:r>
      <w:r>
        <w:rPr/>
        <w:t>në</w:t>
      </w:r>
      <w:r>
        <w:rPr>
          <w:spacing w:val="-10"/>
        </w:rPr>
        <w:t> </w:t>
      </w:r>
      <w:r>
        <w:rPr/>
        <w:t>Paldenicë</w:t>
      </w:r>
      <w:r>
        <w:rPr>
          <w:spacing w:val="-10"/>
        </w:rPr>
        <w:t> </w:t>
      </w:r>
      <w:r>
        <w:rPr/>
        <w:t>(e</w:t>
      </w:r>
      <w:r>
        <w:rPr>
          <w:spacing w:val="-9"/>
        </w:rPr>
        <w:t> </w:t>
      </w:r>
      <w:r>
        <w:rPr/>
        <w:t>pa</w:t>
      </w:r>
      <w:r>
        <w:rPr>
          <w:spacing w:val="-9"/>
        </w:rPr>
        <w:t> </w:t>
      </w:r>
      <w:r>
        <w:rPr/>
        <w:t>verifikuar);</w:t>
      </w:r>
      <w:r>
        <w:rPr>
          <w:spacing w:val="-9"/>
        </w:rPr>
        <w:t> </w:t>
      </w:r>
      <w:r>
        <w:rPr/>
        <w:t>kapacitetet</w:t>
      </w:r>
      <w:r>
        <w:rPr>
          <w:spacing w:val="-10"/>
        </w:rPr>
        <w:t> </w:t>
      </w:r>
      <w:r>
        <w:rPr/>
        <w:t>prodhuese</w:t>
      </w:r>
      <w:r>
        <w:rPr>
          <w:spacing w:val="-10"/>
        </w:rPr>
        <w:t> </w:t>
      </w:r>
      <w:r>
        <w:rPr/>
        <w:t>fillestare</w:t>
      </w:r>
      <w:r>
        <w:rPr>
          <w:spacing w:val="-10"/>
        </w:rPr>
        <w:t> </w:t>
      </w:r>
      <w:r>
        <w:rPr/>
        <w:t>të</w:t>
      </w:r>
      <w:r>
        <w:rPr>
          <w:spacing w:val="-11"/>
        </w:rPr>
        <w:t> </w:t>
      </w:r>
      <w:r>
        <w:rPr/>
        <w:t>çimentos</w:t>
      </w:r>
      <w:r>
        <w:rPr>
          <w:spacing w:val="-11"/>
        </w:rPr>
        <w:t> </w:t>
      </w:r>
      <w:r>
        <w:rPr/>
        <w:t>(sot quhet</w:t>
      </w:r>
      <w:r>
        <w:rPr>
          <w:spacing w:val="-9"/>
        </w:rPr>
        <w:t> </w:t>
      </w:r>
      <w:r>
        <w:rPr/>
        <w:t>fabrika</w:t>
      </w:r>
      <w:r>
        <w:rPr>
          <w:spacing w:val="-9"/>
        </w:rPr>
        <w:t> </w:t>
      </w:r>
      <w:r>
        <w:rPr/>
        <w:t>për</w:t>
      </w:r>
      <w:r>
        <w:rPr>
          <w:spacing w:val="-10"/>
        </w:rPr>
        <w:t> </w:t>
      </w:r>
      <w:r>
        <w:rPr/>
        <w:t>prodhimin</w:t>
      </w:r>
      <w:r>
        <w:rPr>
          <w:spacing w:val="-10"/>
        </w:rPr>
        <w:t> </w:t>
      </w:r>
      <w:r>
        <w:rPr/>
        <w:t>e</w:t>
      </w:r>
      <w:r>
        <w:rPr>
          <w:spacing w:val="-9"/>
        </w:rPr>
        <w:t> </w:t>
      </w:r>
      <w:r>
        <w:rPr/>
        <w:t>çimentos</w:t>
      </w:r>
      <w:r>
        <w:rPr>
          <w:spacing w:val="-9"/>
        </w:rPr>
        <w:t> </w:t>
      </w:r>
      <w:r>
        <w:rPr/>
        <w:t>“Sharrcem”)</w:t>
      </w:r>
      <w:r>
        <w:rPr>
          <w:spacing w:val="-8"/>
        </w:rPr>
        <w:t> </w:t>
      </w:r>
      <w:r>
        <w:rPr/>
        <w:t>u</w:t>
      </w:r>
      <w:r>
        <w:rPr>
          <w:spacing w:val="-11"/>
        </w:rPr>
        <w:t> </w:t>
      </w:r>
      <w:r>
        <w:rPr/>
        <w:t>ndërtuan</w:t>
      </w:r>
      <w:r>
        <w:rPr>
          <w:spacing w:val="-9"/>
        </w:rPr>
        <w:t> </w:t>
      </w:r>
      <w:r>
        <w:rPr/>
        <w:t>që</w:t>
      </w:r>
      <w:r>
        <w:rPr>
          <w:spacing w:val="-9"/>
        </w:rPr>
        <w:t> </w:t>
      </w:r>
      <w:r>
        <w:rPr/>
        <w:t>në</w:t>
      </w:r>
      <w:r>
        <w:rPr>
          <w:spacing w:val="-9"/>
        </w:rPr>
        <w:t> </w:t>
      </w:r>
      <w:r>
        <w:rPr/>
        <w:t>vitin</w:t>
      </w:r>
      <w:r>
        <w:rPr>
          <w:spacing w:val="-10"/>
        </w:rPr>
        <w:t> </w:t>
      </w:r>
      <w:r>
        <w:rPr/>
        <w:t>1936</w:t>
      </w:r>
      <w:r>
        <w:rPr>
          <w:spacing w:val="-9"/>
        </w:rPr>
        <w:t> </w:t>
      </w:r>
      <w:r>
        <w:rPr/>
        <w:t>duke</w:t>
      </w:r>
      <w:r>
        <w:rPr>
          <w:spacing w:val="-10"/>
        </w:rPr>
        <w:t> </w:t>
      </w:r>
      <w:r>
        <w:rPr/>
        <w:t>u</w:t>
      </w:r>
      <w:r>
        <w:rPr>
          <w:spacing w:val="-9"/>
        </w:rPr>
        <w:t> </w:t>
      </w:r>
      <w:r>
        <w:rPr/>
        <w:t>shtuar</w:t>
      </w:r>
      <w:r>
        <w:rPr>
          <w:spacing w:val="-9"/>
        </w:rPr>
        <w:t> </w:t>
      </w:r>
      <w:r>
        <w:rPr/>
        <w:t>më vonë në vazhdimësi në vitet e 70-ta dhe 80-ta. Nga viti 2000 deri 2010 fabrika ishte e komercializuar</w:t>
      </w:r>
      <w:r>
        <w:rPr>
          <w:spacing w:val="-3"/>
        </w:rPr>
        <w:t> </w:t>
      </w:r>
      <w:r>
        <w:rPr/>
        <w:t>nga</w:t>
      </w:r>
      <w:r>
        <w:rPr>
          <w:spacing w:val="-3"/>
        </w:rPr>
        <w:t> </w:t>
      </w:r>
      <w:r>
        <w:rPr/>
        <w:t>firma</w:t>
      </w:r>
      <w:r>
        <w:rPr>
          <w:spacing w:val="-3"/>
        </w:rPr>
        <w:t> </w:t>
      </w:r>
      <w:r>
        <w:rPr/>
        <w:t>zvicerane</w:t>
      </w:r>
      <w:r>
        <w:rPr>
          <w:spacing w:val="-4"/>
        </w:rPr>
        <w:t> </w:t>
      </w:r>
      <w:r>
        <w:rPr/>
        <w:t>Holcim,</w:t>
      </w:r>
      <w:r>
        <w:rPr>
          <w:spacing w:val="-3"/>
        </w:rPr>
        <w:t> </w:t>
      </w:r>
      <w:r>
        <w:rPr/>
        <w:t>kurse</w:t>
      </w:r>
      <w:r>
        <w:rPr>
          <w:spacing w:val="-3"/>
        </w:rPr>
        <w:t> </w:t>
      </w:r>
      <w:r>
        <w:rPr/>
        <w:t>nga</w:t>
      </w:r>
      <w:r>
        <w:rPr>
          <w:spacing w:val="-3"/>
        </w:rPr>
        <w:t> </w:t>
      </w:r>
      <w:r>
        <w:rPr/>
        <w:t>2010</w:t>
      </w:r>
      <w:r>
        <w:rPr>
          <w:spacing w:val="-3"/>
        </w:rPr>
        <w:t> </w:t>
      </w:r>
      <w:r>
        <w:rPr/>
        <w:t>ajo</w:t>
      </w:r>
      <w:r>
        <w:rPr>
          <w:spacing w:val="-3"/>
        </w:rPr>
        <w:t> </w:t>
      </w:r>
      <w:r>
        <w:rPr/>
        <w:t>është</w:t>
      </w:r>
      <w:r>
        <w:rPr>
          <w:spacing w:val="-3"/>
        </w:rPr>
        <w:t> </w:t>
      </w:r>
      <w:r>
        <w:rPr/>
        <w:t>privatizuar</w:t>
      </w:r>
      <w:r>
        <w:rPr>
          <w:spacing w:val="-3"/>
        </w:rPr>
        <w:t> </w:t>
      </w:r>
      <w:r>
        <w:rPr/>
        <w:t>nga</w:t>
      </w:r>
      <w:r>
        <w:rPr>
          <w:spacing w:val="-4"/>
        </w:rPr>
        <w:t> </w:t>
      </w:r>
      <w:r>
        <w:rPr/>
        <w:t>firma</w:t>
      </w:r>
      <w:r>
        <w:rPr>
          <w:spacing w:val="-3"/>
        </w:rPr>
        <w:t> </w:t>
      </w:r>
      <w:r>
        <w:rPr/>
        <w:t>greke Titan Group. Gjatë këtyre viteve janë bërë edhe hapa substancial në përmirësimin dhe digjitalizimin e linjave prodhuese, përmirësime në rritjen e efiçiencës, automatizim të punëve, menaxhim më të mirë të shëndetit dhe sigurisë së punëtorëve, reduktimet e ndotjes, etj.</w:t>
      </w:r>
    </w:p>
    <w:p>
      <w:pPr>
        <w:pStyle w:val="BodyText"/>
        <w:spacing w:before="200"/>
        <w:ind w:left="740" w:right="1437"/>
        <w:jc w:val="both"/>
      </w:pPr>
      <w:r>
        <w:rPr/>
        <w:t>Prodhimi i çimentos ka variuar nëpër vite. Gjatë sistemit të mëparshëm kishte arritur kulmin e prodhimtarisë më 1982 me 550.000 ton në vit. Pas montimit të teknologjisë më të avancuar, më 2009 u arrit sasia e rreth 600.000 tonëve në vit. Që nga atëherë e deri më 2014, prodhimtaria ka arritur</w:t>
      </w:r>
      <w:r>
        <w:rPr>
          <w:spacing w:val="-8"/>
        </w:rPr>
        <w:t> </w:t>
      </w:r>
      <w:r>
        <w:rPr/>
        <w:t>çdo</w:t>
      </w:r>
      <w:r>
        <w:rPr>
          <w:spacing w:val="-8"/>
        </w:rPr>
        <w:t> </w:t>
      </w:r>
      <w:r>
        <w:rPr/>
        <w:t>herë</w:t>
      </w:r>
      <w:r>
        <w:rPr>
          <w:spacing w:val="-8"/>
        </w:rPr>
        <w:t> </w:t>
      </w:r>
      <w:r>
        <w:rPr/>
        <w:t>mbi</w:t>
      </w:r>
      <w:r>
        <w:rPr>
          <w:spacing w:val="-8"/>
        </w:rPr>
        <w:t> </w:t>
      </w:r>
      <w:r>
        <w:rPr/>
        <w:t>500.000</w:t>
      </w:r>
      <w:r>
        <w:rPr>
          <w:spacing w:val="-8"/>
        </w:rPr>
        <w:t> </w:t>
      </w:r>
      <w:r>
        <w:rPr/>
        <w:t>tonë</w:t>
      </w:r>
      <w:r>
        <w:rPr>
          <w:spacing w:val="-8"/>
        </w:rPr>
        <w:t> </w:t>
      </w:r>
      <w:r>
        <w:rPr/>
        <w:t>në</w:t>
      </w:r>
      <w:r>
        <w:rPr>
          <w:spacing w:val="-8"/>
        </w:rPr>
        <w:t> </w:t>
      </w:r>
      <w:r>
        <w:rPr/>
        <w:t>vit.</w:t>
      </w:r>
      <w:r>
        <w:rPr>
          <w:spacing w:val="-8"/>
        </w:rPr>
        <w:t> </w:t>
      </w:r>
      <w:r>
        <w:rPr/>
        <w:t>Në</w:t>
      </w:r>
      <w:r>
        <w:rPr>
          <w:spacing w:val="-9"/>
        </w:rPr>
        <w:t> </w:t>
      </w:r>
      <w:r>
        <w:rPr/>
        <w:t>vitin</w:t>
      </w:r>
      <w:r>
        <w:rPr>
          <w:spacing w:val="-9"/>
        </w:rPr>
        <w:t> </w:t>
      </w:r>
      <w:r>
        <w:rPr/>
        <w:t>2015</w:t>
      </w:r>
      <w:r>
        <w:rPr>
          <w:spacing w:val="-8"/>
        </w:rPr>
        <w:t> </w:t>
      </w:r>
      <w:r>
        <w:rPr/>
        <w:t>prodhimtaria</w:t>
      </w:r>
      <w:r>
        <w:rPr>
          <w:spacing w:val="-8"/>
        </w:rPr>
        <w:t> </w:t>
      </w:r>
      <w:r>
        <w:rPr/>
        <w:t>vjetore</w:t>
      </w:r>
      <w:r>
        <w:rPr>
          <w:spacing w:val="-8"/>
        </w:rPr>
        <w:t> </w:t>
      </w:r>
      <w:r>
        <w:rPr/>
        <w:t>arriti</w:t>
      </w:r>
      <w:r>
        <w:rPr>
          <w:spacing w:val="-8"/>
        </w:rPr>
        <w:t> </w:t>
      </w:r>
      <w:r>
        <w:rPr/>
        <w:t>në</w:t>
      </w:r>
      <w:r>
        <w:rPr>
          <w:spacing w:val="-8"/>
        </w:rPr>
        <w:t> </w:t>
      </w:r>
      <w:r>
        <w:rPr/>
        <w:t>630.000</w:t>
      </w:r>
      <w:r>
        <w:rPr>
          <w:spacing w:val="-8"/>
        </w:rPr>
        <w:t> </w:t>
      </w:r>
      <w:r>
        <w:rPr/>
        <w:t>ton</w:t>
      </w:r>
      <w:r>
        <w:rPr>
          <w:vertAlign w:val="superscript"/>
        </w:rPr>
        <w:t>2</w:t>
      </w:r>
      <w:r>
        <w:rPr>
          <w:vertAlign w:val="baseline"/>
        </w:rPr>
        <w:t>. Me këtë sasi të prodhuar, nevojat e Kosovës mbulohen në sasinë nën 50%. Përqindja</w:t>
      </w:r>
      <w:r>
        <w:rPr>
          <w:vertAlign w:val="baseline"/>
        </w:rPr>
        <w:t> tjetër importohet kryesisht nga Maqedonia por edhe Shqipëria dhe Serbia.</w:t>
      </w:r>
    </w:p>
    <w:p>
      <w:pPr>
        <w:pStyle w:val="BodyText"/>
        <w:spacing w:before="201"/>
        <w:ind w:left="740" w:right="1439"/>
        <w:jc w:val="both"/>
      </w:pPr>
      <w:r>
        <w:rPr/>
        <w:t>Që</w:t>
      </w:r>
      <w:r>
        <w:rPr>
          <w:spacing w:val="-4"/>
        </w:rPr>
        <w:t> </w:t>
      </w:r>
      <w:r>
        <w:rPr/>
        <w:t>nga</w:t>
      </w:r>
      <w:r>
        <w:rPr>
          <w:spacing w:val="-3"/>
        </w:rPr>
        <w:t> </w:t>
      </w:r>
      <w:r>
        <w:rPr/>
        <w:t>viti</w:t>
      </w:r>
      <w:r>
        <w:rPr>
          <w:spacing w:val="-4"/>
        </w:rPr>
        <w:t> </w:t>
      </w:r>
      <w:r>
        <w:rPr/>
        <w:t>2002</w:t>
      </w:r>
      <w:r>
        <w:rPr>
          <w:spacing w:val="-4"/>
        </w:rPr>
        <w:t> </w:t>
      </w:r>
      <w:r>
        <w:rPr/>
        <w:t>e</w:t>
      </w:r>
      <w:r>
        <w:rPr>
          <w:spacing w:val="-3"/>
        </w:rPr>
        <w:t> </w:t>
      </w:r>
      <w:r>
        <w:rPr/>
        <w:t>në</w:t>
      </w:r>
      <w:r>
        <w:rPr>
          <w:spacing w:val="-3"/>
        </w:rPr>
        <w:t> </w:t>
      </w:r>
      <w:r>
        <w:rPr/>
        <w:t>disa</w:t>
      </w:r>
      <w:r>
        <w:rPr>
          <w:spacing w:val="-3"/>
        </w:rPr>
        <w:t> </w:t>
      </w:r>
      <w:r>
        <w:rPr/>
        <w:t>raste</w:t>
      </w:r>
      <w:r>
        <w:rPr>
          <w:spacing w:val="-4"/>
        </w:rPr>
        <w:t> </w:t>
      </w:r>
      <w:r>
        <w:rPr/>
        <w:t>edhe</w:t>
      </w:r>
      <w:r>
        <w:rPr>
          <w:spacing w:val="-4"/>
        </w:rPr>
        <w:t> </w:t>
      </w:r>
      <w:r>
        <w:rPr/>
        <w:t>më</w:t>
      </w:r>
      <w:r>
        <w:rPr>
          <w:spacing w:val="-2"/>
        </w:rPr>
        <w:t> </w:t>
      </w:r>
      <w:r>
        <w:rPr/>
        <w:t>parë,</w:t>
      </w:r>
      <w:r>
        <w:rPr>
          <w:spacing w:val="-3"/>
        </w:rPr>
        <w:t> </w:t>
      </w:r>
      <w:r>
        <w:rPr/>
        <w:t>Sharrcem</w:t>
      </w:r>
      <w:r>
        <w:rPr>
          <w:spacing w:val="-3"/>
        </w:rPr>
        <w:t> </w:t>
      </w:r>
      <w:r>
        <w:rPr/>
        <w:t>ka</w:t>
      </w:r>
      <w:r>
        <w:rPr>
          <w:spacing w:val="-5"/>
        </w:rPr>
        <w:t> </w:t>
      </w:r>
      <w:r>
        <w:rPr/>
        <w:t>shfrytëzuar</w:t>
      </w:r>
      <w:r>
        <w:rPr>
          <w:spacing w:val="-5"/>
        </w:rPr>
        <w:t> </w:t>
      </w:r>
      <w:r>
        <w:rPr/>
        <w:t>rreth</w:t>
      </w:r>
      <w:r>
        <w:rPr>
          <w:spacing w:val="-4"/>
        </w:rPr>
        <w:t> </w:t>
      </w:r>
      <w:r>
        <w:rPr/>
        <w:t>500.000</w:t>
      </w:r>
      <w:r>
        <w:rPr>
          <w:spacing w:val="-5"/>
        </w:rPr>
        <w:t> </w:t>
      </w:r>
      <w:r>
        <w:rPr/>
        <w:t>ton</w:t>
      </w:r>
      <w:r>
        <w:rPr>
          <w:spacing w:val="-5"/>
        </w:rPr>
        <w:t> </w:t>
      </w:r>
      <w:r>
        <w:rPr/>
        <w:t>mergele në vit në mihjen sipërfaqësore në Han të Elezit duke arritur totalin e mbi 10.000.000 tonëve deri në</w:t>
      </w:r>
      <w:r>
        <w:rPr>
          <w:spacing w:val="-3"/>
        </w:rPr>
        <w:t> </w:t>
      </w:r>
      <w:r>
        <w:rPr/>
        <w:t>fund</w:t>
      </w:r>
      <w:r>
        <w:rPr>
          <w:spacing w:val="-3"/>
        </w:rPr>
        <w:t> </w:t>
      </w:r>
      <w:r>
        <w:rPr/>
        <w:t>të</w:t>
      </w:r>
      <w:r>
        <w:rPr>
          <w:spacing w:val="-2"/>
        </w:rPr>
        <w:t> </w:t>
      </w:r>
      <w:r>
        <w:rPr/>
        <w:t>2021.</w:t>
      </w:r>
      <w:r>
        <w:rPr>
          <w:spacing w:val="-4"/>
        </w:rPr>
        <w:t> </w:t>
      </w:r>
      <w:r>
        <w:rPr/>
        <w:t>Kjo</w:t>
      </w:r>
      <w:r>
        <w:rPr>
          <w:spacing w:val="-4"/>
        </w:rPr>
        <w:t> </w:t>
      </w:r>
      <w:r>
        <w:rPr/>
        <w:t>sasi</w:t>
      </w:r>
      <w:r>
        <w:rPr>
          <w:spacing w:val="-3"/>
        </w:rPr>
        <w:t> </w:t>
      </w:r>
      <w:r>
        <w:rPr/>
        <w:t>duhet</w:t>
      </w:r>
      <w:r>
        <w:rPr>
          <w:spacing w:val="-2"/>
        </w:rPr>
        <w:t> </w:t>
      </w:r>
      <w:r>
        <w:rPr/>
        <w:t>analizuar</w:t>
      </w:r>
      <w:r>
        <w:rPr>
          <w:spacing w:val="-3"/>
        </w:rPr>
        <w:t> </w:t>
      </w:r>
      <w:r>
        <w:rPr/>
        <w:t>në</w:t>
      </w:r>
      <w:r>
        <w:rPr>
          <w:spacing w:val="-3"/>
        </w:rPr>
        <w:t> </w:t>
      </w:r>
      <w:r>
        <w:rPr/>
        <w:t>kontekstin</w:t>
      </w:r>
      <w:r>
        <w:rPr>
          <w:spacing w:val="-3"/>
        </w:rPr>
        <w:t> </w:t>
      </w:r>
      <w:r>
        <w:rPr/>
        <w:t>e</w:t>
      </w:r>
      <w:r>
        <w:rPr>
          <w:spacing w:val="-3"/>
        </w:rPr>
        <w:t> </w:t>
      </w:r>
      <w:r>
        <w:rPr/>
        <w:t>sasisë</w:t>
      </w:r>
      <w:r>
        <w:rPr>
          <w:spacing w:val="-4"/>
        </w:rPr>
        <w:t> </w:t>
      </w:r>
      <w:r>
        <w:rPr/>
        <w:t>totale</w:t>
      </w:r>
      <w:r>
        <w:rPr>
          <w:spacing w:val="-4"/>
        </w:rPr>
        <w:t> </w:t>
      </w:r>
      <w:r>
        <w:rPr/>
        <w:t>të</w:t>
      </w:r>
      <w:r>
        <w:rPr>
          <w:spacing w:val="-2"/>
        </w:rPr>
        <w:t> </w:t>
      </w:r>
      <w:r>
        <w:rPr/>
        <w:t>mergeles</w:t>
      </w:r>
      <w:r>
        <w:rPr>
          <w:spacing w:val="-3"/>
        </w:rPr>
        <w:t> </w:t>
      </w:r>
      <w:r>
        <w:rPr/>
        <w:t>së</w:t>
      </w:r>
      <w:r>
        <w:rPr>
          <w:spacing w:val="-4"/>
        </w:rPr>
        <w:t> </w:t>
      </w:r>
      <w:r>
        <w:rPr/>
        <w:t>verifikuar</w:t>
      </w:r>
      <w:r>
        <w:rPr>
          <w:spacing w:val="-3"/>
        </w:rPr>
        <w:t> </w:t>
      </w:r>
      <w:r>
        <w:rPr/>
        <w:t>në zonat</w:t>
      </w:r>
      <w:r>
        <w:rPr>
          <w:spacing w:val="1"/>
        </w:rPr>
        <w:t> </w:t>
      </w:r>
      <w:r>
        <w:rPr/>
        <w:t>e</w:t>
      </w:r>
      <w:r>
        <w:rPr>
          <w:spacing w:val="2"/>
        </w:rPr>
        <w:t> </w:t>
      </w:r>
      <w:r>
        <w:rPr/>
        <w:t>lartpërmendura. Bazuar</w:t>
      </w:r>
      <w:r>
        <w:rPr>
          <w:spacing w:val="2"/>
        </w:rPr>
        <w:t> </w:t>
      </w:r>
      <w:r>
        <w:rPr/>
        <w:t>në</w:t>
      </w:r>
      <w:r>
        <w:rPr>
          <w:spacing w:val="1"/>
        </w:rPr>
        <w:t> </w:t>
      </w:r>
      <w:r>
        <w:rPr/>
        <w:t>këtë</w:t>
      </w:r>
      <w:r>
        <w:rPr>
          <w:spacing w:val="2"/>
        </w:rPr>
        <w:t> </w:t>
      </w:r>
      <w:r>
        <w:rPr/>
        <w:t>si</w:t>
      </w:r>
      <w:r>
        <w:rPr>
          <w:spacing w:val="1"/>
        </w:rPr>
        <w:t> </w:t>
      </w:r>
      <w:r>
        <w:rPr/>
        <w:t>dhe</w:t>
      </w:r>
      <w:r>
        <w:rPr>
          <w:spacing w:val="2"/>
        </w:rPr>
        <w:t> </w:t>
      </w:r>
      <w:r>
        <w:rPr/>
        <w:t>vrojtimeve</w:t>
      </w:r>
      <w:r>
        <w:rPr>
          <w:spacing w:val="1"/>
        </w:rPr>
        <w:t> </w:t>
      </w:r>
      <w:r>
        <w:rPr/>
        <w:t>në</w:t>
      </w:r>
      <w:r>
        <w:rPr>
          <w:spacing w:val="1"/>
        </w:rPr>
        <w:t> </w:t>
      </w:r>
      <w:r>
        <w:rPr/>
        <w:t>terren, mundë</w:t>
      </w:r>
      <w:r>
        <w:rPr>
          <w:spacing w:val="2"/>
        </w:rPr>
        <w:t> </w:t>
      </w:r>
      <w:r>
        <w:rPr/>
        <w:t>të</w:t>
      </w:r>
      <w:r>
        <w:rPr>
          <w:spacing w:val="1"/>
        </w:rPr>
        <w:t> </w:t>
      </w:r>
      <w:r>
        <w:rPr/>
        <w:t>thuhet</w:t>
      </w:r>
      <w:r>
        <w:rPr>
          <w:spacing w:val="1"/>
        </w:rPr>
        <w:t> </w:t>
      </w:r>
      <w:r>
        <w:rPr/>
        <w:t>se</w:t>
      </w:r>
      <w:r>
        <w:rPr>
          <w:spacing w:val="1"/>
        </w:rPr>
        <w:t> </w:t>
      </w:r>
      <w:r>
        <w:rPr/>
        <w:t>rezervat</w:t>
      </w:r>
      <w:r>
        <w:rPr>
          <w:spacing w:val="2"/>
        </w:rPr>
        <w:t> </w:t>
      </w:r>
      <w:r>
        <w:rPr>
          <w:spacing w:val="-10"/>
        </w:rPr>
        <w:t>e</w:t>
      </w:r>
    </w:p>
    <w:p>
      <w:pPr>
        <w:pStyle w:val="BodyText"/>
        <w:spacing w:before="4"/>
        <w:rPr>
          <w:sz w:val="23"/>
        </w:rPr>
      </w:pPr>
      <w:r>
        <w:rPr/>
        <w:pict>
          <v:rect style="position:absolute;margin-left:72pt;margin-top:14.642697pt;width:144.020pt;height:.66003pt;mso-position-horizontal-relative:page;mso-position-vertical-relative:paragraph;z-index:-15712256;mso-wrap-distance-left:0;mso-wrap-distance-right:0" id="docshape174"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2</w:t>
      </w:r>
      <w:r>
        <w:rPr>
          <w:rFonts w:ascii="Calibri" w:hAnsi="Calibri"/>
          <w:spacing w:val="-5"/>
          <w:sz w:val="20"/>
          <w:vertAlign w:val="baseline"/>
        </w:rPr>
        <w:t> </w:t>
      </w:r>
      <w:r>
        <w:rPr>
          <w:rFonts w:ascii="Calibri" w:hAnsi="Calibri"/>
          <w:sz w:val="20"/>
          <w:vertAlign w:val="baseline"/>
        </w:rPr>
        <w:t>Drejtoria</w:t>
      </w:r>
      <w:r>
        <w:rPr>
          <w:rFonts w:ascii="Calibri" w:hAnsi="Calibri"/>
          <w:spacing w:val="-5"/>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Zhvillim</w:t>
      </w:r>
      <w:r>
        <w:rPr>
          <w:rFonts w:ascii="Calibri" w:hAnsi="Calibri"/>
          <w:spacing w:val="-5"/>
          <w:sz w:val="20"/>
          <w:vertAlign w:val="baseline"/>
        </w:rPr>
        <w:t> </w:t>
      </w:r>
      <w:r>
        <w:rPr>
          <w:rFonts w:ascii="Calibri" w:hAnsi="Calibri"/>
          <w:spacing w:val="-2"/>
          <w:sz w:val="20"/>
          <w:vertAlign w:val="baseline"/>
        </w:rPr>
        <w:t>Ekonomik</w:t>
      </w:r>
    </w:p>
    <w:p>
      <w:pPr>
        <w:spacing w:after="0"/>
        <w:jc w:val="left"/>
        <w:rPr>
          <w:rFonts w:ascii="Calibri" w:hAnsi="Calibri"/>
          <w:sz w:val="20"/>
        </w:rPr>
        <w:sectPr>
          <w:pgSz w:w="12240" w:h="15840"/>
          <w:pgMar w:header="0" w:footer="990" w:top="1440" w:bottom="1180" w:left="700" w:right="0"/>
        </w:sectPr>
      </w:pPr>
    </w:p>
    <w:p>
      <w:pPr>
        <w:pStyle w:val="BodyText"/>
        <w:spacing w:before="60"/>
        <w:ind w:left="740" w:right="1440"/>
        <w:jc w:val="both"/>
      </w:pPr>
      <w:r>
        <w:rPr/>
        <w:t>mergeles</w:t>
      </w:r>
      <w:r>
        <w:rPr>
          <w:spacing w:val="-3"/>
        </w:rPr>
        <w:t> </w:t>
      </w:r>
      <w:r>
        <w:rPr/>
        <w:t>në</w:t>
      </w:r>
      <w:r>
        <w:rPr>
          <w:spacing w:val="-4"/>
        </w:rPr>
        <w:t> </w:t>
      </w:r>
      <w:r>
        <w:rPr/>
        <w:t>Dimcë</w:t>
      </w:r>
      <w:r>
        <w:rPr>
          <w:spacing w:val="-3"/>
        </w:rPr>
        <w:t> </w:t>
      </w:r>
      <w:r>
        <w:rPr/>
        <w:t>janë</w:t>
      </w:r>
      <w:r>
        <w:rPr>
          <w:spacing w:val="-3"/>
        </w:rPr>
        <w:t> </w:t>
      </w:r>
      <w:r>
        <w:rPr/>
        <w:t>shpenzuar</w:t>
      </w:r>
      <w:r>
        <w:rPr>
          <w:spacing w:val="-3"/>
        </w:rPr>
        <w:t> </w:t>
      </w:r>
      <w:r>
        <w:rPr/>
        <w:t>në</w:t>
      </w:r>
      <w:r>
        <w:rPr>
          <w:spacing w:val="-3"/>
        </w:rPr>
        <w:t> </w:t>
      </w:r>
      <w:r>
        <w:rPr/>
        <w:t>sasi</w:t>
      </w:r>
      <w:r>
        <w:rPr>
          <w:spacing w:val="-3"/>
        </w:rPr>
        <w:t> </w:t>
      </w:r>
      <w:r>
        <w:rPr/>
        <w:t>relativisht</w:t>
      </w:r>
      <w:r>
        <w:rPr>
          <w:spacing w:val="-3"/>
        </w:rPr>
        <w:t> </w:t>
      </w:r>
      <w:r>
        <w:rPr/>
        <w:t>të</w:t>
      </w:r>
      <w:r>
        <w:rPr>
          <w:spacing w:val="-3"/>
        </w:rPr>
        <w:t> </w:t>
      </w:r>
      <w:r>
        <w:rPr/>
        <w:t>mirë</w:t>
      </w:r>
      <w:r>
        <w:rPr>
          <w:spacing w:val="-3"/>
        </w:rPr>
        <w:t> </w:t>
      </w:r>
      <w:r>
        <w:rPr/>
        <w:t>që</w:t>
      </w:r>
      <w:r>
        <w:rPr>
          <w:spacing w:val="-3"/>
        </w:rPr>
        <w:t> </w:t>
      </w:r>
      <w:r>
        <w:rPr/>
        <w:t>qon</w:t>
      </w:r>
      <w:r>
        <w:rPr>
          <w:spacing w:val="-3"/>
        </w:rPr>
        <w:t> </w:t>
      </w:r>
      <w:r>
        <w:rPr/>
        <w:t>në</w:t>
      </w:r>
      <w:r>
        <w:rPr>
          <w:spacing w:val="-3"/>
        </w:rPr>
        <w:t> </w:t>
      </w:r>
      <w:r>
        <w:rPr/>
        <w:t>përfundim</w:t>
      </w:r>
      <w:r>
        <w:rPr>
          <w:spacing w:val="-3"/>
        </w:rPr>
        <w:t> </w:t>
      </w:r>
      <w:r>
        <w:rPr/>
        <w:t>se</w:t>
      </w:r>
      <w:r>
        <w:rPr>
          <w:spacing w:val="-3"/>
        </w:rPr>
        <w:t> </w:t>
      </w:r>
      <w:r>
        <w:rPr/>
        <w:t>duhet</w:t>
      </w:r>
      <w:r>
        <w:rPr>
          <w:spacing w:val="-3"/>
        </w:rPr>
        <w:t> </w:t>
      </w:r>
      <w:r>
        <w:rPr/>
        <w:t>shtuar masat në shfrytëzim sa më racional të kësaj lënde të parë.</w:t>
      </w:r>
    </w:p>
    <w:p>
      <w:pPr>
        <w:pStyle w:val="BodyText"/>
        <w:spacing w:before="200"/>
        <w:ind w:left="740" w:right="1438"/>
        <w:jc w:val="both"/>
      </w:pPr>
      <w:r>
        <w:rPr/>
        <w:t>Përveç</w:t>
      </w:r>
      <w:r>
        <w:rPr>
          <w:spacing w:val="-6"/>
        </w:rPr>
        <w:t> </w:t>
      </w:r>
      <w:r>
        <w:rPr/>
        <w:t>qëllimit</w:t>
      </w:r>
      <w:r>
        <w:rPr>
          <w:spacing w:val="-5"/>
        </w:rPr>
        <w:t> </w:t>
      </w:r>
      <w:r>
        <w:rPr/>
        <w:t>kryesor</w:t>
      </w:r>
      <w:r>
        <w:rPr>
          <w:spacing w:val="-7"/>
        </w:rPr>
        <w:t> </w:t>
      </w:r>
      <w:r>
        <w:rPr/>
        <w:t>të</w:t>
      </w:r>
      <w:r>
        <w:rPr>
          <w:spacing w:val="-6"/>
        </w:rPr>
        <w:t> </w:t>
      </w:r>
      <w:r>
        <w:rPr/>
        <w:t>prodhimtarisë,</w:t>
      </w:r>
      <w:r>
        <w:rPr>
          <w:spacing w:val="-6"/>
        </w:rPr>
        <w:t> </w:t>
      </w:r>
      <w:r>
        <w:rPr/>
        <w:t>Sharrcem</w:t>
      </w:r>
      <w:r>
        <w:rPr>
          <w:spacing w:val="-5"/>
        </w:rPr>
        <w:t> </w:t>
      </w:r>
      <w:r>
        <w:rPr/>
        <w:t>ka</w:t>
      </w:r>
      <w:r>
        <w:rPr>
          <w:spacing w:val="-6"/>
        </w:rPr>
        <w:t> </w:t>
      </w:r>
      <w:r>
        <w:rPr/>
        <w:t>ndërmarrë</w:t>
      </w:r>
      <w:r>
        <w:rPr>
          <w:spacing w:val="-6"/>
        </w:rPr>
        <w:t> </w:t>
      </w:r>
      <w:r>
        <w:rPr/>
        <w:t>edhe</w:t>
      </w:r>
      <w:r>
        <w:rPr>
          <w:spacing w:val="-6"/>
        </w:rPr>
        <w:t> </w:t>
      </w:r>
      <w:r>
        <w:rPr/>
        <w:t>hapa</w:t>
      </w:r>
      <w:r>
        <w:rPr>
          <w:spacing w:val="-6"/>
        </w:rPr>
        <w:t> </w:t>
      </w:r>
      <w:r>
        <w:rPr/>
        <w:t>për</w:t>
      </w:r>
      <w:r>
        <w:rPr>
          <w:spacing w:val="-5"/>
        </w:rPr>
        <w:t> </w:t>
      </w:r>
      <w:r>
        <w:rPr/>
        <w:t>rrjetëzimin</w:t>
      </w:r>
      <w:r>
        <w:rPr>
          <w:spacing w:val="-5"/>
        </w:rPr>
        <w:t> </w:t>
      </w:r>
      <w:r>
        <w:rPr/>
        <w:t>e</w:t>
      </w:r>
      <w:r>
        <w:rPr>
          <w:spacing w:val="-6"/>
        </w:rPr>
        <w:t> </w:t>
      </w:r>
      <w:r>
        <w:rPr/>
        <w:t>tij</w:t>
      </w:r>
      <w:r>
        <w:rPr>
          <w:spacing w:val="-6"/>
        </w:rPr>
        <w:t> </w:t>
      </w:r>
      <w:r>
        <w:rPr/>
        <w:t>si dhe për mbështetje të komuniteti në Han të Elezit. Në vitin 2011, Sharrcem ishte iniciues në themelimin</w:t>
      </w:r>
      <w:r>
        <w:rPr>
          <w:spacing w:val="-3"/>
        </w:rPr>
        <w:t> </w:t>
      </w:r>
      <w:r>
        <w:rPr/>
        <w:t>e</w:t>
      </w:r>
      <w:r>
        <w:rPr>
          <w:spacing w:val="-2"/>
        </w:rPr>
        <w:t> </w:t>
      </w:r>
      <w:r>
        <w:rPr/>
        <w:t>Rrjetit</w:t>
      </w:r>
      <w:r>
        <w:rPr>
          <w:spacing w:val="-2"/>
        </w:rPr>
        <w:t> </w:t>
      </w:r>
      <w:r>
        <w:rPr/>
        <w:t>për</w:t>
      </w:r>
      <w:r>
        <w:rPr>
          <w:spacing w:val="-3"/>
        </w:rPr>
        <w:t> </w:t>
      </w:r>
      <w:r>
        <w:rPr/>
        <w:t>Përgjegjësi</w:t>
      </w:r>
      <w:r>
        <w:rPr>
          <w:spacing w:val="-3"/>
        </w:rPr>
        <w:t> </w:t>
      </w:r>
      <w:r>
        <w:rPr/>
        <w:t>Shoqërore</w:t>
      </w:r>
      <w:r>
        <w:rPr>
          <w:spacing w:val="-2"/>
        </w:rPr>
        <w:t> </w:t>
      </w:r>
      <w:r>
        <w:rPr/>
        <w:t>të</w:t>
      </w:r>
      <w:r>
        <w:rPr>
          <w:spacing w:val="-4"/>
        </w:rPr>
        <w:t> </w:t>
      </w:r>
      <w:r>
        <w:rPr/>
        <w:t>Korporatave</w:t>
      </w:r>
      <w:r>
        <w:rPr>
          <w:spacing w:val="-3"/>
        </w:rPr>
        <w:t> </w:t>
      </w:r>
      <w:r>
        <w:rPr/>
        <w:t>(CSR).</w:t>
      </w:r>
      <w:r>
        <w:rPr>
          <w:spacing w:val="-2"/>
        </w:rPr>
        <w:t> </w:t>
      </w:r>
      <w:r>
        <w:rPr/>
        <w:t>Gjithashtu</w:t>
      </w:r>
      <w:r>
        <w:rPr>
          <w:spacing w:val="-3"/>
        </w:rPr>
        <w:t> </w:t>
      </w:r>
      <w:r>
        <w:rPr/>
        <w:t>është</w:t>
      </w:r>
      <w:r>
        <w:rPr>
          <w:spacing w:val="-3"/>
        </w:rPr>
        <w:t> </w:t>
      </w:r>
      <w:r>
        <w:rPr/>
        <w:t>themelues dhe financuesi kryesor i Laboratorit për Aktivitete të Biznesit (LAB), i themeluar më 2014 me qëllim që të kontribuojë në edukimin dhe mbështetjen financiare të iniciativave që do të mundësonin</w:t>
      </w:r>
      <w:r>
        <w:rPr>
          <w:spacing w:val="-15"/>
        </w:rPr>
        <w:t> </w:t>
      </w:r>
      <w:r>
        <w:rPr/>
        <w:t>alternativa</w:t>
      </w:r>
      <w:r>
        <w:rPr>
          <w:spacing w:val="-15"/>
        </w:rPr>
        <w:t> </w:t>
      </w:r>
      <w:r>
        <w:rPr/>
        <w:t>të</w:t>
      </w:r>
      <w:r>
        <w:rPr>
          <w:spacing w:val="-15"/>
        </w:rPr>
        <w:t> </w:t>
      </w:r>
      <w:r>
        <w:rPr/>
        <w:t>vetë-punësimit</w:t>
      </w:r>
      <w:r>
        <w:rPr>
          <w:spacing w:val="-15"/>
        </w:rPr>
        <w:t> </w:t>
      </w:r>
      <w:r>
        <w:rPr/>
        <w:t>dhe</w:t>
      </w:r>
      <w:r>
        <w:rPr>
          <w:spacing w:val="-15"/>
        </w:rPr>
        <w:t> </w:t>
      </w:r>
      <w:r>
        <w:rPr/>
        <w:t>gjenerimit</w:t>
      </w:r>
      <w:r>
        <w:rPr>
          <w:spacing w:val="-15"/>
        </w:rPr>
        <w:t> </w:t>
      </w:r>
      <w:r>
        <w:rPr/>
        <w:t>të</w:t>
      </w:r>
      <w:r>
        <w:rPr>
          <w:spacing w:val="-15"/>
        </w:rPr>
        <w:t> </w:t>
      </w:r>
      <w:r>
        <w:rPr/>
        <w:t>të</w:t>
      </w:r>
      <w:r>
        <w:rPr>
          <w:spacing w:val="-15"/>
        </w:rPr>
        <w:t> </w:t>
      </w:r>
      <w:r>
        <w:rPr/>
        <w:t>hyrave</w:t>
      </w:r>
      <w:r>
        <w:rPr>
          <w:spacing w:val="-15"/>
        </w:rPr>
        <w:t> </w:t>
      </w:r>
      <w:r>
        <w:rPr/>
        <w:t>për</w:t>
      </w:r>
      <w:r>
        <w:rPr>
          <w:spacing w:val="-15"/>
        </w:rPr>
        <w:t> </w:t>
      </w:r>
      <w:r>
        <w:rPr/>
        <w:t>qytetarët</w:t>
      </w:r>
      <w:r>
        <w:rPr>
          <w:spacing w:val="-15"/>
        </w:rPr>
        <w:t> </w:t>
      </w:r>
      <w:r>
        <w:rPr/>
        <w:t>e</w:t>
      </w:r>
      <w:r>
        <w:rPr>
          <w:spacing w:val="-15"/>
        </w:rPr>
        <w:t> </w:t>
      </w:r>
      <w:r>
        <w:rPr/>
        <w:t>Hanit</w:t>
      </w:r>
      <w:r>
        <w:rPr>
          <w:spacing w:val="-15"/>
        </w:rPr>
        <w:t> </w:t>
      </w:r>
      <w:r>
        <w:rPr/>
        <w:t>të</w:t>
      </w:r>
      <w:r>
        <w:rPr>
          <w:spacing w:val="-15"/>
        </w:rPr>
        <w:t> </w:t>
      </w:r>
      <w:r>
        <w:rPr/>
        <w:t>Elezit. Në kuadër të Lab-it dhe nismave tjera për komunitetin si dhe për përfitime sociale, Sharrcemi ka investuar në vlerë mbi 450.000 euro deri në vitin 2021.</w:t>
      </w:r>
    </w:p>
    <w:p>
      <w:pPr>
        <w:pStyle w:val="BodyText"/>
        <w:spacing w:before="200"/>
        <w:ind w:left="740" w:right="1439"/>
        <w:jc w:val="both"/>
      </w:pPr>
      <w:r>
        <w:rPr/>
        <w:t>Guri</w:t>
      </w:r>
      <w:r>
        <w:rPr>
          <w:spacing w:val="-11"/>
        </w:rPr>
        <w:t> </w:t>
      </w:r>
      <w:r>
        <w:rPr/>
        <w:t>gëlqeror,</w:t>
      </w:r>
      <w:r>
        <w:rPr>
          <w:spacing w:val="-12"/>
        </w:rPr>
        <w:t> </w:t>
      </w:r>
      <w:r>
        <w:rPr/>
        <w:t>si</w:t>
      </w:r>
      <w:r>
        <w:rPr>
          <w:spacing w:val="-11"/>
        </w:rPr>
        <w:t> </w:t>
      </w:r>
      <w:r>
        <w:rPr/>
        <w:t>burim</w:t>
      </w:r>
      <w:r>
        <w:rPr>
          <w:spacing w:val="-11"/>
        </w:rPr>
        <w:t> </w:t>
      </w:r>
      <w:r>
        <w:rPr/>
        <w:t>tjetër</w:t>
      </w:r>
      <w:r>
        <w:rPr>
          <w:spacing w:val="-11"/>
        </w:rPr>
        <w:t> </w:t>
      </w:r>
      <w:r>
        <w:rPr/>
        <w:t>industrial,</w:t>
      </w:r>
      <w:r>
        <w:rPr>
          <w:spacing w:val="-11"/>
        </w:rPr>
        <w:t> </w:t>
      </w:r>
      <w:r>
        <w:rPr/>
        <w:t>shfrytëzohet</w:t>
      </w:r>
      <w:r>
        <w:rPr>
          <w:spacing w:val="-11"/>
        </w:rPr>
        <w:t> </w:t>
      </w:r>
      <w:r>
        <w:rPr/>
        <w:t>relativisht</w:t>
      </w:r>
      <w:r>
        <w:rPr>
          <w:spacing w:val="-12"/>
        </w:rPr>
        <w:t> </w:t>
      </w:r>
      <w:r>
        <w:rPr/>
        <w:t>mirë</w:t>
      </w:r>
      <w:r>
        <w:rPr>
          <w:spacing w:val="-12"/>
        </w:rPr>
        <w:t> </w:t>
      </w:r>
      <w:r>
        <w:rPr/>
        <w:t>në</w:t>
      </w:r>
      <w:r>
        <w:rPr>
          <w:spacing w:val="-12"/>
        </w:rPr>
        <w:t> </w:t>
      </w:r>
      <w:r>
        <w:rPr/>
        <w:t>Han</w:t>
      </w:r>
      <w:r>
        <w:rPr>
          <w:spacing w:val="-12"/>
        </w:rPr>
        <w:t> </w:t>
      </w:r>
      <w:r>
        <w:rPr/>
        <w:t>të</w:t>
      </w:r>
      <w:r>
        <w:rPr>
          <w:spacing w:val="-11"/>
        </w:rPr>
        <w:t> </w:t>
      </w:r>
      <w:r>
        <w:rPr/>
        <w:t>Elezit.</w:t>
      </w:r>
      <w:r>
        <w:rPr>
          <w:spacing w:val="-11"/>
        </w:rPr>
        <w:t> </w:t>
      </w:r>
      <w:r>
        <w:rPr/>
        <w:t>Janë</w:t>
      </w:r>
      <w:r>
        <w:rPr>
          <w:spacing w:val="-11"/>
        </w:rPr>
        <w:t> </w:t>
      </w:r>
      <w:r>
        <w:rPr/>
        <w:t>gjithsej 3 gurëthyes dhe dy nga ata operojnë për nevoja të Sharrcem.</w:t>
      </w:r>
    </w:p>
    <w:p>
      <w:pPr>
        <w:pStyle w:val="BodyText"/>
        <w:spacing w:before="201"/>
        <w:ind w:left="740" w:right="1441"/>
        <w:jc w:val="both"/>
      </w:pPr>
      <w:r>
        <w:rPr/>
        <w:t>Fabrika “Kosovaplast” për prodhimin e stiroporit gjithashtu është privatizuar dhe shndërruar në biznes</w:t>
      </w:r>
      <w:r>
        <w:rPr>
          <w:spacing w:val="-14"/>
        </w:rPr>
        <w:t> </w:t>
      </w:r>
      <w:r>
        <w:rPr/>
        <w:t>të</w:t>
      </w:r>
      <w:r>
        <w:rPr>
          <w:spacing w:val="-12"/>
        </w:rPr>
        <w:t> </w:t>
      </w:r>
      <w:r>
        <w:rPr/>
        <w:t>ngushtë</w:t>
      </w:r>
      <w:r>
        <w:rPr>
          <w:spacing w:val="-13"/>
        </w:rPr>
        <w:t> </w:t>
      </w:r>
      <w:r>
        <w:rPr/>
        <w:t>familjar</w:t>
      </w:r>
      <w:r>
        <w:rPr>
          <w:spacing w:val="-13"/>
        </w:rPr>
        <w:t> </w:t>
      </w:r>
      <w:r>
        <w:rPr/>
        <w:t>me</w:t>
      </w:r>
      <w:r>
        <w:rPr>
          <w:spacing w:val="-14"/>
        </w:rPr>
        <w:t> </w:t>
      </w:r>
      <w:r>
        <w:rPr/>
        <w:t>numër</w:t>
      </w:r>
      <w:r>
        <w:rPr>
          <w:spacing w:val="-14"/>
        </w:rPr>
        <w:t> </w:t>
      </w:r>
      <w:r>
        <w:rPr/>
        <w:t>minimal</w:t>
      </w:r>
      <w:r>
        <w:rPr>
          <w:spacing w:val="-13"/>
        </w:rPr>
        <w:t> </w:t>
      </w:r>
      <w:r>
        <w:rPr/>
        <w:t>të</w:t>
      </w:r>
      <w:r>
        <w:rPr>
          <w:spacing w:val="-15"/>
        </w:rPr>
        <w:t> </w:t>
      </w:r>
      <w:r>
        <w:rPr/>
        <w:t>punëtorëve</w:t>
      </w:r>
      <w:r>
        <w:rPr>
          <w:spacing w:val="-14"/>
        </w:rPr>
        <w:t> </w:t>
      </w:r>
      <w:r>
        <w:rPr/>
        <w:t>dhe</w:t>
      </w:r>
      <w:r>
        <w:rPr>
          <w:spacing w:val="-13"/>
        </w:rPr>
        <w:t> </w:t>
      </w:r>
      <w:r>
        <w:rPr/>
        <w:t>me</w:t>
      </w:r>
      <w:r>
        <w:rPr>
          <w:spacing w:val="-14"/>
        </w:rPr>
        <w:t> </w:t>
      </w:r>
      <w:r>
        <w:rPr/>
        <w:t>aktivitet</w:t>
      </w:r>
      <w:r>
        <w:rPr>
          <w:spacing w:val="-13"/>
        </w:rPr>
        <w:t> </w:t>
      </w:r>
      <w:r>
        <w:rPr/>
        <w:t>të</w:t>
      </w:r>
      <w:r>
        <w:rPr>
          <w:spacing w:val="-14"/>
        </w:rPr>
        <w:t> </w:t>
      </w:r>
      <w:r>
        <w:rPr/>
        <w:t>limituar.</w:t>
      </w:r>
      <w:r>
        <w:rPr>
          <w:spacing w:val="-13"/>
        </w:rPr>
        <w:t> </w:t>
      </w:r>
      <w:r>
        <w:rPr/>
        <w:t>Gjithashtu ekziston një fabrikë e betonit dhe disa biznese prodhuese tjera të vogla.</w:t>
      </w:r>
    </w:p>
    <w:p>
      <w:pPr>
        <w:pStyle w:val="BodyText"/>
        <w:spacing w:before="199"/>
        <w:ind w:left="740" w:right="1440"/>
        <w:jc w:val="both"/>
      </w:pPr>
      <w:r>
        <w:rPr/>
        <w:t>Po</w:t>
      </w:r>
      <w:r>
        <w:rPr>
          <w:spacing w:val="-15"/>
        </w:rPr>
        <w:t> </w:t>
      </w:r>
      <w:r>
        <w:rPr/>
        <w:t>ashtu</w:t>
      </w:r>
      <w:r>
        <w:rPr>
          <w:spacing w:val="-15"/>
        </w:rPr>
        <w:t> </w:t>
      </w:r>
      <w:r>
        <w:rPr/>
        <w:t>vitin</w:t>
      </w:r>
      <w:r>
        <w:rPr>
          <w:spacing w:val="-15"/>
        </w:rPr>
        <w:t> </w:t>
      </w:r>
      <w:r>
        <w:rPr/>
        <w:t>2020</w:t>
      </w:r>
      <w:r>
        <w:rPr>
          <w:spacing w:val="-15"/>
        </w:rPr>
        <w:t> </w:t>
      </w:r>
      <w:r>
        <w:rPr/>
        <w:t>ka</w:t>
      </w:r>
      <w:r>
        <w:rPr>
          <w:spacing w:val="-15"/>
        </w:rPr>
        <w:t> </w:t>
      </w:r>
      <w:r>
        <w:rPr/>
        <w:t>filluar</w:t>
      </w:r>
      <w:r>
        <w:rPr>
          <w:spacing w:val="-15"/>
        </w:rPr>
        <w:t> </w:t>
      </w:r>
      <w:r>
        <w:rPr/>
        <w:t>punën</w:t>
      </w:r>
      <w:r>
        <w:rPr>
          <w:spacing w:val="-15"/>
        </w:rPr>
        <w:t> </w:t>
      </w:r>
      <w:r>
        <w:rPr/>
        <w:t>impianti</w:t>
      </w:r>
      <w:r>
        <w:rPr>
          <w:spacing w:val="-15"/>
        </w:rPr>
        <w:t> </w:t>
      </w:r>
      <w:r>
        <w:rPr/>
        <w:t>për</w:t>
      </w:r>
      <w:r>
        <w:rPr>
          <w:spacing w:val="-15"/>
        </w:rPr>
        <w:t> </w:t>
      </w:r>
      <w:r>
        <w:rPr/>
        <w:t>pasurimin</w:t>
      </w:r>
      <w:r>
        <w:rPr>
          <w:spacing w:val="-15"/>
        </w:rPr>
        <w:t> </w:t>
      </w:r>
      <w:r>
        <w:rPr/>
        <w:t>e</w:t>
      </w:r>
      <w:r>
        <w:rPr>
          <w:spacing w:val="-15"/>
        </w:rPr>
        <w:t> </w:t>
      </w:r>
      <w:r>
        <w:rPr/>
        <w:t>mineralit</w:t>
      </w:r>
      <w:r>
        <w:rPr>
          <w:spacing w:val="-15"/>
        </w:rPr>
        <w:t> </w:t>
      </w:r>
      <w:r>
        <w:rPr/>
        <w:t>të</w:t>
      </w:r>
      <w:r>
        <w:rPr>
          <w:spacing w:val="-15"/>
        </w:rPr>
        <w:t> </w:t>
      </w:r>
      <w:r>
        <w:rPr/>
        <w:t>kromit</w:t>
      </w:r>
      <w:r>
        <w:rPr>
          <w:spacing w:val="-15"/>
        </w:rPr>
        <w:t> </w:t>
      </w:r>
      <w:r>
        <w:rPr/>
        <w:t>në</w:t>
      </w:r>
      <w:r>
        <w:rPr>
          <w:spacing w:val="-15"/>
        </w:rPr>
        <w:t> </w:t>
      </w:r>
      <w:r>
        <w:rPr/>
        <w:t>fshatin</w:t>
      </w:r>
      <w:r>
        <w:rPr>
          <w:spacing w:val="-15"/>
        </w:rPr>
        <w:t> </w:t>
      </w:r>
      <w:r>
        <w:rPr/>
        <w:t>Gorancë (Zheden).</w:t>
      </w:r>
      <w:r>
        <w:rPr>
          <w:spacing w:val="-1"/>
        </w:rPr>
        <w:t> </w:t>
      </w:r>
      <w:r>
        <w:rPr/>
        <w:t>Është</w:t>
      </w:r>
      <w:r>
        <w:rPr>
          <w:spacing w:val="-1"/>
        </w:rPr>
        <w:t> </w:t>
      </w:r>
      <w:r>
        <w:rPr/>
        <w:t>ky</w:t>
      </w:r>
      <w:r>
        <w:rPr>
          <w:spacing w:val="-1"/>
        </w:rPr>
        <w:t> </w:t>
      </w:r>
      <w:r>
        <w:rPr/>
        <w:t>një</w:t>
      </w:r>
      <w:r>
        <w:rPr>
          <w:spacing w:val="-1"/>
        </w:rPr>
        <w:t> </w:t>
      </w:r>
      <w:r>
        <w:rPr/>
        <w:t>investim</w:t>
      </w:r>
      <w:r>
        <w:rPr>
          <w:spacing w:val="-2"/>
        </w:rPr>
        <w:t> </w:t>
      </w:r>
      <w:r>
        <w:rPr/>
        <w:t>Zviceran</w:t>
      </w:r>
      <w:r>
        <w:rPr>
          <w:spacing w:val="-1"/>
        </w:rPr>
        <w:t> </w:t>
      </w:r>
      <w:r>
        <w:rPr/>
        <w:t>dhe</w:t>
      </w:r>
      <w:r>
        <w:rPr>
          <w:spacing w:val="-1"/>
        </w:rPr>
        <w:t> </w:t>
      </w:r>
      <w:r>
        <w:rPr/>
        <w:t>parashihet</w:t>
      </w:r>
      <w:r>
        <w:rPr>
          <w:spacing w:val="-1"/>
        </w:rPr>
        <w:t> </w:t>
      </w:r>
      <w:r>
        <w:rPr/>
        <w:t>punësimi</w:t>
      </w:r>
      <w:r>
        <w:rPr>
          <w:spacing w:val="-1"/>
        </w:rPr>
        <w:t> </w:t>
      </w:r>
      <w:r>
        <w:rPr/>
        <w:t>i</w:t>
      </w:r>
      <w:r>
        <w:rPr>
          <w:spacing w:val="-1"/>
        </w:rPr>
        <w:t> </w:t>
      </w:r>
      <w:r>
        <w:rPr/>
        <w:t>50</w:t>
      </w:r>
      <w:r>
        <w:rPr>
          <w:spacing w:val="-1"/>
        </w:rPr>
        <w:t> </w:t>
      </w:r>
      <w:r>
        <w:rPr/>
        <w:t>punëtorëve</w:t>
      </w:r>
      <w:r>
        <w:rPr>
          <w:spacing w:val="-1"/>
        </w:rPr>
        <w:t> </w:t>
      </w:r>
      <w:r>
        <w:rPr/>
        <w:t>të</w:t>
      </w:r>
      <w:r>
        <w:rPr>
          <w:spacing w:val="-2"/>
        </w:rPr>
        <w:t> </w:t>
      </w:r>
      <w:r>
        <w:rPr/>
        <w:t>profileve</w:t>
      </w:r>
      <w:r>
        <w:rPr>
          <w:spacing w:val="-1"/>
        </w:rPr>
        <w:t> </w:t>
      </w:r>
      <w:r>
        <w:rPr/>
        <w:t>të ndryshme. I tërë prodhimi është i paraparë për eksport.</w:t>
      </w:r>
    </w:p>
    <w:p>
      <w:pPr>
        <w:pStyle w:val="BodyText"/>
        <w:spacing w:before="200"/>
        <w:ind w:left="740" w:right="1442"/>
        <w:jc w:val="both"/>
      </w:pPr>
      <w:r>
        <w:rPr/>
        <w:t>Resurse tjera natyrore të pashfrytëzuara në Han të Elezit janë edhe argjila e vërtetuar me mbi 26 milion ton, guri dekorativ, kromi, hekuri dhe uji mineral</w:t>
      </w:r>
      <w:r>
        <w:rPr>
          <w:vertAlign w:val="superscript"/>
        </w:rPr>
        <w:t>3</w:t>
      </w:r>
      <w:r>
        <w:rPr>
          <w:vertAlign w:val="baseline"/>
        </w:rPr>
        <w:t>.</w:t>
      </w:r>
    </w:p>
    <w:p>
      <w:pPr>
        <w:pStyle w:val="Heading2"/>
        <w:numPr>
          <w:ilvl w:val="1"/>
          <w:numId w:val="9"/>
        </w:numPr>
        <w:tabs>
          <w:tab w:pos="1461" w:val="left" w:leader="none"/>
          <w:tab w:pos="10104" w:val="left" w:leader="none"/>
        </w:tabs>
        <w:spacing w:line="240" w:lineRule="auto" w:before="201" w:after="0"/>
        <w:ind w:left="704" w:right="0" w:firstLine="6"/>
        <w:jc w:val="both"/>
      </w:pPr>
      <w:r>
        <w:rPr>
          <w:color w:val="000000"/>
          <w:shd w:fill="EAB8A3" w:color="auto" w:val="clear"/>
        </w:rPr>
        <w:t>Fuqia</w:t>
      </w:r>
      <w:r>
        <w:rPr>
          <w:color w:val="000000"/>
          <w:spacing w:val="-7"/>
          <w:shd w:fill="EAB8A3" w:color="auto" w:val="clear"/>
        </w:rPr>
        <w:t> </w:t>
      </w:r>
      <w:r>
        <w:rPr>
          <w:color w:val="000000"/>
          <w:shd w:fill="EAB8A3" w:color="auto" w:val="clear"/>
        </w:rPr>
        <w:t>punëtore,</w:t>
      </w:r>
      <w:r>
        <w:rPr>
          <w:color w:val="000000"/>
          <w:spacing w:val="-7"/>
          <w:shd w:fill="EAB8A3" w:color="auto" w:val="clear"/>
        </w:rPr>
        <w:t> </w:t>
      </w:r>
      <w:r>
        <w:rPr>
          <w:color w:val="000000"/>
          <w:shd w:fill="EAB8A3" w:color="auto" w:val="clear"/>
        </w:rPr>
        <w:t>punësimi</w:t>
      </w:r>
      <w:r>
        <w:rPr>
          <w:color w:val="000000"/>
          <w:spacing w:val="-7"/>
          <w:shd w:fill="EAB8A3" w:color="auto" w:val="clear"/>
        </w:rPr>
        <w:t> </w:t>
      </w:r>
      <w:r>
        <w:rPr>
          <w:color w:val="000000"/>
          <w:shd w:fill="EAB8A3" w:color="auto" w:val="clear"/>
        </w:rPr>
        <w:t>dhe</w:t>
      </w:r>
      <w:r>
        <w:rPr>
          <w:color w:val="000000"/>
          <w:spacing w:val="-6"/>
          <w:shd w:fill="EAB8A3" w:color="auto" w:val="clear"/>
        </w:rPr>
        <w:t> </w:t>
      </w:r>
      <w:r>
        <w:rPr>
          <w:color w:val="000000"/>
          <w:spacing w:val="-2"/>
          <w:shd w:fill="EAB8A3" w:color="auto" w:val="clear"/>
        </w:rPr>
        <w:t>papunësia</w:t>
      </w:r>
      <w:r>
        <w:rPr>
          <w:color w:val="000000"/>
          <w:shd w:fill="EAB8A3" w:color="auto" w:val="clear"/>
        </w:rPr>
        <w:tab/>
      </w:r>
    </w:p>
    <w:p>
      <w:pPr>
        <w:pStyle w:val="BodyText"/>
        <w:spacing w:before="10"/>
        <w:rPr>
          <w:b/>
          <w:sz w:val="20"/>
        </w:rPr>
      </w:pPr>
    </w:p>
    <w:p>
      <w:pPr>
        <w:pStyle w:val="BodyText"/>
        <w:ind w:left="704" w:right="1463"/>
        <w:jc w:val="both"/>
      </w:pPr>
      <w:r>
        <w:rPr/>
        <w:t>Shkalla</w:t>
      </w:r>
      <w:r>
        <w:rPr>
          <w:spacing w:val="-10"/>
        </w:rPr>
        <w:t> </w:t>
      </w:r>
      <w:r>
        <w:rPr/>
        <w:t>e</w:t>
      </w:r>
      <w:r>
        <w:rPr>
          <w:spacing w:val="-11"/>
        </w:rPr>
        <w:t> </w:t>
      </w:r>
      <w:r>
        <w:rPr/>
        <w:t>lartë</w:t>
      </w:r>
      <w:r>
        <w:rPr>
          <w:spacing w:val="-10"/>
        </w:rPr>
        <w:t> </w:t>
      </w:r>
      <w:r>
        <w:rPr/>
        <w:t>e</w:t>
      </w:r>
      <w:r>
        <w:rPr>
          <w:spacing w:val="-10"/>
        </w:rPr>
        <w:t> </w:t>
      </w:r>
      <w:r>
        <w:rPr/>
        <w:t>papunësisë</w:t>
      </w:r>
      <w:r>
        <w:rPr>
          <w:spacing w:val="-10"/>
        </w:rPr>
        <w:t> </w:t>
      </w:r>
      <w:r>
        <w:rPr/>
        <w:t>është</w:t>
      </w:r>
      <w:r>
        <w:rPr>
          <w:spacing w:val="-10"/>
        </w:rPr>
        <w:t> </w:t>
      </w:r>
      <w:r>
        <w:rPr/>
        <w:t>një</w:t>
      </w:r>
      <w:r>
        <w:rPr>
          <w:spacing w:val="-10"/>
        </w:rPr>
        <w:t> </w:t>
      </w:r>
      <w:r>
        <w:rPr/>
        <w:t>nga</w:t>
      </w:r>
      <w:r>
        <w:rPr>
          <w:spacing w:val="-10"/>
        </w:rPr>
        <w:t> </w:t>
      </w:r>
      <w:r>
        <w:rPr/>
        <w:t>çështjet</w:t>
      </w:r>
      <w:r>
        <w:rPr>
          <w:spacing w:val="-10"/>
        </w:rPr>
        <w:t> </w:t>
      </w:r>
      <w:r>
        <w:rPr/>
        <w:t>më</w:t>
      </w:r>
      <w:r>
        <w:rPr>
          <w:spacing w:val="-10"/>
        </w:rPr>
        <w:t> </w:t>
      </w:r>
      <w:r>
        <w:rPr/>
        <w:t>sfiduese</w:t>
      </w:r>
      <w:r>
        <w:rPr>
          <w:spacing w:val="-10"/>
        </w:rPr>
        <w:t> </w:t>
      </w:r>
      <w:r>
        <w:rPr/>
        <w:t>në</w:t>
      </w:r>
      <w:r>
        <w:rPr>
          <w:spacing w:val="-10"/>
        </w:rPr>
        <w:t> </w:t>
      </w:r>
      <w:r>
        <w:rPr/>
        <w:t>Kosovë,</w:t>
      </w:r>
      <w:r>
        <w:rPr>
          <w:spacing w:val="-10"/>
        </w:rPr>
        <w:t> </w:t>
      </w:r>
      <w:r>
        <w:rPr/>
        <w:t>duke</w:t>
      </w:r>
      <w:r>
        <w:rPr>
          <w:spacing w:val="-10"/>
        </w:rPr>
        <w:t> </w:t>
      </w:r>
      <w:r>
        <w:rPr/>
        <w:t>qenë</w:t>
      </w:r>
      <w:r>
        <w:rPr>
          <w:spacing w:val="-10"/>
        </w:rPr>
        <w:t> </w:t>
      </w:r>
      <w:r>
        <w:rPr/>
        <w:t>një</w:t>
      </w:r>
      <w:r>
        <w:rPr>
          <w:spacing w:val="-8"/>
        </w:rPr>
        <w:t> </w:t>
      </w:r>
      <w:r>
        <w:rPr/>
        <w:t>nga</w:t>
      </w:r>
      <w:r>
        <w:rPr>
          <w:spacing w:val="-10"/>
        </w:rPr>
        <w:t> </w:t>
      </w:r>
      <w:r>
        <w:rPr/>
        <w:t>sfidat kryesore</w:t>
      </w:r>
      <w:r>
        <w:rPr>
          <w:spacing w:val="-6"/>
        </w:rPr>
        <w:t> </w:t>
      </w:r>
      <w:r>
        <w:rPr/>
        <w:t>edhe</w:t>
      </w:r>
      <w:r>
        <w:rPr>
          <w:spacing w:val="-5"/>
        </w:rPr>
        <w:t> </w:t>
      </w:r>
      <w:r>
        <w:rPr/>
        <w:t>për</w:t>
      </w:r>
      <w:r>
        <w:rPr>
          <w:spacing w:val="-4"/>
        </w:rPr>
        <w:t> </w:t>
      </w:r>
      <w:r>
        <w:rPr/>
        <w:t>Komunën</w:t>
      </w:r>
      <w:r>
        <w:rPr>
          <w:spacing w:val="-5"/>
        </w:rPr>
        <w:t> </w:t>
      </w:r>
      <w:r>
        <w:rPr/>
        <w:t>e</w:t>
      </w:r>
      <w:r>
        <w:rPr>
          <w:spacing w:val="-5"/>
        </w:rPr>
        <w:t> </w:t>
      </w:r>
      <w:r>
        <w:rPr/>
        <w:t>hanit</w:t>
      </w:r>
      <w:r>
        <w:rPr>
          <w:spacing w:val="-6"/>
        </w:rPr>
        <w:t> </w:t>
      </w:r>
      <w:r>
        <w:rPr/>
        <w:t>të</w:t>
      </w:r>
      <w:r>
        <w:rPr>
          <w:spacing w:val="-4"/>
        </w:rPr>
        <w:t> </w:t>
      </w:r>
      <w:r>
        <w:rPr/>
        <w:t>Elezit.</w:t>
      </w:r>
      <w:r>
        <w:rPr>
          <w:spacing w:val="-4"/>
        </w:rPr>
        <w:t> </w:t>
      </w:r>
      <w:r>
        <w:rPr/>
        <w:t>Për</w:t>
      </w:r>
      <w:r>
        <w:rPr>
          <w:spacing w:val="-7"/>
        </w:rPr>
        <w:t> </w:t>
      </w:r>
      <w:r>
        <w:rPr/>
        <w:t>ta</w:t>
      </w:r>
      <w:r>
        <w:rPr>
          <w:spacing w:val="-5"/>
        </w:rPr>
        <w:t> </w:t>
      </w:r>
      <w:r>
        <w:rPr/>
        <w:t>treguar</w:t>
      </w:r>
      <w:r>
        <w:rPr>
          <w:spacing w:val="-5"/>
        </w:rPr>
        <w:t> </w:t>
      </w:r>
      <w:r>
        <w:rPr/>
        <w:t>nivelin</w:t>
      </w:r>
      <w:r>
        <w:rPr>
          <w:spacing w:val="-6"/>
        </w:rPr>
        <w:t> </w:t>
      </w:r>
      <w:r>
        <w:rPr/>
        <w:t>e</w:t>
      </w:r>
      <w:r>
        <w:rPr>
          <w:spacing w:val="-7"/>
        </w:rPr>
        <w:t> </w:t>
      </w:r>
      <w:r>
        <w:rPr/>
        <w:t>punësimit,</w:t>
      </w:r>
      <w:r>
        <w:rPr>
          <w:spacing w:val="-6"/>
        </w:rPr>
        <w:t> </w:t>
      </w:r>
      <w:r>
        <w:rPr/>
        <w:t>në</w:t>
      </w:r>
      <w:r>
        <w:rPr>
          <w:spacing w:val="-6"/>
        </w:rPr>
        <w:t> </w:t>
      </w:r>
      <w:r>
        <w:rPr/>
        <w:t>Kosovë</w:t>
      </w:r>
      <w:r>
        <w:rPr>
          <w:spacing w:val="-4"/>
        </w:rPr>
        <w:t> </w:t>
      </w:r>
      <w:r>
        <w:rPr/>
        <w:t>merret në</w:t>
      </w:r>
      <w:r>
        <w:rPr>
          <w:spacing w:val="-3"/>
        </w:rPr>
        <w:t> </w:t>
      </w:r>
      <w:r>
        <w:rPr/>
        <w:t>shqyrtim</w:t>
      </w:r>
      <w:r>
        <w:rPr>
          <w:spacing w:val="-5"/>
        </w:rPr>
        <w:t> </w:t>
      </w:r>
      <w:r>
        <w:rPr/>
        <w:t>popullsia</w:t>
      </w:r>
      <w:r>
        <w:rPr>
          <w:spacing w:val="-4"/>
        </w:rPr>
        <w:t> </w:t>
      </w:r>
      <w:r>
        <w:rPr/>
        <w:t>e</w:t>
      </w:r>
      <w:r>
        <w:rPr>
          <w:spacing w:val="-3"/>
        </w:rPr>
        <w:t> </w:t>
      </w:r>
      <w:r>
        <w:rPr/>
        <w:t>aftë</w:t>
      </w:r>
      <w:r>
        <w:rPr>
          <w:spacing w:val="-3"/>
        </w:rPr>
        <w:t> </w:t>
      </w:r>
      <w:r>
        <w:rPr/>
        <w:t>për</w:t>
      </w:r>
      <w:r>
        <w:rPr>
          <w:spacing w:val="-3"/>
        </w:rPr>
        <w:t> </w:t>
      </w:r>
      <w:r>
        <w:rPr/>
        <w:t>punë,</w:t>
      </w:r>
      <w:r>
        <w:rPr>
          <w:spacing w:val="-5"/>
        </w:rPr>
        <w:t> </w:t>
      </w:r>
      <w:r>
        <w:rPr/>
        <w:t>përkatësisht</w:t>
      </w:r>
      <w:r>
        <w:rPr>
          <w:spacing w:val="-5"/>
        </w:rPr>
        <w:t> </w:t>
      </w:r>
      <w:r>
        <w:rPr/>
        <w:t>grup</w:t>
      </w:r>
      <w:r>
        <w:rPr>
          <w:spacing w:val="-3"/>
        </w:rPr>
        <w:t> </w:t>
      </w:r>
      <w:r>
        <w:rPr/>
        <w:t>mosha</w:t>
      </w:r>
      <w:r>
        <w:rPr>
          <w:spacing w:val="-5"/>
        </w:rPr>
        <w:t> </w:t>
      </w:r>
      <w:r>
        <w:rPr/>
        <w:t>15-64</w:t>
      </w:r>
      <w:r>
        <w:rPr>
          <w:spacing w:val="-4"/>
        </w:rPr>
        <w:t> </w:t>
      </w:r>
      <w:r>
        <w:rPr/>
        <w:t>vjeç.</w:t>
      </w:r>
      <w:r>
        <w:rPr>
          <w:spacing w:val="-5"/>
        </w:rPr>
        <w:t> </w:t>
      </w:r>
      <w:r>
        <w:rPr/>
        <w:t>Fillimisht</w:t>
      </w:r>
      <w:r>
        <w:rPr>
          <w:spacing w:val="-3"/>
        </w:rPr>
        <w:t> </w:t>
      </w:r>
      <w:r>
        <w:rPr/>
        <w:t>bëhet</w:t>
      </w:r>
      <w:r>
        <w:rPr>
          <w:spacing w:val="-2"/>
        </w:rPr>
        <w:t> </w:t>
      </w:r>
      <w:r>
        <w:rPr/>
        <w:t>ndarja e</w:t>
      </w:r>
      <w:r>
        <w:rPr>
          <w:spacing w:val="-4"/>
        </w:rPr>
        <w:t> </w:t>
      </w:r>
      <w:r>
        <w:rPr/>
        <w:t>popullsisë</w:t>
      </w:r>
      <w:r>
        <w:rPr>
          <w:spacing w:val="-5"/>
        </w:rPr>
        <w:t> </w:t>
      </w:r>
      <w:r>
        <w:rPr/>
        <w:t>aktive</w:t>
      </w:r>
      <w:r>
        <w:rPr>
          <w:spacing w:val="-4"/>
        </w:rPr>
        <w:t> </w:t>
      </w:r>
      <w:r>
        <w:rPr/>
        <w:t>në</w:t>
      </w:r>
      <w:r>
        <w:rPr>
          <w:spacing w:val="-4"/>
        </w:rPr>
        <w:t> </w:t>
      </w:r>
      <w:r>
        <w:rPr/>
        <w:t>dy</w:t>
      </w:r>
      <w:r>
        <w:rPr>
          <w:spacing w:val="-6"/>
        </w:rPr>
        <w:t> </w:t>
      </w:r>
      <w:r>
        <w:rPr/>
        <w:t>kategori:</w:t>
      </w:r>
      <w:r>
        <w:rPr>
          <w:spacing w:val="-4"/>
        </w:rPr>
        <w:t> </w:t>
      </w:r>
      <w:r>
        <w:rPr/>
        <w:t>popullsia</w:t>
      </w:r>
      <w:r>
        <w:rPr>
          <w:spacing w:val="-5"/>
        </w:rPr>
        <w:t> </w:t>
      </w:r>
      <w:r>
        <w:rPr/>
        <w:t>aktive</w:t>
      </w:r>
      <w:r>
        <w:rPr>
          <w:spacing w:val="-4"/>
        </w:rPr>
        <w:t> </w:t>
      </w:r>
      <w:r>
        <w:rPr/>
        <w:t>dhe</w:t>
      </w:r>
      <w:r>
        <w:rPr>
          <w:spacing w:val="-4"/>
        </w:rPr>
        <w:t> </w:t>
      </w:r>
      <w:r>
        <w:rPr/>
        <w:t>joaktive.</w:t>
      </w:r>
      <w:r>
        <w:rPr>
          <w:spacing w:val="-4"/>
        </w:rPr>
        <w:t> </w:t>
      </w:r>
      <w:r>
        <w:rPr/>
        <w:t>Popullsia</w:t>
      </w:r>
      <w:r>
        <w:rPr>
          <w:spacing w:val="-5"/>
        </w:rPr>
        <w:t> </w:t>
      </w:r>
      <w:r>
        <w:rPr/>
        <w:t>aktive</w:t>
      </w:r>
      <w:r>
        <w:rPr>
          <w:spacing w:val="-6"/>
        </w:rPr>
        <w:t> </w:t>
      </w:r>
      <w:r>
        <w:rPr/>
        <w:t>(fuqia</w:t>
      </w:r>
      <w:r>
        <w:rPr>
          <w:spacing w:val="-3"/>
        </w:rPr>
        <w:t> </w:t>
      </w:r>
      <w:r>
        <w:rPr/>
        <w:t>punëtore) përfshinë personat që punojnë dhe ata që në mënyrë aktive kërkojnë punë. Popullsia joaktive përfshinë personat që nuk punojnë dhe që nuk janë duke kërkuar punë (studentët, amviset, pensionistët dhe ata që nuk janë në gjendje për të punuar).</w:t>
      </w:r>
    </w:p>
    <w:p>
      <w:pPr>
        <w:pStyle w:val="BodyText"/>
        <w:ind w:left="704" w:right="1464"/>
        <w:jc w:val="both"/>
      </w:pPr>
      <w:r>
        <w:rPr/>
        <w:t>Sipas vlerësimeve aktuale nga sondazhi në terren dhe të dhënave nga ndërmarrjet në HiE</w:t>
      </w:r>
      <w:r>
        <w:rPr>
          <w:vertAlign w:val="superscript"/>
        </w:rPr>
        <w:t>4</w:t>
      </w:r>
      <w:r>
        <w:rPr>
          <w:vertAlign w:val="baseline"/>
        </w:rPr>
        <w:t>, përqindja e papunësisë është 67%. Ka një numër të vogël të punësuarve në sektorin jo formal ekonomik. Megjithatë, nuk ka të dhëna të sakta pasi që të punësuarit në bizneset jo formale nuk janë të regjistruar. Sipas statistikave, popullsia e moshës aktive për punë përbënë rreth 65% të numrit</w:t>
      </w:r>
      <w:r>
        <w:rPr>
          <w:spacing w:val="-5"/>
          <w:vertAlign w:val="baseline"/>
        </w:rPr>
        <w:t> </w:t>
      </w:r>
      <w:r>
        <w:rPr>
          <w:vertAlign w:val="baseline"/>
        </w:rPr>
        <w:t>total</w:t>
      </w:r>
      <w:r>
        <w:rPr>
          <w:spacing w:val="-5"/>
          <w:vertAlign w:val="baseline"/>
        </w:rPr>
        <w:t> </w:t>
      </w:r>
      <w:r>
        <w:rPr>
          <w:vertAlign w:val="baseline"/>
        </w:rPr>
        <w:t>të</w:t>
      </w:r>
      <w:r>
        <w:rPr>
          <w:spacing w:val="-3"/>
          <w:vertAlign w:val="baseline"/>
        </w:rPr>
        <w:t> </w:t>
      </w:r>
      <w:r>
        <w:rPr>
          <w:vertAlign w:val="baseline"/>
        </w:rPr>
        <w:t>popullsisë,</w:t>
      </w:r>
      <w:r>
        <w:rPr>
          <w:spacing w:val="-5"/>
          <w:vertAlign w:val="baseline"/>
        </w:rPr>
        <w:t> </w:t>
      </w:r>
      <w:r>
        <w:rPr>
          <w:vertAlign w:val="baseline"/>
        </w:rPr>
        <w:t>të</w:t>
      </w:r>
      <w:r>
        <w:rPr>
          <w:spacing w:val="-3"/>
          <w:vertAlign w:val="baseline"/>
        </w:rPr>
        <w:t> </w:t>
      </w:r>
      <w:r>
        <w:rPr>
          <w:vertAlign w:val="baseline"/>
        </w:rPr>
        <w:t>dhëna</w:t>
      </w:r>
      <w:r>
        <w:rPr>
          <w:spacing w:val="-5"/>
          <w:vertAlign w:val="baseline"/>
        </w:rPr>
        <w:t> </w:t>
      </w:r>
      <w:r>
        <w:rPr>
          <w:vertAlign w:val="baseline"/>
        </w:rPr>
        <w:t>këto</w:t>
      </w:r>
      <w:r>
        <w:rPr>
          <w:spacing w:val="-4"/>
          <w:vertAlign w:val="baseline"/>
        </w:rPr>
        <w:t> </w:t>
      </w:r>
      <w:r>
        <w:rPr>
          <w:vertAlign w:val="baseline"/>
        </w:rPr>
        <w:t>që</w:t>
      </w:r>
      <w:r>
        <w:rPr>
          <w:spacing w:val="-4"/>
          <w:vertAlign w:val="baseline"/>
        </w:rPr>
        <w:t> </w:t>
      </w:r>
      <w:r>
        <w:rPr>
          <w:vertAlign w:val="baseline"/>
        </w:rPr>
        <w:t>vërtetojnë</w:t>
      </w:r>
      <w:r>
        <w:rPr>
          <w:spacing w:val="-3"/>
          <w:vertAlign w:val="baseline"/>
        </w:rPr>
        <w:t> </w:t>
      </w:r>
      <w:r>
        <w:rPr>
          <w:vertAlign w:val="baseline"/>
        </w:rPr>
        <w:t>për</w:t>
      </w:r>
      <w:r>
        <w:rPr>
          <w:spacing w:val="-4"/>
          <w:vertAlign w:val="baseline"/>
        </w:rPr>
        <w:t> </w:t>
      </w:r>
      <w:r>
        <w:rPr>
          <w:vertAlign w:val="baseline"/>
        </w:rPr>
        <w:t>një</w:t>
      </w:r>
      <w:r>
        <w:rPr>
          <w:spacing w:val="-3"/>
          <w:vertAlign w:val="baseline"/>
        </w:rPr>
        <w:t> </w:t>
      </w:r>
      <w:r>
        <w:rPr>
          <w:vertAlign w:val="baseline"/>
        </w:rPr>
        <w:t>potencial</w:t>
      </w:r>
      <w:r>
        <w:rPr>
          <w:spacing w:val="-5"/>
          <w:vertAlign w:val="baseline"/>
        </w:rPr>
        <w:t> </w:t>
      </w:r>
      <w:r>
        <w:rPr>
          <w:vertAlign w:val="baseline"/>
        </w:rPr>
        <w:t>për</w:t>
      </w:r>
      <w:r>
        <w:rPr>
          <w:spacing w:val="-5"/>
          <w:vertAlign w:val="baseline"/>
        </w:rPr>
        <w:t> </w:t>
      </w:r>
      <w:r>
        <w:rPr>
          <w:vertAlign w:val="baseline"/>
        </w:rPr>
        <w:t>zhvillim</w:t>
      </w:r>
      <w:r>
        <w:rPr>
          <w:spacing w:val="-4"/>
          <w:vertAlign w:val="baseline"/>
        </w:rPr>
        <w:t> </w:t>
      </w:r>
      <w:r>
        <w:rPr>
          <w:vertAlign w:val="baseline"/>
        </w:rPr>
        <w:t>duke</w:t>
      </w:r>
      <w:r>
        <w:rPr>
          <w:spacing w:val="-4"/>
          <w:vertAlign w:val="baseline"/>
        </w:rPr>
        <w:t> </w:t>
      </w:r>
      <w:r>
        <w:rPr>
          <w:vertAlign w:val="baseline"/>
        </w:rPr>
        <w:t>u</w:t>
      </w:r>
      <w:r>
        <w:rPr>
          <w:spacing w:val="-5"/>
          <w:vertAlign w:val="baseline"/>
        </w:rPr>
        <w:t> </w:t>
      </w:r>
      <w:r>
        <w:rPr>
          <w:vertAlign w:val="baseline"/>
        </w:rPr>
        <w:t>bazuar në fuqinë punëtore që ka Hani i Elezit.</w:t>
      </w:r>
    </w:p>
    <w:p>
      <w:pPr>
        <w:pStyle w:val="BodyText"/>
        <w:spacing w:before="9"/>
        <w:rPr>
          <w:sz w:val="20"/>
        </w:rPr>
      </w:pPr>
    </w:p>
    <w:p>
      <w:pPr>
        <w:pStyle w:val="BodyText"/>
        <w:ind w:left="704" w:right="1467"/>
        <w:jc w:val="both"/>
        <w:rPr>
          <w:rFonts w:ascii="Calibri" w:hAnsi="Calibri"/>
          <w:sz w:val="22"/>
        </w:rPr>
      </w:pPr>
      <w:r>
        <w:rPr/>
        <w:t>Më poshtë me anë të tabelës kemi paraqitur të dhënat për punësim si llojit të vendit të punës dhe në</w:t>
      </w:r>
      <w:r>
        <w:rPr>
          <w:spacing w:val="-12"/>
        </w:rPr>
        <w:t> </w:t>
      </w:r>
      <w:r>
        <w:rPr/>
        <w:t>tabelën</w:t>
      </w:r>
      <w:r>
        <w:rPr>
          <w:spacing w:val="-11"/>
        </w:rPr>
        <w:t> </w:t>
      </w:r>
      <w:r>
        <w:rPr/>
        <w:t>tjetër</w:t>
      </w:r>
      <w:r>
        <w:rPr>
          <w:spacing w:val="-11"/>
        </w:rPr>
        <w:t> </w:t>
      </w:r>
      <w:r>
        <w:rPr/>
        <w:t>kemi</w:t>
      </w:r>
      <w:r>
        <w:rPr>
          <w:spacing w:val="-11"/>
        </w:rPr>
        <w:t> </w:t>
      </w:r>
      <w:r>
        <w:rPr/>
        <w:t>paraqitur</w:t>
      </w:r>
      <w:r>
        <w:rPr>
          <w:spacing w:val="-12"/>
        </w:rPr>
        <w:t> </w:t>
      </w:r>
      <w:r>
        <w:rPr/>
        <w:t>popullsinë</w:t>
      </w:r>
      <w:r>
        <w:rPr>
          <w:spacing w:val="-12"/>
        </w:rPr>
        <w:t> </w:t>
      </w:r>
      <w:r>
        <w:rPr/>
        <w:t>e</w:t>
      </w:r>
      <w:r>
        <w:rPr>
          <w:spacing w:val="-12"/>
        </w:rPr>
        <w:t> </w:t>
      </w:r>
      <w:r>
        <w:rPr/>
        <w:t>moshës</w:t>
      </w:r>
      <w:r>
        <w:rPr>
          <w:spacing w:val="-11"/>
        </w:rPr>
        <w:t> </w:t>
      </w:r>
      <w:r>
        <w:rPr/>
        <w:t>15</w:t>
      </w:r>
      <w:r>
        <w:rPr>
          <w:spacing w:val="-12"/>
        </w:rPr>
        <w:t> </w:t>
      </w:r>
      <w:r>
        <w:rPr/>
        <w:t>vjeç</w:t>
      </w:r>
      <w:r>
        <w:rPr>
          <w:spacing w:val="-12"/>
        </w:rPr>
        <w:t> </w:t>
      </w:r>
      <w:r>
        <w:rPr/>
        <w:t>e</w:t>
      </w:r>
      <w:r>
        <w:rPr>
          <w:spacing w:val="-13"/>
        </w:rPr>
        <w:t> </w:t>
      </w:r>
      <w:r>
        <w:rPr/>
        <w:t>mbi</w:t>
      </w:r>
      <w:r>
        <w:rPr>
          <w:spacing w:val="-11"/>
        </w:rPr>
        <w:t> </w:t>
      </w:r>
      <w:r>
        <w:rPr/>
        <w:t>sipas</w:t>
      </w:r>
      <w:r>
        <w:rPr>
          <w:spacing w:val="-12"/>
        </w:rPr>
        <w:t> </w:t>
      </w:r>
      <w:r>
        <w:rPr/>
        <w:t>statusit</w:t>
      </w:r>
      <w:r>
        <w:rPr>
          <w:spacing w:val="-12"/>
        </w:rPr>
        <w:t> </w:t>
      </w:r>
      <w:r>
        <w:rPr/>
        <w:t>të</w:t>
      </w:r>
      <w:r>
        <w:rPr>
          <w:spacing w:val="-12"/>
        </w:rPr>
        <w:t> </w:t>
      </w:r>
      <w:r>
        <w:rPr/>
        <w:t>aktivitetit</w:t>
      </w:r>
      <w:r>
        <w:rPr>
          <w:spacing w:val="-13"/>
        </w:rPr>
        <w:t> </w:t>
      </w:r>
      <w:r>
        <w:rPr/>
        <w:t>aktual në </w:t>
      </w:r>
      <w:r>
        <w:rPr>
          <w:rFonts w:ascii="Calibri" w:hAnsi="Calibri"/>
          <w:sz w:val="22"/>
        </w:rPr>
        <w:t>komunën e Hanit të Elezit:</w:t>
      </w:r>
    </w:p>
    <w:p>
      <w:pPr>
        <w:pStyle w:val="BodyText"/>
        <w:rPr>
          <w:rFonts w:ascii="Calibri"/>
          <w:sz w:val="20"/>
        </w:rPr>
      </w:pPr>
    </w:p>
    <w:p>
      <w:pPr>
        <w:pStyle w:val="BodyText"/>
        <w:spacing w:before="1"/>
        <w:rPr>
          <w:rFonts w:ascii="Calibri"/>
          <w:sz w:val="12"/>
        </w:rPr>
      </w:pPr>
      <w:r>
        <w:rPr/>
        <w:pict>
          <v:rect style="position:absolute;margin-left:72pt;margin-top:8.579913pt;width:144.020pt;height:.65997pt;mso-position-horizontal-relative:page;mso-position-vertical-relative:paragraph;z-index:-15711744;mso-wrap-distance-left:0;mso-wrap-distance-right:0" id="docshape175" filled="true" fillcolor="#000000" stroked="false">
            <v:fill type="solid"/>
            <w10:wrap type="topAndBottom"/>
          </v:rect>
        </w:pict>
      </w:r>
    </w:p>
    <w:p>
      <w:pPr>
        <w:pStyle w:val="BodyText"/>
        <w:spacing w:before="7"/>
        <w:rPr>
          <w:rFonts w:ascii="Calibri"/>
          <w:sz w:val="21"/>
        </w:rPr>
      </w:pPr>
    </w:p>
    <w:p>
      <w:pPr>
        <w:spacing w:before="77"/>
        <w:ind w:left="740" w:right="0" w:firstLine="0"/>
        <w:jc w:val="left"/>
        <w:rPr>
          <w:rFonts w:ascii="Calibri" w:hAnsi="Calibri"/>
          <w:sz w:val="20"/>
        </w:rPr>
      </w:pPr>
      <w:r>
        <w:rPr>
          <w:rFonts w:ascii="Calibri" w:hAnsi="Calibri"/>
          <w:sz w:val="20"/>
          <w:vertAlign w:val="superscript"/>
        </w:rPr>
        <w:t>4</w:t>
      </w:r>
      <w:r>
        <w:rPr>
          <w:rFonts w:ascii="Calibri" w:hAnsi="Calibri"/>
          <w:spacing w:val="-2"/>
          <w:sz w:val="20"/>
          <w:vertAlign w:val="baseline"/>
        </w:rPr>
        <w:t> </w:t>
      </w:r>
      <w:r>
        <w:rPr>
          <w:rFonts w:ascii="Calibri" w:hAnsi="Calibri"/>
          <w:sz w:val="20"/>
          <w:vertAlign w:val="baseline"/>
        </w:rPr>
        <w:t>Zyra</w:t>
      </w:r>
      <w:r>
        <w:rPr>
          <w:rFonts w:ascii="Calibri" w:hAnsi="Calibri"/>
          <w:spacing w:val="-2"/>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z w:val="20"/>
          <w:vertAlign w:val="baseline"/>
        </w:rPr>
        <w:t>Punësimi</w:t>
      </w:r>
      <w:r>
        <w:rPr>
          <w:rFonts w:ascii="Calibri" w:hAnsi="Calibri"/>
          <w:spacing w:val="-2"/>
          <w:sz w:val="20"/>
          <w:vertAlign w:val="baseline"/>
        </w:rPr>
        <w:t> </w:t>
      </w:r>
      <w:r>
        <w:rPr>
          <w:rFonts w:ascii="Calibri" w:hAnsi="Calibri"/>
          <w:sz w:val="20"/>
          <w:vertAlign w:val="baseline"/>
        </w:rPr>
        <w:t>komuna</w:t>
      </w:r>
      <w:r>
        <w:rPr>
          <w:rFonts w:ascii="Calibri" w:hAnsi="Calibri"/>
          <w:spacing w:val="-2"/>
          <w:sz w:val="20"/>
          <w:vertAlign w:val="baseline"/>
        </w:rPr>
        <w:t> </w:t>
      </w:r>
      <w:r>
        <w:rPr>
          <w:rFonts w:ascii="Calibri" w:hAnsi="Calibri"/>
          <w:sz w:val="20"/>
          <w:vertAlign w:val="baseline"/>
        </w:rPr>
        <w:t>Hani</w:t>
      </w:r>
      <w:r>
        <w:rPr>
          <w:rFonts w:ascii="Calibri" w:hAnsi="Calibri"/>
          <w:spacing w:val="-3"/>
          <w:sz w:val="20"/>
          <w:vertAlign w:val="baseline"/>
        </w:rPr>
        <w:t> </w:t>
      </w:r>
      <w:r>
        <w:rPr>
          <w:rFonts w:ascii="Calibri" w:hAnsi="Calibri"/>
          <w:sz w:val="20"/>
          <w:vertAlign w:val="baseline"/>
        </w:rPr>
        <w:t>I</w:t>
      </w:r>
      <w:r>
        <w:rPr>
          <w:rFonts w:ascii="Calibri" w:hAnsi="Calibri"/>
          <w:spacing w:val="-1"/>
          <w:sz w:val="20"/>
          <w:vertAlign w:val="baseline"/>
        </w:rPr>
        <w:t> </w:t>
      </w:r>
      <w:r>
        <w:rPr>
          <w:rFonts w:ascii="Calibri" w:hAnsi="Calibri"/>
          <w:spacing w:val="-2"/>
          <w:sz w:val="20"/>
          <w:vertAlign w:val="baseline"/>
        </w:rPr>
        <w:t>Elezit</w:t>
      </w:r>
    </w:p>
    <w:p>
      <w:pPr>
        <w:spacing w:after="0"/>
        <w:jc w:val="left"/>
        <w:rPr>
          <w:rFonts w:ascii="Calibri" w:hAnsi="Calibri"/>
          <w:sz w:val="20"/>
        </w:rPr>
        <w:sectPr>
          <w:pgSz w:w="12240" w:h="15840"/>
          <w:pgMar w:header="0" w:footer="990" w:top="1380" w:bottom="1180" w:left="700" w:right="0"/>
        </w:sect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4"/>
        <w:gridCol w:w="1618"/>
        <w:gridCol w:w="1796"/>
        <w:gridCol w:w="1321"/>
      </w:tblGrid>
      <w:tr>
        <w:trPr>
          <w:trHeight w:val="244" w:hRule="atLeast"/>
        </w:trPr>
        <w:tc>
          <w:tcPr>
            <w:tcW w:w="3844" w:type="dxa"/>
            <w:shd w:val="clear" w:color="auto" w:fill="EAB8A3"/>
          </w:tcPr>
          <w:p>
            <w:pPr>
              <w:pStyle w:val="TableParagraph"/>
              <w:spacing w:line="224" w:lineRule="exact"/>
              <w:ind w:left="107"/>
              <w:rPr>
                <w:rFonts w:ascii="Calibri"/>
                <w:sz w:val="20"/>
              </w:rPr>
            </w:pPr>
            <w:r>
              <w:rPr>
                <w:rFonts w:ascii="Calibri"/>
                <w:spacing w:val="-2"/>
                <w:sz w:val="20"/>
              </w:rPr>
              <w:t>Punsimi</w:t>
            </w:r>
          </w:p>
        </w:tc>
        <w:tc>
          <w:tcPr>
            <w:tcW w:w="1618" w:type="dxa"/>
            <w:shd w:val="clear" w:color="auto" w:fill="EAB8A3"/>
          </w:tcPr>
          <w:p>
            <w:pPr>
              <w:pStyle w:val="TableParagraph"/>
              <w:spacing w:line="224" w:lineRule="exact"/>
              <w:ind w:right="95"/>
              <w:jc w:val="right"/>
              <w:rPr>
                <w:rFonts w:ascii="Calibri"/>
                <w:sz w:val="20"/>
              </w:rPr>
            </w:pPr>
            <w:r>
              <w:rPr>
                <w:rFonts w:ascii="Calibri"/>
                <w:spacing w:val="-2"/>
                <w:sz w:val="20"/>
              </w:rPr>
              <w:t>Meshkuj</w:t>
            </w:r>
          </w:p>
        </w:tc>
        <w:tc>
          <w:tcPr>
            <w:tcW w:w="1796" w:type="dxa"/>
            <w:shd w:val="clear" w:color="auto" w:fill="EAB8A3"/>
          </w:tcPr>
          <w:p>
            <w:pPr>
              <w:pStyle w:val="TableParagraph"/>
              <w:spacing w:line="224" w:lineRule="exact"/>
              <w:ind w:right="95"/>
              <w:jc w:val="right"/>
              <w:rPr>
                <w:rFonts w:ascii="Calibri"/>
                <w:sz w:val="20"/>
              </w:rPr>
            </w:pPr>
            <w:r>
              <w:rPr>
                <w:rFonts w:ascii="Calibri"/>
                <w:spacing w:val="-2"/>
                <w:sz w:val="20"/>
              </w:rPr>
              <w:t>Femra</w:t>
            </w:r>
          </w:p>
        </w:tc>
        <w:tc>
          <w:tcPr>
            <w:tcW w:w="1321" w:type="dxa"/>
            <w:shd w:val="clear" w:color="auto" w:fill="EAB8A3"/>
          </w:tcPr>
          <w:p>
            <w:pPr>
              <w:pStyle w:val="TableParagraph"/>
              <w:spacing w:line="224" w:lineRule="exact"/>
              <w:ind w:right="95"/>
              <w:jc w:val="right"/>
              <w:rPr>
                <w:rFonts w:ascii="Calibri"/>
                <w:sz w:val="20"/>
              </w:rPr>
            </w:pPr>
            <w:r>
              <w:rPr>
                <w:rFonts w:ascii="Calibri"/>
                <w:spacing w:val="-2"/>
                <w:sz w:val="20"/>
              </w:rPr>
              <w:t>Gjithsej</w:t>
            </w:r>
          </w:p>
        </w:tc>
      </w:tr>
      <w:tr>
        <w:trPr>
          <w:trHeight w:val="244" w:hRule="atLeast"/>
        </w:trPr>
        <w:tc>
          <w:tcPr>
            <w:tcW w:w="3844" w:type="dxa"/>
          </w:tcPr>
          <w:p>
            <w:pPr>
              <w:pStyle w:val="TableParagraph"/>
              <w:spacing w:line="224" w:lineRule="exact"/>
              <w:ind w:left="107"/>
              <w:rPr>
                <w:rFonts w:ascii="Calibri" w:hAnsi="Calibri"/>
                <w:sz w:val="20"/>
              </w:rPr>
            </w:pPr>
            <w:r>
              <w:rPr>
                <w:rFonts w:ascii="Calibri" w:hAnsi="Calibri"/>
                <w:sz w:val="20"/>
              </w:rPr>
              <w:t>Vendi</w:t>
            </w:r>
            <w:r>
              <w:rPr>
                <w:rFonts w:ascii="Calibri" w:hAnsi="Calibri"/>
                <w:spacing w:val="-4"/>
                <w:sz w:val="20"/>
              </w:rPr>
              <w:t> </w:t>
            </w:r>
            <w:r>
              <w:rPr>
                <w:rFonts w:ascii="Calibri" w:hAnsi="Calibri"/>
                <w:sz w:val="20"/>
              </w:rPr>
              <w:t>fiks</w:t>
            </w:r>
            <w:r>
              <w:rPr>
                <w:rFonts w:ascii="Calibri" w:hAnsi="Calibri"/>
                <w:spacing w:val="-3"/>
                <w:sz w:val="20"/>
              </w:rPr>
              <w:t> </w:t>
            </w:r>
            <w:r>
              <w:rPr>
                <w:rFonts w:ascii="Calibri" w:hAnsi="Calibri"/>
                <w:sz w:val="20"/>
              </w:rPr>
              <w:t>i</w:t>
            </w:r>
            <w:r>
              <w:rPr>
                <w:rFonts w:ascii="Calibri" w:hAnsi="Calibri"/>
                <w:spacing w:val="-2"/>
                <w:sz w:val="20"/>
              </w:rPr>
              <w:t> </w:t>
            </w:r>
            <w:r>
              <w:rPr>
                <w:rFonts w:ascii="Calibri" w:hAnsi="Calibri"/>
                <w:spacing w:val="-4"/>
                <w:sz w:val="20"/>
              </w:rPr>
              <w:t>punës</w:t>
            </w:r>
          </w:p>
        </w:tc>
        <w:tc>
          <w:tcPr>
            <w:tcW w:w="1618" w:type="dxa"/>
          </w:tcPr>
          <w:p>
            <w:pPr>
              <w:pStyle w:val="TableParagraph"/>
              <w:spacing w:line="224" w:lineRule="exact"/>
              <w:ind w:right="96"/>
              <w:jc w:val="right"/>
              <w:rPr>
                <w:rFonts w:ascii="Calibri"/>
                <w:sz w:val="20"/>
              </w:rPr>
            </w:pPr>
            <w:r>
              <w:rPr>
                <w:rFonts w:ascii="Calibri"/>
                <w:spacing w:val="-5"/>
                <w:sz w:val="20"/>
              </w:rPr>
              <w:t>970</w:t>
            </w:r>
          </w:p>
        </w:tc>
        <w:tc>
          <w:tcPr>
            <w:tcW w:w="1796" w:type="dxa"/>
          </w:tcPr>
          <w:p>
            <w:pPr>
              <w:pStyle w:val="TableParagraph"/>
              <w:spacing w:line="224" w:lineRule="exact"/>
              <w:ind w:right="93"/>
              <w:jc w:val="right"/>
              <w:rPr>
                <w:rFonts w:ascii="Calibri"/>
                <w:sz w:val="20"/>
              </w:rPr>
            </w:pPr>
            <w:r>
              <w:rPr>
                <w:rFonts w:ascii="Calibri"/>
                <w:spacing w:val="-5"/>
                <w:sz w:val="20"/>
              </w:rPr>
              <w:t>130</w:t>
            </w:r>
          </w:p>
        </w:tc>
        <w:tc>
          <w:tcPr>
            <w:tcW w:w="1321" w:type="dxa"/>
          </w:tcPr>
          <w:p>
            <w:pPr>
              <w:pStyle w:val="TableParagraph"/>
              <w:spacing w:line="224" w:lineRule="exact"/>
              <w:ind w:right="94"/>
              <w:jc w:val="right"/>
              <w:rPr>
                <w:rFonts w:ascii="Calibri"/>
                <w:sz w:val="20"/>
              </w:rPr>
            </w:pPr>
            <w:r>
              <w:rPr>
                <w:rFonts w:ascii="Calibri"/>
                <w:spacing w:val="-4"/>
                <w:sz w:val="20"/>
              </w:rPr>
              <w:t>1100</w:t>
            </w:r>
          </w:p>
        </w:tc>
      </w:tr>
      <w:tr>
        <w:trPr>
          <w:trHeight w:val="243" w:hRule="atLeast"/>
        </w:trPr>
        <w:tc>
          <w:tcPr>
            <w:tcW w:w="3844" w:type="dxa"/>
          </w:tcPr>
          <w:p>
            <w:pPr>
              <w:pStyle w:val="TableParagraph"/>
              <w:spacing w:line="223" w:lineRule="exact"/>
              <w:ind w:left="107"/>
              <w:rPr>
                <w:rFonts w:ascii="Calibri" w:hAnsi="Calibri"/>
                <w:sz w:val="20"/>
              </w:rPr>
            </w:pPr>
            <w:r>
              <w:rPr>
                <w:rFonts w:ascii="Calibri" w:hAnsi="Calibri"/>
                <w:sz w:val="20"/>
              </w:rPr>
              <w:t>Punon</w:t>
            </w:r>
            <w:r>
              <w:rPr>
                <w:rFonts w:ascii="Calibri" w:hAnsi="Calibri"/>
                <w:spacing w:val="-3"/>
                <w:sz w:val="20"/>
              </w:rPr>
              <w:t> </w:t>
            </w:r>
            <w:r>
              <w:rPr>
                <w:rFonts w:ascii="Calibri" w:hAnsi="Calibri"/>
                <w:sz w:val="20"/>
              </w:rPr>
              <w:t>kryesisht</w:t>
            </w:r>
            <w:r>
              <w:rPr>
                <w:rFonts w:ascii="Calibri" w:hAnsi="Calibri"/>
                <w:spacing w:val="-2"/>
                <w:sz w:val="20"/>
              </w:rPr>
              <w:t> </w:t>
            </w:r>
            <w:r>
              <w:rPr>
                <w:rFonts w:ascii="Calibri" w:hAnsi="Calibri"/>
                <w:sz w:val="20"/>
              </w:rPr>
              <w:t>në/nga</w:t>
            </w:r>
            <w:r>
              <w:rPr>
                <w:rFonts w:ascii="Calibri" w:hAnsi="Calibri"/>
                <w:spacing w:val="-2"/>
                <w:sz w:val="20"/>
              </w:rPr>
              <w:t> shtëpia</w:t>
            </w:r>
          </w:p>
        </w:tc>
        <w:tc>
          <w:tcPr>
            <w:tcW w:w="1618" w:type="dxa"/>
          </w:tcPr>
          <w:p>
            <w:pPr>
              <w:pStyle w:val="TableParagraph"/>
              <w:spacing w:line="223" w:lineRule="exact"/>
              <w:ind w:right="95"/>
              <w:jc w:val="right"/>
              <w:rPr>
                <w:rFonts w:ascii="Calibri"/>
                <w:sz w:val="20"/>
              </w:rPr>
            </w:pPr>
            <w:r>
              <w:rPr>
                <w:rFonts w:ascii="Calibri"/>
                <w:w w:val="100"/>
                <w:sz w:val="20"/>
              </w:rPr>
              <w:t>9</w:t>
            </w:r>
          </w:p>
        </w:tc>
        <w:tc>
          <w:tcPr>
            <w:tcW w:w="1796" w:type="dxa"/>
          </w:tcPr>
          <w:p>
            <w:pPr>
              <w:pStyle w:val="TableParagraph"/>
              <w:spacing w:line="223" w:lineRule="exact"/>
              <w:ind w:right="93"/>
              <w:jc w:val="right"/>
              <w:rPr>
                <w:rFonts w:ascii="Calibri"/>
                <w:sz w:val="20"/>
              </w:rPr>
            </w:pPr>
            <w:r>
              <w:rPr>
                <w:rFonts w:ascii="Calibri"/>
                <w:w w:val="100"/>
                <w:sz w:val="20"/>
              </w:rPr>
              <w:t>1</w:t>
            </w:r>
          </w:p>
        </w:tc>
        <w:tc>
          <w:tcPr>
            <w:tcW w:w="1321" w:type="dxa"/>
          </w:tcPr>
          <w:p>
            <w:pPr>
              <w:pStyle w:val="TableParagraph"/>
              <w:spacing w:line="223" w:lineRule="exact"/>
              <w:ind w:right="94"/>
              <w:jc w:val="right"/>
              <w:rPr>
                <w:rFonts w:ascii="Calibri"/>
                <w:sz w:val="20"/>
              </w:rPr>
            </w:pPr>
            <w:r>
              <w:rPr>
                <w:rFonts w:ascii="Calibri"/>
                <w:spacing w:val="-5"/>
                <w:sz w:val="20"/>
              </w:rPr>
              <w:t>10</w:t>
            </w:r>
          </w:p>
        </w:tc>
      </w:tr>
      <w:tr>
        <w:trPr>
          <w:trHeight w:val="244" w:hRule="atLeast"/>
        </w:trPr>
        <w:tc>
          <w:tcPr>
            <w:tcW w:w="3844" w:type="dxa"/>
          </w:tcPr>
          <w:p>
            <w:pPr>
              <w:pStyle w:val="TableParagraph"/>
              <w:spacing w:line="224" w:lineRule="exact"/>
              <w:ind w:left="107"/>
              <w:rPr>
                <w:rFonts w:ascii="Calibri" w:hAnsi="Calibri"/>
                <w:sz w:val="20"/>
              </w:rPr>
            </w:pPr>
            <w:r>
              <w:rPr>
                <w:rFonts w:ascii="Calibri" w:hAnsi="Calibri"/>
                <w:sz w:val="20"/>
              </w:rPr>
              <w:t>Nuk</w:t>
            </w:r>
            <w:r>
              <w:rPr>
                <w:rFonts w:ascii="Calibri" w:hAnsi="Calibri"/>
                <w:spacing w:val="-1"/>
                <w:sz w:val="20"/>
              </w:rPr>
              <w:t> </w:t>
            </w:r>
            <w:r>
              <w:rPr>
                <w:rFonts w:ascii="Calibri" w:hAnsi="Calibri"/>
                <w:sz w:val="20"/>
              </w:rPr>
              <w:t>ka</w:t>
            </w:r>
            <w:r>
              <w:rPr>
                <w:rFonts w:ascii="Calibri" w:hAnsi="Calibri"/>
                <w:spacing w:val="-1"/>
                <w:sz w:val="20"/>
              </w:rPr>
              <w:t> </w:t>
            </w:r>
            <w:r>
              <w:rPr>
                <w:rFonts w:ascii="Calibri" w:hAnsi="Calibri"/>
                <w:sz w:val="20"/>
              </w:rPr>
              <w:t>vend</w:t>
            </w:r>
            <w:r>
              <w:rPr>
                <w:rFonts w:ascii="Calibri" w:hAnsi="Calibri"/>
                <w:spacing w:val="-1"/>
                <w:sz w:val="20"/>
              </w:rPr>
              <w:t> </w:t>
            </w:r>
            <w:r>
              <w:rPr>
                <w:rFonts w:ascii="Calibri" w:hAnsi="Calibri"/>
                <w:sz w:val="20"/>
              </w:rPr>
              <w:t>fiks</w:t>
            </w:r>
            <w:r>
              <w:rPr>
                <w:rFonts w:ascii="Calibri" w:hAnsi="Calibri"/>
                <w:spacing w:val="-1"/>
                <w:sz w:val="20"/>
              </w:rPr>
              <w:t> </w:t>
            </w:r>
            <w:r>
              <w:rPr>
                <w:rFonts w:ascii="Calibri" w:hAnsi="Calibri"/>
                <w:sz w:val="20"/>
              </w:rPr>
              <w:t>të</w:t>
            </w:r>
            <w:r>
              <w:rPr>
                <w:rFonts w:ascii="Calibri" w:hAnsi="Calibri"/>
                <w:spacing w:val="-1"/>
                <w:sz w:val="20"/>
              </w:rPr>
              <w:t> </w:t>
            </w:r>
            <w:r>
              <w:rPr>
                <w:rFonts w:ascii="Calibri" w:hAnsi="Calibri"/>
                <w:spacing w:val="-2"/>
                <w:sz w:val="20"/>
              </w:rPr>
              <w:t>punës</w:t>
            </w:r>
          </w:p>
        </w:tc>
        <w:tc>
          <w:tcPr>
            <w:tcW w:w="1618" w:type="dxa"/>
          </w:tcPr>
          <w:p>
            <w:pPr>
              <w:pStyle w:val="TableParagraph"/>
              <w:spacing w:line="224" w:lineRule="exact"/>
              <w:ind w:right="96"/>
              <w:jc w:val="right"/>
              <w:rPr>
                <w:rFonts w:ascii="Calibri"/>
                <w:sz w:val="20"/>
              </w:rPr>
            </w:pPr>
            <w:r>
              <w:rPr>
                <w:rFonts w:ascii="Calibri"/>
                <w:spacing w:val="-5"/>
                <w:sz w:val="20"/>
              </w:rPr>
              <w:t>54</w:t>
            </w:r>
          </w:p>
        </w:tc>
        <w:tc>
          <w:tcPr>
            <w:tcW w:w="1796" w:type="dxa"/>
          </w:tcPr>
          <w:p>
            <w:pPr>
              <w:pStyle w:val="TableParagraph"/>
              <w:spacing w:line="224" w:lineRule="exact"/>
              <w:ind w:right="93"/>
              <w:jc w:val="right"/>
              <w:rPr>
                <w:rFonts w:ascii="Calibri"/>
                <w:sz w:val="20"/>
              </w:rPr>
            </w:pPr>
            <w:r>
              <w:rPr>
                <w:rFonts w:ascii="Calibri"/>
                <w:w w:val="100"/>
                <w:sz w:val="20"/>
              </w:rPr>
              <w:t>1</w:t>
            </w:r>
          </w:p>
        </w:tc>
        <w:tc>
          <w:tcPr>
            <w:tcW w:w="1321" w:type="dxa"/>
          </w:tcPr>
          <w:p>
            <w:pPr>
              <w:pStyle w:val="TableParagraph"/>
              <w:spacing w:line="224" w:lineRule="exact"/>
              <w:ind w:right="94"/>
              <w:jc w:val="right"/>
              <w:rPr>
                <w:rFonts w:ascii="Calibri"/>
                <w:sz w:val="20"/>
              </w:rPr>
            </w:pPr>
            <w:r>
              <w:rPr>
                <w:rFonts w:ascii="Calibri"/>
                <w:spacing w:val="-5"/>
                <w:sz w:val="20"/>
              </w:rPr>
              <w:t>55</w:t>
            </w:r>
          </w:p>
        </w:tc>
      </w:tr>
      <w:tr>
        <w:trPr>
          <w:trHeight w:val="244" w:hRule="atLeast"/>
        </w:trPr>
        <w:tc>
          <w:tcPr>
            <w:tcW w:w="3844" w:type="dxa"/>
          </w:tcPr>
          <w:p>
            <w:pPr>
              <w:pStyle w:val="TableParagraph"/>
              <w:spacing w:line="224" w:lineRule="exact"/>
              <w:ind w:left="107"/>
              <w:rPr>
                <w:rFonts w:ascii="Calibri" w:hAnsi="Calibri"/>
                <w:sz w:val="20"/>
              </w:rPr>
            </w:pPr>
            <w:r>
              <w:rPr>
                <w:rFonts w:ascii="Calibri" w:hAnsi="Calibri"/>
                <w:sz w:val="20"/>
              </w:rPr>
              <w:t>Nuk</w:t>
            </w:r>
            <w:r>
              <w:rPr>
                <w:rFonts w:ascii="Calibri" w:hAnsi="Calibri"/>
                <w:spacing w:val="-2"/>
                <w:sz w:val="20"/>
              </w:rPr>
              <w:t> </w:t>
            </w:r>
            <w:r>
              <w:rPr>
                <w:rFonts w:ascii="Calibri" w:hAnsi="Calibri"/>
                <w:sz w:val="20"/>
              </w:rPr>
              <w:t>janë</w:t>
            </w:r>
            <w:r>
              <w:rPr>
                <w:rFonts w:ascii="Calibri" w:hAnsi="Calibri"/>
                <w:spacing w:val="-2"/>
                <w:sz w:val="20"/>
              </w:rPr>
              <w:t> </w:t>
            </w:r>
            <w:r>
              <w:rPr>
                <w:rFonts w:ascii="Calibri" w:hAnsi="Calibri"/>
                <w:sz w:val="20"/>
              </w:rPr>
              <w:t>në</w:t>
            </w:r>
            <w:r>
              <w:rPr>
                <w:rFonts w:ascii="Calibri" w:hAnsi="Calibri"/>
                <w:spacing w:val="-2"/>
                <w:sz w:val="20"/>
              </w:rPr>
              <w:t> dispozicion</w:t>
            </w:r>
          </w:p>
        </w:tc>
        <w:tc>
          <w:tcPr>
            <w:tcW w:w="1618" w:type="dxa"/>
          </w:tcPr>
          <w:p>
            <w:pPr>
              <w:pStyle w:val="TableParagraph"/>
              <w:spacing w:line="224" w:lineRule="exact"/>
              <w:ind w:right="95"/>
              <w:jc w:val="right"/>
              <w:rPr>
                <w:rFonts w:ascii="Calibri"/>
                <w:sz w:val="20"/>
              </w:rPr>
            </w:pPr>
            <w:r>
              <w:rPr>
                <w:rFonts w:ascii="Calibri"/>
                <w:w w:val="100"/>
                <w:sz w:val="20"/>
              </w:rPr>
              <w:t>4</w:t>
            </w:r>
          </w:p>
        </w:tc>
        <w:tc>
          <w:tcPr>
            <w:tcW w:w="1796" w:type="dxa"/>
          </w:tcPr>
          <w:p>
            <w:pPr>
              <w:pStyle w:val="TableParagraph"/>
              <w:spacing w:line="224" w:lineRule="exact"/>
              <w:ind w:right="93"/>
              <w:jc w:val="right"/>
              <w:rPr>
                <w:rFonts w:ascii="Calibri"/>
                <w:sz w:val="20"/>
              </w:rPr>
            </w:pPr>
            <w:r>
              <w:rPr>
                <w:rFonts w:ascii="Calibri"/>
                <w:w w:val="100"/>
                <w:sz w:val="20"/>
              </w:rPr>
              <w:t>0</w:t>
            </w:r>
          </w:p>
        </w:tc>
        <w:tc>
          <w:tcPr>
            <w:tcW w:w="1321" w:type="dxa"/>
          </w:tcPr>
          <w:p>
            <w:pPr>
              <w:pStyle w:val="TableParagraph"/>
              <w:spacing w:line="224" w:lineRule="exact"/>
              <w:ind w:right="94"/>
              <w:jc w:val="right"/>
              <w:rPr>
                <w:rFonts w:ascii="Calibri"/>
                <w:sz w:val="20"/>
              </w:rPr>
            </w:pPr>
            <w:r>
              <w:rPr>
                <w:rFonts w:ascii="Calibri"/>
                <w:w w:val="100"/>
                <w:sz w:val="20"/>
              </w:rPr>
              <w:t>4</w:t>
            </w:r>
          </w:p>
        </w:tc>
      </w:tr>
      <w:tr>
        <w:trPr>
          <w:trHeight w:val="244" w:hRule="atLeast"/>
        </w:trPr>
        <w:tc>
          <w:tcPr>
            <w:tcW w:w="3844" w:type="dxa"/>
          </w:tcPr>
          <w:p>
            <w:pPr>
              <w:pStyle w:val="TableParagraph"/>
              <w:spacing w:line="225" w:lineRule="exact"/>
              <w:ind w:left="107"/>
              <w:rPr>
                <w:rFonts w:ascii="Calibri"/>
                <w:sz w:val="20"/>
              </w:rPr>
            </w:pPr>
            <w:r>
              <w:rPr>
                <w:rFonts w:ascii="Calibri"/>
                <w:spacing w:val="-2"/>
                <w:sz w:val="20"/>
              </w:rPr>
              <w:t>Gjithsej</w:t>
            </w:r>
          </w:p>
        </w:tc>
        <w:tc>
          <w:tcPr>
            <w:tcW w:w="1618" w:type="dxa"/>
          </w:tcPr>
          <w:p>
            <w:pPr>
              <w:pStyle w:val="TableParagraph"/>
              <w:spacing w:line="225" w:lineRule="exact"/>
              <w:ind w:right="95"/>
              <w:jc w:val="right"/>
              <w:rPr>
                <w:rFonts w:ascii="Calibri"/>
                <w:sz w:val="20"/>
              </w:rPr>
            </w:pPr>
            <w:r>
              <w:rPr>
                <w:rFonts w:ascii="Calibri"/>
                <w:spacing w:val="-4"/>
                <w:sz w:val="20"/>
              </w:rPr>
              <w:t>1037</w:t>
            </w:r>
          </w:p>
        </w:tc>
        <w:tc>
          <w:tcPr>
            <w:tcW w:w="1796" w:type="dxa"/>
          </w:tcPr>
          <w:p>
            <w:pPr>
              <w:pStyle w:val="TableParagraph"/>
              <w:spacing w:line="225" w:lineRule="exact"/>
              <w:ind w:right="93"/>
              <w:jc w:val="right"/>
              <w:rPr>
                <w:rFonts w:ascii="Calibri"/>
                <w:sz w:val="20"/>
              </w:rPr>
            </w:pPr>
            <w:r>
              <w:rPr>
                <w:rFonts w:ascii="Calibri"/>
                <w:spacing w:val="-5"/>
                <w:sz w:val="20"/>
              </w:rPr>
              <w:t>132</w:t>
            </w:r>
          </w:p>
        </w:tc>
        <w:tc>
          <w:tcPr>
            <w:tcW w:w="1321" w:type="dxa"/>
          </w:tcPr>
          <w:p>
            <w:pPr>
              <w:pStyle w:val="TableParagraph"/>
              <w:spacing w:line="225" w:lineRule="exact"/>
              <w:ind w:right="94"/>
              <w:jc w:val="right"/>
              <w:rPr>
                <w:rFonts w:ascii="Calibri"/>
                <w:sz w:val="20"/>
              </w:rPr>
            </w:pPr>
            <w:r>
              <w:rPr>
                <w:rFonts w:ascii="Calibri"/>
                <w:spacing w:val="-4"/>
                <w:sz w:val="20"/>
              </w:rPr>
              <w:t>1169</w:t>
            </w:r>
          </w:p>
        </w:tc>
      </w:tr>
    </w:tbl>
    <w:p>
      <w:pPr>
        <w:spacing w:before="22"/>
        <w:ind w:left="0" w:right="1252" w:firstLine="0"/>
        <w:jc w:val="center"/>
        <w:rPr>
          <w:sz w:val="24"/>
        </w:rPr>
      </w:pPr>
      <w:r>
        <w:rPr>
          <w:b/>
          <w:sz w:val="24"/>
        </w:rPr>
        <w:t>Tabela</w:t>
      </w:r>
      <w:r>
        <w:rPr>
          <w:b/>
          <w:spacing w:val="-6"/>
          <w:sz w:val="24"/>
        </w:rPr>
        <w:t> </w:t>
      </w:r>
      <w:r>
        <w:rPr>
          <w:b/>
          <w:sz w:val="24"/>
        </w:rPr>
        <w:t>6</w:t>
      </w:r>
      <w:r>
        <w:rPr>
          <w:sz w:val="24"/>
        </w:rPr>
        <w:t>:</w:t>
      </w:r>
      <w:r>
        <w:rPr>
          <w:spacing w:val="-6"/>
          <w:sz w:val="24"/>
        </w:rPr>
        <w:t> </w:t>
      </w:r>
      <w:r>
        <w:rPr>
          <w:spacing w:val="-2"/>
          <w:sz w:val="24"/>
        </w:rPr>
        <w:t>Punësimi</w:t>
      </w:r>
    </w:p>
    <w:p>
      <w:pPr>
        <w:pStyle w:val="BodyText"/>
        <w:rPr>
          <w:sz w:val="20"/>
        </w:rPr>
      </w:pPr>
    </w:p>
    <w:tbl>
      <w:tblPr>
        <w:tblW w:w="0" w:type="auto"/>
        <w:jc w:val="left"/>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4"/>
        <w:gridCol w:w="1204"/>
        <w:gridCol w:w="1136"/>
        <w:gridCol w:w="1260"/>
        <w:gridCol w:w="1350"/>
        <w:gridCol w:w="1440"/>
        <w:gridCol w:w="1620"/>
      </w:tblGrid>
      <w:tr>
        <w:trPr>
          <w:trHeight w:val="1517" w:hRule="atLeast"/>
        </w:trPr>
        <w:tc>
          <w:tcPr>
            <w:tcW w:w="984" w:type="dxa"/>
            <w:shd w:val="clear" w:color="auto" w:fill="EAB8A3"/>
          </w:tcPr>
          <w:p>
            <w:pPr>
              <w:pStyle w:val="TableParagraph"/>
              <w:rPr>
                <w:sz w:val="20"/>
              </w:rPr>
            </w:pPr>
          </w:p>
        </w:tc>
        <w:tc>
          <w:tcPr>
            <w:tcW w:w="1204" w:type="dxa"/>
            <w:shd w:val="clear" w:color="auto" w:fill="EAB8A3"/>
          </w:tcPr>
          <w:p>
            <w:pPr>
              <w:pStyle w:val="TableParagraph"/>
              <w:rPr>
                <w:sz w:val="18"/>
              </w:rPr>
            </w:pPr>
          </w:p>
          <w:p>
            <w:pPr>
              <w:pStyle w:val="TableParagraph"/>
              <w:spacing w:before="3"/>
              <w:rPr>
                <w:sz w:val="22"/>
              </w:rPr>
            </w:pPr>
          </w:p>
          <w:p>
            <w:pPr>
              <w:pStyle w:val="TableParagraph"/>
              <w:spacing w:line="288" w:lineRule="auto"/>
              <w:ind w:left="108"/>
              <w:rPr>
                <w:rFonts w:ascii="Calibri"/>
                <w:sz w:val="18"/>
              </w:rPr>
            </w:pPr>
            <w:r>
              <w:rPr>
                <w:rFonts w:ascii="Calibri"/>
                <w:spacing w:val="-2"/>
                <w:sz w:val="18"/>
              </w:rPr>
              <w:t>Ekonomikisht</w:t>
            </w:r>
            <w:r>
              <w:rPr>
                <w:rFonts w:ascii="Calibri"/>
                <w:sz w:val="18"/>
              </w:rPr>
              <w:t> </w:t>
            </w:r>
            <w:r>
              <w:rPr>
                <w:rFonts w:ascii="Calibri"/>
                <w:spacing w:val="-2"/>
                <w:sz w:val="18"/>
              </w:rPr>
              <w:t>aktive</w:t>
            </w:r>
          </w:p>
        </w:tc>
        <w:tc>
          <w:tcPr>
            <w:tcW w:w="1136" w:type="dxa"/>
            <w:shd w:val="clear" w:color="auto" w:fill="EAB8A3"/>
          </w:tcPr>
          <w:p>
            <w:pPr>
              <w:pStyle w:val="TableParagraph"/>
              <w:rPr>
                <w:sz w:val="18"/>
              </w:rPr>
            </w:pPr>
          </w:p>
          <w:p>
            <w:pPr>
              <w:pStyle w:val="TableParagraph"/>
              <w:spacing w:before="3"/>
              <w:rPr>
                <w:sz w:val="22"/>
              </w:rPr>
            </w:pPr>
          </w:p>
          <w:p>
            <w:pPr>
              <w:pStyle w:val="TableParagraph"/>
              <w:ind w:right="110"/>
              <w:jc w:val="right"/>
              <w:rPr>
                <w:rFonts w:ascii="Calibri" w:hAnsi="Calibri"/>
                <w:sz w:val="18"/>
              </w:rPr>
            </w:pPr>
            <w:r>
              <w:rPr>
                <w:rFonts w:ascii="Calibri" w:hAnsi="Calibri"/>
                <w:sz w:val="18"/>
              </w:rPr>
              <w:t>Të</w:t>
            </w:r>
            <w:r>
              <w:rPr>
                <w:rFonts w:ascii="Calibri" w:hAnsi="Calibri"/>
                <w:spacing w:val="-2"/>
                <w:sz w:val="18"/>
              </w:rPr>
              <w:t> punësuar</w:t>
            </w:r>
          </w:p>
        </w:tc>
        <w:tc>
          <w:tcPr>
            <w:tcW w:w="1260" w:type="dxa"/>
            <w:shd w:val="clear" w:color="auto" w:fill="EAB8A3"/>
          </w:tcPr>
          <w:p>
            <w:pPr>
              <w:pStyle w:val="TableParagraph"/>
              <w:spacing w:line="288" w:lineRule="auto"/>
              <w:ind w:left="109" w:right="104"/>
              <w:rPr>
                <w:rFonts w:ascii="Calibri" w:hAnsi="Calibri"/>
                <w:sz w:val="18"/>
              </w:rPr>
            </w:pPr>
            <w:r>
              <w:rPr>
                <w:rFonts w:ascii="Calibri" w:hAnsi="Calibri"/>
                <w:spacing w:val="-6"/>
                <w:sz w:val="18"/>
              </w:rPr>
              <w:t>Të</w:t>
            </w:r>
            <w:r>
              <w:rPr>
                <w:rFonts w:ascii="Calibri" w:hAnsi="Calibri"/>
                <w:sz w:val="18"/>
              </w:rPr>
              <w:t> </w:t>
            </w:r>
            <w:r>
              <w:rPr>
                <w:rFonts w:ascii="Calibri" w:hAnsi="Calibri"/>
                <w:spacing w:val="-2"/>
                <w:sz w:val="18"/>
              </w:rPr>
              <w:t>papunësuar,</w:t>
            </w:r>
            <w:r>
              <w:rPr>
                <w:rFonts w:ascii="Calibri" w:hAnsi="Calibri"/>
                <w:sz w:val="18"/>
              </w:rPr>
              <w:t> ka</w:t>
            </w:r>
            <w:r>
              <w:rPr>
                <w:rFonts w:ascii="Calibri" w:hAnsi="Calibri"/>
                <w:spacing w:val="-11"/>
                <w:sz w:val="18"/>
              </w:rPr>
              <w:t> </w:t>
            </w:r>
            <w:r>
              <w:rPr>
                <w:rFonts w:ascii="Calibri" w:hAnsi="Calibri"/>
                <w:sz w:val="18"/>
              </w:rPr>
              <w:t>punuar</w:t>
            </w:r>
            <w:r>
              <w:rPr>
                <w:rFonts w:ascii="Calibri" w:hAnsi="Calibri"/>
                <w:spacing w:val="-10"/>
                <w:sz w:val="18"/>
              </w:rPr>
              <w:t> </w:t>
            </w:r>
            <w:r>
              <w:rPr>
                <w:rFonts w:ascii="Calibri" w:hAnsi="Calibri"/>
                <w:sz w:val="18"/>
              </w:rPr>
              <w:t>më </w:t>
            </w:r>
            <w:r>
              <w:rPr>
                <w:rFonts w:ascii="Calibri" w:hAnsi="Calibri"/>
                <w:spacing w:val="-4"/>
                <w:sz w:val="18"/>
              </w:rPr>
              <w:t>pare</w:t>
            </w:r>
          </w:p>
        </w:tc>
        <w:tc>
          <w:tcPr>
            <w:tcW w:w="1350" w:type="dxa"/>
            <w:shd w:val="clear" w:color="auto" w:fill="EAB8A3"/>
          </w:tcPr>
          <w:p>
            <w:pPr>
              <w:pStyle w:val="TableParagraph"/>
              <w:spacing w:line="288" w:lineRule="auto"/>
              <w:ind w:left="109" w:right="91"/>
              <w:rPr>
                <w:rFonts w:ascii="Calibri" w:hAnsi="Calibri"/>
                <w:sz w:val="18"/>
              </w:rPr>
            </w:pPr>
            <w:r>
              <w:rPr>
                <w:rFonts w:ascii="Calibri" w:hAnsi="Calibri"/>
                <w:sz w:val="18"/>
              </w:rPr>
              <w:t>Të</w:t>
            </w:r>
            <w:r>
              <w:rPr>
                <w:rFonts w:ascii="Calibri" w:hAnsi="Calibri"/>
                <w:spacing w:val="-11"/>
                <w:sz w:val="18"/>
              </w:rPr>
              <w:t> </w:t>
            </w:r>
            <w:r>
              <w:rPr>
                <w:rFonts w:ascii="Calibri" w:hAnsi="Calibri"/>
                <w:sz w:val="18"/>
              </w:rPr>
              <w:t>papunësuar, nuk kanë punuar</w:t>
            </w:r>
            <w:r>
              <w:rPr>
                <w:rFonts w:ascii="Calibri" w:hAnsi="Calibri"/>
                <w:spacing w:val="-2"/>
                <w:sz w:val="18"/>
              </w:rPr>
              <w:t> </w:t>
            </w:r>
            <w:r>
              <w:rPr>
                <w:rFonts w:ascii="Calibri" w:hAnsi="Calibri"/>
                <w:sz w:val="18"/>
              </w:rPr>
              <w:t>kurrë më pare</w:t>
            </w:r>
          </w:p>
        </w:tc>
        <w:tc>
          <w:tcPr>
            <w:tcW w:w="1440" w:type="dxa"/>
            <w:shd w:val="clear" w:color="auto" w:fill="EAB8A3"/>
          </w:tcPr>
          <w:p>
            <w:pPr>
              <w:pStyle w:val="TableParagraph"/>
              <w:spacing w:line="288" w:lineRule="auto"/>
              <w:ind w:left="109" w:right="114"/>
              <w:rPr>
                <w:rFonts w:ascii="Calibri" w:hAnsi="Calibri"/>
                <w:sz w:val="18"/>
              </w:rPr>
            </w:pPr>
            <w:r>
              <w:rPr>
                <w:rFonts w:ascii="Calibri" w:hAnsi="Calibri"/>
                <w:sz w:val="18"/>
              </w:rPr>
              <w:t>Të</w:t>
            </w:r>
            <w:r>
              <w:rPr>
                <w:rFonts w:ascii="Calibri" w:hAnsi="Calibri"/>
                <w:spacing w:val="-2"/>
                <w:sz w:val="18"/>
              </w:rPr>
              <w:t> </w:t>
            </w:r>
            <w:r>
              <w:rPr>
                <w:rFonts w:ascii="Calibri" w:hAnsi="Calibri"/>
                <w:sz w:val="18"/>
              </w:rPr>
              <w:t>papunësuar, presin</w:t>
            </w:r>
            <w:r>
              <w:rPr>
                <w:rFonts w:ascii="Calibri" w:hAnsi="Calibri"/>
                <w:spacing w:val="-11"/>
                <w:sz w:val="18"/>
              </w:rPr>
              <w:t> </w:t>
            </w:r>
            <w:r>
              <w:rPr>
                <w:rFonts w:ascii="Calibri" w:hAnsi="Calibri"/>
                <w:sz w:val="18"/>
              </w:rPr>
              <w:t>të</w:t>
            </w:r>
            <w:r>
              <w:rPr>
                <w:rFonts w:ascii="Calibri" w:hAnsi="Calibri"/>
                <w:spacing w:val="-10"/>
                <w:sz w:val="18"/>
              </w:rPr>
              <w:t> </w:t>
            </w:r>
            <w:r>
              <w:rPr>
                <w:rFonts w:ascii="Calibri" w:hAnsi="Calibri"/>
                <w:sz w:val="18"/>
              </w:rPr>
              <w:t>fillojnë punën në të cilën janë </w:t>
            </w:r>
            <w:r>
              <w:rPr>
                <w:rFonts w:ascii="Calibri" w:hAnsi="Calibri"/>
                <w:spacing w:val="-2"/>
                <w:sz w:val="18"/>
              </w:rPr>
              <w:t>pranuar</w:t>
            </w:r>
          </w:p>
        </w:tc>
        <w:tc>
          <w:tcPr>
            <w:tcW w:w="1620" w:type="dxa"/>
            <w:shd w:val="clear" w:color="auto" w:fill="EAB8A3"/>
          </w:tcPr>
          <w:p>
            <w:pPr>
              <w:pStyle w:val="TableParagraph"/>
              <w:spacing w:line="288" w:lineRule="auto"/>
              <w:ind w:left="109" w:right="325"/>
              <w:rPr>
                <w:rFonts w:ascii="Calibri"/>
                <w:sz w:val="18"/>
              </w:rPr>
            </w:pPr>
            <w:r>
              <w:rPr>
                <w:rFonts w:ascii="Calibri"/>
                <w:sz w:val="18"/>
              </w:rPr>
              <w:t>Ekonomikisht</w:t>
            </w:r>
            <w:r>
              <w:rPr>
                <w:rFonts w:ascii="Calibri"/>
                <w:spacing w:val="-11"/>
                <w:sz w:val="18"/>
              </w:rPr>
              <w:t> </w:t>
            </w:r>
            <w:r>
              <w:rPr>
                <w:rFonts w:ascii="Calibri"/>
                <w:sz w:val="18"/>
              </w:rPr>
              <w:t>jo </w:t>
            </w:r>
            <w:r>
              <w:rPr>
                <w:rFonts w:ascii="Calibri"/>
                <w:spacing w:val="-2"/>
                <w:sz w:val="18"/>
              </w:rPr>
              <w:t>aktiv</w:t>
            </w:r>
          </w:p>
        </w:tc>
      </w:tr>
      <w:tr>
        <w:trPr>
          <w:trHeight w:val="492" w:hRule="atLeast"/>
        </w:trPr>
        <w:tc>
          <w:tcPr>
            <w:tcW w:w="984" w:type="dxa"/>
          </w:tcPr>
          <w:p>
            <w:pPr>
              <w:pStyle w:val="TableParagraph"/>
              <w:spacing w:before="1"/>
              <w:ind w:left="107"/>
              <w:rPr>
                <w:rFonts w:ascii="Calibri"/>
                <w:sz w:val="20"/>
              </w:rPr>
            </w:pPr>
            <w:r>
              <w:rPr>
                <w:rFonts w:ascii="Calibri"/>
                <w:spacing w:val="-2"/>
                <w:sz w:val="20"/>
              </w:rPr>
              <w:t>Meshkuj</w:t>
            </w:r>
          </w:p>
        </w:tc>
        <w:tc>
          <w:tcPr>
            <w:tcW w:w="1204" w:type="dxa"/>
          </w:tcPr>
          <w:p>
            <w:pPr>
              <w:pStyle w:val="TableParagraph"/>
              <w:spacing w:before="1"/>
              <w:ind w:right="95"/>
              <w:jc w:val="right"/>
              <w:rPr>
                <w:rFonts w:ascii="Calibri"/>
                <w:sz w:val="20"/>
              </w:rPr>
            </w:pPr>
            <w:r>
              <w:rPr>
                <w:rFonts w:ascii="Calibri"/>
                <w:spacing w:val="-4"/>
                <w:sz w:val="20"/>
              </w:rPr>
              <w:t>2142</w:t>
            </w:r>
          </w:p>
        </w:tc>
        <w:tc>
          <w:tcPr>
            <w:tcW w:w="1136" w:type="dxa"/>
          </w:tcPr>
          <w:p>
            <w:pPr>
              <w:pStyle w:val="TableParagraph"/>
              <w:spacing w:before="1"/>
              <w:ind w:right="93"/>
              <w:jc w:val="right"/>
              <w:rPr>
                <w:rFonts w:ascii="Calibri"/>
                <w:sz w:val="20"/>
              </w:rPr>
            </w:pPr>
            <w:r>
              <w:rPr>
                <w:rFonts w:ascii="Calibri"/>
                <w:spacing w:val="-4"/>
                <w:sz w:val="20"/>
              </w:rPr>
              <w:t>1037</w:t>
            </w:r>
          </w:p>
        </w:tc>
        <w:tc>
          <w:tcPr>
            <w:tcW w:w="1260" w:type="dxa"/>
          </w:tcPr>
          <w:p>
            <w:pPr>
              <w:pStyle w:val="TableParagraph"/>
              <w:spacing w:before="1"/>
              <w:ind w:right="93"/>
              <w:jc w:val="right"/>
              <w:rPr>
                <w:rFonts w:ascii="Calibri"/>
                <w:sz w:val="20"/>
              </w:rPr>
            </w:pPr>
            <w:r>
              <w:rPr>
                <w:rFonts w:ascii="Calibri"/>
                <w:spacing w:val="-5"/>
                <w:sz w:val="20"/>
              </w:rPr>
              <w:t>443</w:t>
            </w:r>
          </w:p>
        </w:tc>
        <w:tc>
          <w:tcPr>
            <w:tcW w:w="1350" w:type="dxa"/>
          </w:tcPr>
          <w:p>
            <w:pPr>
              <w:pStyle w:val="TableParagraph"/>
              <w:spacing w:before="1"/>
              <w:ind w:right="94"/>
              <w:jc w:val="right"/>
              <w:rPr>
                <w:rFonts w:ascii="Calibri"/>
                <w:sz w:val="20"/>
              </w:rPr>
            </w:pPr>
            <w:r>
              <w:rPr>
                <w:rFonts w:ascii="Calibri"/>
                <w:spacing w:val="-5"/>
                <w:sz w:val="20"/>
              </w:rPr>
              <w:t>654</w:t>
            </w:r>
          </w:p>
        </w:tc>
        <w:tc>
          <w:tcPr>
            <w:tcW w:w="1440" w:type="dxa"/>
          </w:tcPr>
          <w:p>
            <w:pPr>
              <w:pStyle w:val="TableParagraph"/>
              <w:spacing w:before="1"/>
              <w:ind w:right="93"/>
              <w:jc w:val="right"/>
              <w:rPr>
                <w:rFonts w:ascii="Calibri"/>
                <w:sz w:val="20"/>
              </w:rPr>
            </w:pPr>
            <w:r>
              <w:rPr>
                <w:rFonts w:ascii="Calibri"/>
                <w:w w:val="100"/>
                <w:sz w:val="20"/>
              </w:rPr>
              <w:t>8</w:t>
            </w:r>
          </w:p>
        </w:tc>
        <w:tc>
          <w:tcPr>
            <w:tcW w:w="1620" w:type="dxa"/>
          </w:tcPr>
          <w:p>
            <w:pPr>
              <w:pStyle w:val="TableParagraph"/>
              <w:spacing w:before="1"/>
              <w:ind w:right="93"/>
              <w:jc w:val="right"/>
              <w:rPr>
                <w:rFonts w:ascii="Calibri"/>
                <w:sz w:val="20"/>
              </w:rPr>
            </w:pPr>
            <w:r>
              <w:rPr>
                <w:rFonts w:ascii="Calibri"/>
                <w:spacing w:val="-4"/>
                <w:sz w:val="20"/>
              </w:rPr>
              <w:t>1238</w:t>
            </w:r>
          </w:p>
        </w:tc>
      </w:tr>
      <w:tr>
        <w:trPr>
          <w:trHeight w:val="493" w:hRule="atLeast"/>
        </w:trPr>
        <w:tc>
          <w:tcPr>
            <w:tcW w:w="984" w:type="dxa"/>
          </w:tcPr>
          <w:p>
            <w:pPr>
              <w:pStyle w:val="TableParagraph"/>
              <w:spacing w:before="1"/>
              <w:ind w:left="107"/>
              <w:rPr>
                <w:rFonts w:ascii="Calibri"/>
                <w:sz w:val="20"/>
              </w:rPr>
            </w:pPr>
            <w:r>
              <w:rPr>
                <w:rFonts w:ascii="Calibri"/>
                <w:spacing w:val="-2"/>
                <w:sz w:val="20"/>
              </w:rPr>
              <w:t>Femra</w:t>
            </w:r>
          </w:p>
        </w:tc>
        <w:tc>
          <w:tcPr>
            <w:tcW w:w="1204" w:type="dxa"/>
          </w:tcPr>
          <w:p>
            <w:pPr>
              <w:pStyle w:val="TableParagraph"/>
              <w:spacing w:before="1"/>
              <w:ind w:right="96"/>
              <w:jc w:val="right"/>
              <w:rPr>
                <w:rFonts w:ascii="Calibri"/>
                <w:sz w:val="20"/>
              </w:rPr>
            </w:pPr>
            <w:r>
              <w:rPr>
                <w:rFonts w:ascii="Calibri"/>
                <w:spacing w:val="-5"/>
                <w:sz w:val="20"/>
              </w:rPr>
              <w:t>353</w:t>
            </w:r>
          </w:p>
        </w:tc>
        <w:tc>
          <w:tcPr>
            <w:tcW w:w="1136" w:type="dxa"/>
          </w:tcPr>
          <w:p>
            <w:pPr>
              <w:pStyle w:val="TableParagraph"/>
              <w:spacing w:before="1"/>
              <w:ind w:right="93"/>
              <w:jc w:val="right"/>
              <w:rPr>
                <w:rFonts w:ascii="Calibri"/>
                <w:sz w:val="20"/>
              </w:rPr>
            </w:pPr>
            <w:r>
              <w:rPr>
                <w:rFonts w:ascii="Calibri"/>
                <w:spacing w:val="-5"/>
                <w:sz w:val="20"/>
              </w:rPr>
              <w:t>132</w:t>
            </w:r>
          </w:p>
        </w:tc>
        <w:tc>
          <w:tcPr>
            <w:tcW w:w="1260" w:type="dxa"/>
          </w:tcPr>
          <w:p>
            <w:pPr>
              <w:pStyle w:val="TableParagraph"/>
              <w:spacing w:before="1"/>
              <w:ind w:right="93"/>
              <w:jc w:val="right"/>
              <w:rPr>
                <w:rFonts w:ascii="Calibri"/>
                <w:sz w:val="20"/>
              </w:rPr>
            </w:pPr>
            <w:r>
              <w:rPr>
                <w:rFonts w:ascii="Calibri"/>
                <w:spacing w:val="-5"/>
                <w:sz w:val="20"/>
              </w:rPr>
              <w:t>19</w:t>
            </w:r>
          </w:p>
        </w:tc>
        <w:tc>
          <w:tcPr>
            <w:tcW w:w="1350" w:type="dxa"/>
          </w:tcPr>
          <w:p>
            <w:pPr>
              <w:pStyle w:val="TableParagraph"/>
              <w:spacing w:before="1"/>
              <w:ind w:right="94"/>
              <w:jc w:val="right"/>
              <w:rPr>
                <w:rFonts w:ascii="Calibri"/>
                <w:sz w:val="20"/>
              </w:rPr>
            </w:pPr>
            <w:r>
              <w:rPr>
                <w:rFonts w:ascii="Calibri"/>
                <w:spacing w:val="-5"/>
                <w:sz w:val="20"/>
              </w:rPr>
              <w:t>198</w:t>
            </w:r>
          </w:p>
        </w:tc>
        <w:tc>
          <w:tcPr>
            <w:tcW w:w="1440" w:type="dxa"/>
          </w:tcPr>
          <w:p>
            <w:pPr>
              <w:pStyle w:val="TableParagraph"/>
              <w:spacing w:before="1"/>
              <w:ind w:right="93"/>
              <w:jc w:val="right"/>
              <w:rPr>
                <w:rFonts w:ascii="Calibri"/>
                <w:sz w:val="20"/>
              </w:rPr>
            </w:pPr>
            <w:r>
              <w:rPr>
                <w:rFonts w:ascii="Calibri"/>
                <w:w w:val="100"/>
                <w:sz w:val="20"/>
              </w:rPr>
              <w:t>4</w:t>
            </w:r>
          </w:p>
        </w:tc>
        <w:tc>
          <w:tcPr>
            <w:tcW w:w="1620" w:type="dxa"/>
          </w:tcPr>
          <w:p>
            <w:pPr>
              <w:pStyle w:val="TableParagraph"/>
              <w:spacing w:before="1"/>
              <w:ind w:right="93"/>
              <w:jc w:val="right"/>
              <w:rPr>
                <w:rFonts w:ascii="Calibri"/>
                <w:sz w:val="20"/>
              </w:rPr>
            </w:pPr>
            <w:r>
              <w:rPr>
                <w:rFonts w:ascii="Calibri"/>
                <w:spacing w:val="-4"/>
                <w:sz w:val="20"/>
              </w:rPr>
              <w:t>2892</w:t>
            </w:r>
          </w:p>
        </w:tc>
      </w:tr>
      <w:tr>
        <w:trPr>
          <w:trHeight w:val="492" w:hRule="atLeast"/>
        </w:trPr>
        <w:tc>
          <w:tcPr>
            <w:tcW w:w="984" w:type="dxa"/>
          </w:tcPr>
          <w:p>
            <w:pPr>
              <w:pStyle w:val="TableParagraph"/>
              <w:ind w:left="107"/>
              <w:rPr>
                <w:rFonts w:ascii="Calibri"/>
                <w:sz w:val="20"/>
              </w:rPr>
            </w:pPr>
            <w:r>
              <w:rPr>
                <w:rFonts w:ascii="Calibri"/>
                <w:spacing w:val="-2"/>
                <w:sz w:val="20"/>
              </w:rPr>
              <w:t>Gjithsej</w:t>
            </w:r>
          </w:p>
        </w:tc>
        <w:tc>
          <w:tcPr>
            <w:tcW w:w="1204" w:type="dxa"/>
          </w:tcPr>
          <w:p>
            <w:pPr>
              <w:pStyle w:val="TableParagraph"/>
              <w:ind w:right="95"/>
              <w:jc w:val="right"/>
              <w:rPr>
                <w:rFonts w:ascii="Calibri"/>
                <w:sz w:val="20"/>
              </w:rPr>
            </w:pPr>
            <w:r>
              <w:rPr>
                <w:rFonts w:ascii="Calibri"/>
                <w:spacing w:val="-2"/>
                <w:sz w:val="20"/>
              </w:rPr>
              <w:t>2,495</w:t>
            </w:r>
          </w:p>
        </w:tc>
        <w:tc>
          <w:tcPr>
            <w:tcW w:w="1136" w:type="dxa"/>
          </w:tcPr>
          <w:p>
            <w:pPr>
              <w:pStyle w:val="TableParagraph"/>
              <w:ind w:right="93"/>
              <w:jc w:val="right"/>
              <w:rPr>
                <w:rFonts w:ascii="Calibri"/>
                <w:sz w:val="20"/>
              </w:rPr>
            </w:pPr>
            <w:r>
              <w:rPr>
                <w:rFonts w:ascii="Calibri"/>
                <w:spacing w:val="-4"/>
                <w:sz w:val="20"/>
              </w:rPr>
              <w:t>1169</w:t>
            </w:r>
          </w:p>
        </w:tc>
        <w:tc>
          <w:tcPr>
            <w:tcW w:w="1260" w:type="dxa"/>
          </w:tcPr>
          <w:p>
            <w:pPr>
              <w:pStyle w:val="TableParagraph"/>
              <w:ind w:right="93"/>
              <w:jc w:val="right"/>
              <w:rPr>
                <w:rFonts w:ascii="Calibri"/>
                <w:sz w:val="20"/>
              </w:rPr>
            </w:pPr>
            <w:r>
              <w:rPr>
                <w:rFonts w:ascii="Calibri"/>
                <w:spacing w:val="-5"/>
                <w:sz w:val="20"/>
              </w:rPr>
              <w:t>462</w:t>
            </w:r>
          </w:p>
        </w:tc>
        <w:tc>
          <w:tcPr>
            <w:tcW w:w="1350" w:type="dxa"/>
          </w:tcPr>
          <w:p>
            <w:pPr>
              <w:pStyle w:val="TableParagraph"/>
              <w:ind w:right="94"/>
              <w:jc w:val="right"/>
              <w:rPr>
                <w:rFonts w:ascii="Calibri"/>
                <w:sz w:val="20"/>
              </w:rPr>
            </w:pPr>
            <w:r>
              <w:rPr>
                <w:rFonts w:ascii="Calibri"/>
                <w:spacing w:val="-5"/>
                <w:sz w:val="20"/>
              </w:rPr>
              <w:t>852</w:t>
            </w:r>
          </w:p>
        </w:tc>
        <w:tc>
          <w:tcPr>
            <w:tcW w:w="1440" w:type="dxa"/>
          </w:tcPr>
          <w:p>
            <w:pPr>
              <w:pStyle w:val="TableParagraph"/>
              <w:ind w:right="94"/>
              <w:jc w:val="right"/>
              <w:rPr>
                <w:rFonts w:ascii="Calibri"/>
                <w:sz w:val="20"/>
              </w:rPr>
            </w:pPr>
            <w:r>
              <w:rPr>
                <w:rFonts w:ascii="Calibri"/>
                <w:spacing w:val="-5"/>
                <w:sz w:val="20"/>
              </w:rPr>
              <w:t>12</w:t>
            </w:r>
          </w:p>
        </w:tc>
        <w:tc>
          <w:tcPr>
            <w:tcW w:w="1620" w:type="dxa"/>
          </w:tcPr>
          <w:p>
            <w:pPr>
              <w:pStyle w:val="TableParagraph"/>
              <w:ind w:right="93"/>
              <w:jc w:val="right"/>
              <w:rPr>
                <w:rFonts w:ascii="Calibri"/>
                <w:sz w:val="20"/>
              </w:rPr>
            </w:pPr>
            <w:r>
              <w:rPr>
                <w:rFonts w:ascii="Calibri"/>
                <w:spacing w:val="-2"/>
                <w:sz w:val="20"/>
              </w:rPr>
              <w:t>4,130</w:t>
            </w:r>
          </w:p>
        </w:tc>
      </w:tr>
    </w:tbl>
    <w:p>
      <w:pPr>
        <w:pStyle w:val="BodyText"/>
        <w:spacing w:before="3"/>
        <w:ind w:left="1614"/>
      </w:pPr>
      <w:r>
        <w:rPr>
          <w:b/>
        </w:rPr>
        <w:t>Tabela</w:t>
      </w:r>
      <w:r>
        <w:rPr>
          <w:b/>
          <w:spacing w:val="-6"/>
        </w:rPr>
        <w:t> </w:t>
      </w:r>
      <w:r>
        <w:rPr>
          <w:b/>
        </w:rPr>
        <w:t>7:</w:t>
      </w:r>
      <w:r>
        <w:rPr>
          <w:b/>
          <w:spacing w:val="-5"/>
        </w:rPr>
        <w:t> </w:t>
      </w:r>
      <w:r>
        <w:rPr/>
        <w:t>Numri</w:t>
      </w:r>
      <w:r>
        <w:rPr>
          <w:spacing w:val="-6"/>
        </w:rPr>
        <w:t> </w:t>
      </w:r>
      <w:r>
        <w:rPr/>
        <w:t>i</w:t>
      </w:r>
      <w:r>
        <w:rPr>
          <w:spacing w:val="-6"/>
        </w:rPr>
        <w:t> </w:t>
      </w:r>
      <w:r>
        <w:rPr/>
        <w:t>të</w:t>
      </w:r>
      <w:r>
        <w:rPr>
          <w:spacing w:val="-6"/>
        </w:rPr>
        <w:t> </w:t>
      </w:r>
      <w:r>
        <w:rPr/>
        <w:t>punësuarve</w:t>
      </w:r>
      <w:r>
        <w:rPr>
          <w:spacing w:val="-5"/>
        </w:rPr>
        <w:t> </w:t>
      </w:r>
      <w:r>
        <w:rPr/>
        <w:t>dhe</w:t>
      </w:r>
      <w:r>
        <w:rPr>
          <w:spacing w:val="-6"/>
        </w:rPr>
        <w:t> </w:t>
      </w:r>
      <w:r>
        <w:rPr/>
        <w:t>të</w:t>
      </w:r>
      <w:r>
        <w:rPr>
          <w:spacing w:val="-5"/>
        </w:rPr>
        <w:t> </w:t>
      </w:r>
      <w:r>
        <w:rPr/>
        <w:t>papunëve</w:t>
      </w:r>
      <w:r>
        <w:rPr>
          <w:spacing w:val="-6"/>
        </w:rPr>
        <w:t> </w:t>
      </w:r>
      <w:r>
        <w:rPr/>
        <w:t>nga</w:t>
      </w:r>
      <w:r>
        <w:rPr>
          <w:spacing w:val="-6"/>
        </w:rPr>
        <w:t> </w:t>
      </w:r>
      <w:r>
        <w:rPr/>
        <w:t>popullsia</w:t>
      </w:r>
      <w:r>
        <w:rPr>
          <w:spacing w:val="-5"/>
        </w:rPr>
        <w:t> </w:t>
      </w:r>
      <w:r>
        <w:rPr/>
        <w:t>e</w:t>
      </w:r>
      <w:r>
        <w:rPr>
          <w:spacing w:val="-6"/>
        </w:rPr>
        <w:t> </w:t>
      </w:r>
      <w:r>
        <w:rPr/>
        <w:t>aftë</w:t>
      </w:r>
      <w:r>
        <w:rPr>
          <w:spacing w:val="-5"/>
        </w:rPr>
        <w:t> </w:t>
      </w:r>
      <w:r>
        <w:rPr/>
        <w:t>për</w:t>
      </w:r>
      <w:r>
        <w:rPr>
          <w:spacing w:val="-6"/>
        </w:rPr>
        <w:t> </w:t>
      </w:r>
      <w:r>
        <w:rPr>
          <w:spacing w:val="-4"/>
        </w:rPr>
        <w:t>punë</w:t>
      </w:r>
    </w:p>
    <w:p>
      <w:pPr>
        <w:pStyle w:val="BodyText"/>
        <w:spacing w:before="3"/>
        <w:rPr>
          <w:sz w:val="15"/>
        </w:rPr>
      </w:pPr>
      <w:r>
        <w:rPr/>
        <w:pict>
          <v:shape style="position:absolute;margin-left:70.5pt;margin-top:10.011172pt;width:469.75pt;height:13.8pt;mso-position-horizontal-relative:page;mso-position-vertical-relative:paragraph;z-index:-15711232;mso-wrap-distance-left:0;mso-wrap-distance-right:0" type="#_x0000_t202" id="docshape176" filled="true" fillcolor="#eab8a3" stroked="false">
            <v:textbox inset="0,0,0,0">
              <w:txbxContent>
                <w:p>
                  <w:pPr>
                    <w:tabs>
                      <w:tab w:pos="810" w:val="left" w:leader="none"/>
                    </w:tabs>
                    <w:spacing w:line="276" w:lineRule="exact" w:before="0"/>
                    <w:ind w:left="30" w:right="0" w:firstLine="0"/>
                    <w:jc w:val="left"/>
                    <w:rPr>
                      <w:b/>
                      <w:color w:val="000000"/>
                      <w:sz w:val="24"/>
                    </w:rPr>
                  </w:pPr>
                  <w:r>
                    <w:rPr>
                      <w:b/>
                      <w:color w:val="000000"/>
                      <w:spacing w:val="-4"/>
                      <w:sz w:val="24"/>
                    </w:rPr>
                    <w:t>3.8.</w:t>
                  </w:r>
                  <w:r>
                    <w:rPr>
                      <w:b/>
                      <w:color w:val="000000"/>
                      <w:sz w:val="24"/>
                    </w:rPr>
                    <w:tab/>
                    <w:t>Burimet</w:t>
                  </w:r>
                  <w:r>
                    <w:rPr>
                      <w:b/>
                      <w:color w:val="000000"/>
                      <w:spacing w:val="-5"/>
                      <w:sz w:val="24"/>
                    </w:rPr>
                    <w:t> </w:t>
                  </w:r>
                  <w:r>
                    <w:rPr>
                      <w:b/>
                      <w:color w:val="000000"/>
                      <w:sz w:val="24"/>
                    </w:rPr>
                    <w:t>kryesore</w:t>
                  </w:r>
                  <w:r>
                    <w:rPr>
                      <w:b/>
                      <w:color w:val="000000"/>
                      <w:spacing w:val="-5"/>
                      <w:sz w:val="24"/>
                    </w:rPr>
                    <w:t> </w:t>
                  </w:r>
                  <w:r>
                    <w:rPr>
                      <w:b/>
                      <w:color w:val="000000"/>
                      <w:sz w:val="24"/>
                    </w:rPr>
                    <w:t>të</w:t>
                  </w:r>
                  <w:r>
                    <w:rPr>
                      <w:b/>
                      <w:color w:val="000000"/>
                      <w:spacing w:val="-4"/>
                      <w:sz w:val="24"/>
                    </w:rPr>
                    <w:t> </w:t>
                  </w:r>
                  <w:r>
                    <w:rPr>
                      <w:b/>
                      <w:color w:val="000000"/>
                      <w:spacing w:val="-2"/>
                      <w:sz w:val="24"/>
                    </w:rPr>
                    <w:t>jetesës</w:t>
                  </w:r>
                </w:p>
              </w:txbxContent>
            </v:textbox>
            <v:fill type="solid"/>
            <w10:wrap type="topAndBottom"/>
          </v:shape>
        </w:pict>
      </w:r>
    </w:p>
    <w:p>
      <w:pPr>
        <w:pStyle w:val="BodyText"/>
        <w:spacing w:before="1"/>
        <w:rPr>
          <w:sz w:val="13"/>
        </w:rPr>
      </w:pPr>
    </w:p>
    <w:p>
      <w:pPr>
        <w:pStyle w:val="BodyText"/>
        <w:spacing w:before="90"/>
        <w:ind w:left="704" w:right="1465"/>
        <w:jc w:val="both"/>
      </w:pPr>
      <w:r>
        <w:rPr/>
        <w:t>Duke</w:t>
      </w:r>
      <w:r>
        <w:rPr>
          <w:spacing w:val="-9"/>
        </w:rPr>
        <w:t> </w:t>
      </w:r>
      <w:r>
        <w:rPr/>
        <w:t>u</w:t>
      </w:r>
      <w:r>
        <w:rPr>
          <w:spacing w:val="-8"/>
        </w:rPr>
        <w:t> </w:t>
      </w:r>
      <w:r>
        <w:rPr/>
        <w:t>bazuar</w:t>
      </w:r>
      <w:r>
        <w:rPr>
          <w:spacing w:val="-8"/>
        </w:rPr>
        <w:t> </w:t>
      </w:r>
      <w:r>
        <w:rPr/>
        <w:t>në</w:t>
      </w:r>
      <w:r>
        <w:rPr>
          <w:spacing w:val="-8"/>
        </w:rPr>
        <w:t> </w:t>
      </w:r>
      <w:r>
        <w:rPr/>
        <w:t>burimet</w:t>
      </w:r>
      <w:r>
        <w:rPr>
          <w:spacing w:val="-8"/>
        </w:rPr>
        <w:t> </w:t>
      </w:r>
      <w:r>
        <w:rPr/>
        <w:t>e</w:t>
      </w:r>
      <w:r>
        <w:rPr>
          <w:spacing w:val="-9"/>
        </w:rPr>
        <w:t> </w:t>
      </w:r>
      <w:r>
        <w:rPr/>
        <w:t>të</w:t>
      </w:r>
      <w:r>
        <w:rPr>
          <w:spacing w:val="-8"/>
        </w:rPr>
        <w:t> </w:t>
      </w:r>
      <w:r>
        <w:rPr/>
        <w:t>hyrave</w:t>
      </w:r>
      <w:r>
        <w:rPr>
          <w:spacing w:val="-10"/>
        </w:rPr>
        <w:t> </w:t>
      </w:r>
      <w:r>
        <w:rPr/>
        <w:t>në</w:t>
      </w:r>
      <w:r>
        <w:rPr>
          <w:spacing w:val="-8"/>
        </w:rPr>
        <w:t> </w:t>
      </w:r>
      <w:r>
        <w:rPr/>
        <w:t>komunën</w:t>
      </w:r>
      <w:r>
        <w:rPr>
          <w:spacing w:val="-10"/>
        </w:rPr>
        <w:t> </w:t>
      </w:r>
      <w:r>
        <w:rPr/>
        <w:t>e</w:t>
      </w:r>
      <w:r>
        <w:rPr>
          <w:spacing w:val="-8"/>
        </w:rPr>
        <w:t> </w:t>
      </w:r>
      <w:r>
        <w:rPr/>
        <w:t>Hanit</w:t>
      </w:r>
      <w:r>
        <w:rPr>
          <w:spacing w:val="-9"/>
        </w:rPr>
        <w:t> </w:t>
      </w:r>
      <w:r>
        <w:rPr/>
        <w:t>të</w:t>
      </w:r>
      <w:r>
        <w:rPr>
          <w:spacing w:val="-8"/>
        </w:rPr>
        <w:t> </w:t>
      </w:r>
      <w:r>
        <w:rPr/>
        <w:t>Elezit,</w:t>
      </w:r>
      <w:r>
        <w:rPr>
          <w:spacing w:val="-9"/>
        </w:rPr>
        <w:t> </w:t>
      </w:r>
      <w:r>
        <w:rPr/>
        <w:t>shihet</w:t>
      </w:r>
      <w:r>
        <w:rPr>
          <w:spacing w:val="-8"/>
        </w:rPr>
        <w:t> </w:t>
      </w:r>
      <w:r>
        <w:rPr/>
        <w:t>se</w:t>
      </w:r>
      <w:r>
        <w:rPr>
          <w:spacing w:val="-8"/>
        </w:rPr>
        <w:t> </w:t>
      </w:r>
      <w:r>
        <w:rPr/>
        <w:t>përqindja</w:t>
      </w:r>
      <w:r>
        <w:rPr>
          <w:spacing w:val="-9"/>
        </w:rPr>
        <w:t> </w:t>
      </w:r>
      <w:r>
        <w:rPr/>
        <w:t>e</w:t>
      </w:r>
      <w:r>
        <w:rPr>
          <w:spacing w:val="-9"/>
        </w:rPr>
        <w:t> </w:t>
      </w:r>
      <w:r>
        <w:rPr/>
        <w:t>të</w:t>
      </w:r>
      <w:r>
        <w:rPr>
          <w:spacing w:val="-8"/>
        </w:rPr>
        <w:t> </w:t>
      </w:r>
      <w:r>
        <w:rPr/>
        <w:t>hyrave nga punësimi është shumë i ulët. Po ashtu, niveli i mbështetjes përmes pensioneve dhe skemave sociale është shumë i ulët. Banorët e komunës janë kryesisht të varur nga të hyrat që vijnë nga persona të tjerë dhe nga remitancat.</w:t>
      </w:r>
    </w:p>
    <w:p>
      <w:pPr>
        <w:pStyle w:val="BodyText"/>
        <w:spacing w:before="10"/>
        <w:rPr>
          <w:sz w:val="20"/>
        </w:rPr>
      </w:pPr>
    </w:p>
    <w:p>
      <w:pPr>
        <w:pStyle w:val="BodyText"/>
        <w:ind w:left="704" w:right="1463"/>
        <w:jc w:val="both"/>
      </w:pPr>
      <w:r>
        <w:rPr/>
        <w:t>Sipas të dhënave nga regjistrimi i vitit 2011, vetëm 14.5% e banorëve mbështeten në të hyrat nga punësimi. Të ardhurat nga skema e pensioneve, ndihmës sociale dhe nga fondet e tjera ndihmëse (papunësia)</w:t>
      </w:r>
      <w:r>
        <w:rPr>
          <w:spacing w:val="-15"/>
        </w:rPr>
        <w:t> </w:t>
      </w:r>
      <w:r>
        <w:rPr/>
        <w:t>janë</w:t>
      </w:r>
      <w:r>
        <w:rPr>
          <w:spacing w:val="-14"/>
        </w:rPr>
        <w:t> </w:t>
      </w:r>
      <w:r>
        <w:rPr/>
        <w:t>11.1%/.</w:t>
      </w:r>
      <w:r>
        <w:rPr>
          <w:spacing w:val="-15"/>
        </w:rPr>
        <w:t> </w:t>
      </w:r>
      <w:r>
        <w:rPr/>
        <w:t>Mbështetja</w:t>
      </w:r>
      <w:r>
        <w:rPr>
          <w:spacing w:val="-15"/>
        </w:rPr>
        <w:t> </w:t>
      </w:r>
      <w:r>
        <w:rPr/>
        <w:t>kryesore</w:t>
      </w:r>
      <w:r>
        <w:rPr>
          <w:spacing w:val="-15"/>
        </w:rPr>
        <w:t> </w:t>
      </w:r>
      <w:r>
        <w:rPr/>
        <w:t>financiare</w:t>
      </w:r>
      <w:r>
        <w:rPr>
          <w:spacing w:val="-14"/>
        </w:rPr>
        <w:t> </w:t>
      </w:r>
      <w:r>
        <w:rPr/>
        <w:t>vjen</w:t>
      </w:r>
      <w:r>
        <w:rPr>
          <w:spacing w:val="-15"/>
        </w:rPr>
        <w:t> </w:t>
      </w:r>
      <w:r>
        <w:rPr/>
        <w:t>nga</w:t>
      </w:r>
      <w:r>
        <w:rPr>
          <w:spacing w:val="-11"/>
        </w:rPr>
        <w:t> </w:t>
      </w:r>
      <w:r>
        <w:rPr/>
        <w:t>personat</w:t>
      </w:r>
      <w:r>
        <w:rPr>
          <w:spacing w:val="-15"/>
        </w:rPr>
        <w:t> </w:t>
      </w:r>
      <w:r>
        <w:rPr/>
        <w:t>e</w:t>
      </w:r>
      <w:r>
        <w:rPr>
          <w:spacing w:val="-15"/>
        </w:rPr>
        <w:t> </w:t>
      </w:r>
      <w:r>
        <w:rPr/>
        <w:t>tjerë</w:t>
      </w:r>
      <w:r>
        <w:rPr>
          <w:spacing w:val="-14"/>
        </w:rPr>
        <w:t> </w:t>
      </w:r>
      <w:r>
        <w:rPr/>
        <w:t>nga</w:t>
      </w:r>
      <w:r>
        <w:rPr>
          <w:spacing w:val="-15"/>
        </w:rPr>
        <w:t> </w:t>
      </w:r>
      <w:r>
        <w:rPr/>
        <w:t>të</w:t>
      </w:r>
      <w:r>
        <w:rPr>
          <w:spacing w:val="-15"/>
        </w:rPr>
        <w:t> </w:t>
      </w:r>
      <w:r>
        <w:rPr/>
        <w:t>cilat</w:t>
      </w:r>
      <w:r>
        <w:rPr>
          <w:spacing w:val="-15"/>
        </w:rPr>
        <w:t> </w:t>
      </w:r>
      <w:r>
        <w:rPr/>
        <w:t>varen 64.7%</w:t>
      </w:r>
      <w:r>
        <w:rPr>
          <w:spacing w:val="-15"/>
        </w:rPr>
        <w:t> </w:t>
      </w:r>
      <w:r>
        <w:rPr/>
        <w:t>e</w:t>
      </w:r>
      <w:r>
        <w:rPr>
          <w:spacing w:val="-15"/>
        </w:rPr>
        <w:t> </w:t>
      </w:r>
      <w:r>
        <w:rPr/>
        <w:t>banorëve,</w:t>
      </w:r>
      <w:r>
        <w:rPr>
          <w:spacing w:val="-15"/>
        </w:rPr>
        <w:t> </w:t>
      </w:r>
      <w:r>
        <w:rPr/>
        <w:t>3.2%</w:t>
      </w:r>
      <w:r>
        <w:rPr>
          <w:spacing w:val="-15"/>
        </w:rPr>
        <w:t> </w:t>
      </w:r>
      <w:r>
        <w:rPr/>
        <w:t>nga</w:t>
      </w:r>
      <w:r>
        <w:rPr>
          <w:spacing w:val="-15"/>
        </w:rPr>
        <w:t> </w:t>
      </w:r>
      <w:r>
        <w:rPr/>
        <w:t>remitancat</w:t>
      </w:r>
      <w:r>
        <w:rPr>
          <w:spacing w:val="-15"/>
        </w:rPr>
        <w:t> </w:t>
      </w:r>
      <w:r>
        <w:rPr/>
        <w:t>dhe</w:t>
      </w:r>
      <w:r>
        <w:rPr>
          <w:spacing w:val="-15"/>
        </w:rPr>
        <w:t> </w:t>
      </w:r>
      <w:r>
        <w:rPr/>
        <w:t>6.8%</w:t>
      </w:r>
      <w:r>
        <w:rPr>
          <w:spacing w:val="-15"/>
        </w:rPr>
        <w:t> </w:t>
      </w:r>
      <w:r>
        <w:rPr/>
        <w:t>nga</w:t>
      </w:r>
      <w:r>
        <w:rPr>
          <w:spacing w:val="-15"/>
        </w:rPr>
        <w:t> </w:t>
      </w:r>
      <w:r>
        <w:rPr/>
        <w:t>burime</w:t>
      </w:r>
      <w:r>
        <w:rPr>
          <w:spacing w:val="-15"/>
        </w:rPr>
        <w:t> </w:t>
      </w:r>
      <w:r>
        <w:rPr/>
        <w:t>të</w:t>
      </w:r>
      <w:r>
        <w:rPr>
          <w:spacing w:val="-15"/>
        </w:rPr>
        <w:t> </w:t>
      </w:r>
      <w:r>
        <w:rPr/>
        <w:t>tjera.</w:t>
      </w:r>
      <w:r>
        <w:rPr>
          <w:spacing w:val="-15"/>
        </w:rPr>
        <w:t> </w:t>
      </w:r>
      <w:r>
        <w:rPr/>
        <w:t>Shikuar</w:t>
      </w:r>
      <w:r>
        <w:rPr>
          <w:spacing w:val="-15"/>
        </w:rPr>
        <w:t> </w:t>
      </w:r>
      <w:r>
        <w:rPr/>
        <w:t>përgjithësisht,</w:t>
      </w:r>
      <w:r>
        <w:rPr>
          <w:spacing w:val="-15"/>
        </w:rPr>
        <w:t> </w:t>
      </w:r>
      <w:r>
        <w:rPr/>
        <w:t>niveli i varfërisë në komunë mbetet i lartë.</w:t>
      </w:r>
    </w:p>
    <w:p>
      <w:pPr>
        <w:pStyle w:val="BodyText"/>
        <w:spacing w:before="1"/>
        <w:rPr>
          <w:sz w:val="22"/>
        </w:rPr>
      </w:pPr>
    </w:p>
    <w:tbl>
      <w:tblPr>
        <w:tblW w:w="0" w:type="auto"/>
        <w:jc w:val="left"/>
        <w:tblInd w:w="7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810"/>
        <w:gridCol w:w="360"/>
        <w:gridCol w:w="810"/>
        <w:gridCol w:w="720"/>
        <w:gridCol w:w="720"/>
        <w:gridCol w:w="720"/>
        <w:gridCol w:w="810"/>
        <w:gridCol w:w="810"/>
        <w:gridCol w:w="720"/>
        <w:gridCol w:w="720"/>
        <w:gridCol w:w="1800"/>
      </w:tblGrid>
      <w:tr>
        <w:trPr>
          <w:trHeight w:val="2037" w:hRule="atLeast"/>
        </w:trPr>
        <w:tc>
          <w:tcPr>
            <w:tcW w:w="1170" w:type="dxa"/>
            <w:gridSpan w:val="2"/>
            <w:tcBorders>
              <w:bottom w:val="single" w:sz="6" w:space="0" w:color="000000"/>
              <w:right w:val="single" w:sz="6" w:space="0" w:color="000000"/>
            </w:tcBorders>
            <w:shd w:val="clear" w:color="auto" w:fill="EAB8A3"/>
          </w:tcPr>
          <w:p>
            <w:pPr>
              <w:pStyle w:val="TableParagraph"/>
              <w:rPr>
                <w:sz w:val="20"/>
              </w:rPr>
            </w:pPr>
          </w:p>
        </w:tc>
        <w:tc>
          <w:tcPr>
            <w:tcW w:w="810" w:type="dxa"/>
            <w:tcBorders>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10"/>
              <w:ind w:left="-37"/>
              <w:rPr>
                <w:rFonts w:ascii="Calibri" w:hAnsi="Calibri"/>
                <w:sz w:val="18"/>
              </w:rPr>
            </w:pPr>
            <w:r>
              <w:rPr>
                <w:rFonts w:ascii="Calibri" w:hAnsi="Calibri"/>
                <w:sz w:val="18"/>
              </w:rPr>
              <w:t>Puna (përfshirë punën në prona,</w:t>
            </w:r>
            <w:r>
              <w:rPr>
                <w:rFonts w:ascii="Calibri" w:hAnsi="Calibri"/>
                <w:spacing w:val="-11"/>
                <w:sz w:val="18"/>
              </w:rPr>
              <w:t> </w:t>
            </w:r>
            <w:r>
              <w:rPr>
                <w:rFonts w:ascii="Calibri" w:hAnsi="Calibri"/>
                <w:sz w:val="18"/>
              </w:rPr>
              <w:t>biznesit</w:t>
            </w:r>
            <w:r>
              <w:rPr>
                <w:rFonts w:ascii="Calibri" w:hAnsi="Calibri"/>
                <w:spacing w:val="-10"/>
                <w:sz w:val="18"/>
              </w:rPr>
              <w:t> </w:t>
            </w:r>
            <w:r>
              <w:rPr>
                <w:rFonts w:ascii="Calibri" w:hAnsi="Calibri"/>
                <w:sz w:val="18"/>
              </w:rPr>
              <w:t>privat</w:t>
            </w:r>
            <w:r>
              <w:rPr>
                <w:rFonts w:ascii="Calibri" w:hAnsi="Calibri"/>
                <w:spacing w:val="-9"/>
                <w:sz w:val="18"/>
              </w:rPr>
              <w:t> </w:t>
            </w:r>
            <w:r>
              <w:rPr>
                <w:rFonts w:ascii="Calibri" w:hAnsi="Calibri"/>
                <w:sz w:val="18"/>
              </w:rPr>
              <w:t>ose</w:t>
            </w:r>
            <w:r>
              <w:rPr>
                <w:rFonts w:ascii="Calibri" w:hAnsi="Calibri"/>
                <w:spacing w:val="-10"/>
                <w:sz w:val="18"/>
              </w:rPr>
              <w:t> </w:t>
            </w:r>
            <w:r>
              <w:rPr>
                <w:rFonts w:ascii="Calibri" w:hAnsi="Calibri"/>
                <w:sz w:val="18"/>
              </w:rPr>
              <w:t>të biznesit</w:t>
            </w:r>
            <w:r>
              <w:rPr>
                <w:rFonts w:ascii="Calibri" w:hAnsi="Calibri"/>
                <w:spacing w:val="-2"/>
                <w:sz w:val="18"/>
              </w:rPr>
              <w:t> </w:t>
            </w:r>
            <w:r>
              <w:rPr>
                <w:rFonts w:ascii="Calibri" w:hAnsi="Calibri"/>
                <w:sz w:val="18"/>
              </w:rPr>
              <w:t>familjar</w:t>
            </w:r>
          </w:p>
        </w:tc>
        <w:tc>
          <w:tcPr>
            <w:tcW w:w="720" w:type="dxa"/>
            <w:tcBorders>
              <w:left w:val="single" w:sz="6" w:space="0" w:color="000000"/>
              <w:bottom w:val="single" w:sz="6" w:space="0" w:color="000000"/>
              <w:right w:val="single" w:sz="6" w:space="0" w:color="000000"/>
            </w:tcBorders>
            <w:shd w:val="clear" w:color="auto" w:fill="EAB8A3"/>
            <w:textDirection w:val="btLr"/>
          </w:tcPr>
          <w:p>
            <w:pPr>
              <w:pStyle w:val="TableParagraph"/>
              <w:tabs>
                <w:tab w:pos="1043" w:val="left" w:leader="none"/>
              </w:tabs>
              <w:spacing w:line="247" w:lineRule="auto" w:before="10"/>
              <w:ind w:left="4" w:right="24" w:hanging="41"/>
              <w:rPr>
                <w:rFonts w:ascii="Calibri" w:hAnsi="Calibri"/>
                <w:sz w:val="18"/>
              </w:rPr>
            </w:pPr>
            <w:r>
              <w:rPr>
                <w:rFonts w:ascii="Calibri" w:hAnsi="Calibri"/>
                <w:sz w:val="18"/>
              </w:rPr>
              <w:t>Pasuritë</w:t>
            </w:r>
            <w:r>
              <w:rPr>
                <w:rFonts w:ascii="Calibri" w:hAnsi="Calibri"/>
                <w:spacing w:val="80"/>
                <w:sz w:val="18"/>
              </w:rPr>
              <w:t> </w:t>
            </w:r>
            <w:r>
              <w:rPr>
                <w:rFonts w:ascii="Calibri" w:hAnsi="Calibri"/>
                <w:sz w:val="18"/>
              </w:rPr>
              <w:t>e</w:t>
              <w:tab/>
            </w:r>
            <w:r>
              <w:rPr>
                <w:rFonts w:ascii="Calibri" w:hAnsi="Calibri"/>
                <w:spacing w:val="-2"/>
                <w:sz w:val="18"/>
              </w:rPr>
              <w:t>patundshme,</w:t>
            </w:r>
            <w:r>
              <w:rPr>
                <w:rFonts w:ascii="Calibri" w:hAnsi="Calibri"/>
                <w:sz w:val="18"/>
              </w:rPr>
              <w:t> nvestimet, (qira, interesi)</w:t>
            </w:r>
          </w:p>
        </w:tc>
        <w:tc>
          <w:tcPr>
            <w:tcW w:w="720" w:type="dxa"/>
            <w:tcBorders>
              <w:left w:val="single" w:sz="6" w:space="0" w:color="000000"/>
              <w:bottom w:val="single" w:sz="6" w:space="0" w:color="000000"/>
              <w:right w:val="single" w:sz="6" w:space="0" w:color="000000"/>
            </w:tcBorders>
            <w:shd w:val="clear" w:color="auto" w:fill="EAB8A3"/>
            <w:textDirection w:val="btLr"/>
          </w:tcPr>
          <w:p>
            <w:pPr>
              <w:pStyle w:val="TableParagraph"/>
              <w:spacing w:before="10"/>
              <w:ind w:left="-37"/>
              <w:rPr>
                <w:rFonts w:ascii="Calibri"/>
                <w:sz w:val="18"/>
              </w:rPr>
            </w:pPr>
            <w:r>
              <w:rPr>
                <w:rFonts w:ascii="Calibri"/>
                <w:spacing w:val="-2"/>
                <w:sz w:val="18"/>
              </w:rPr>
              <w:t>Pensione</w:t>
            </w:r>
          </w:p>
        </w:tc>
        <w:tc>
          <w:tcPr>
            <w:tcW w:w="720" w:type="dxa"/>
            <w:tcBorders>
              <w:left w:val="single" w:sz="6" w:space="0" w:color="000000"/>
              <w:bottom w:val="single" w:sz="6" w:space="0" w:color="000000"/>
              <w:right w:val="single" w:sz="6" w:space="0" w:color="000000"/>
            </w:tcBorders>
            <w:shd w:val="clear" w:color="auto" w:fill="EAB8A3"/>
            <w:textDirection w:val="btLr"/>
          </w:tcPr>
          <w:p>
            <w:pPr>
              <w:pStyle w:val="TableParagraph"/>
              <w:spacing w:before="10"/>
              <w:ind w:left="-37"/>
              <w:rPr>
                <w:rFonts w:ascii="Calibri"/>
                <w:sz w:val="18"/>
              </w:rPr>
            </w:pPr>
            <w:r>
              <w:rPr>
                <w:rFonts w:ascii="Calibri"/>
                <w:sz w:val="18"/>
              </w:rPr>
              <w:t>Ndihma </w:t>
            </w:r>
            <w:r>
              <w:rPr>
                <w:rFonts w:ascii="Calibri"/>
                <w:spacing w:val="-2"/>
                <w:sz w:val="18"/>
              </w:rPr>
              <w:t>sociale</w:t>
            </w:r>
          </w:p>
        </w:tc>
        <w:tc>
          <w:tcPr>
            <w:tcW w:w="810" w:type="dxa"/>
            <w:tcBorders>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10"/>
              <w:ind w:left="-37" w:right="32"/>
              <w:jc w:val="both"/>
              <w:rPr>
                <w:rFonts w:ascii="Calibri" w:hAnsi="Calibri"/>
                <w:sz w:val="18"/>
              </w:rPr>
            </w:pPr>
            <w:r>
              <w:rPr>
                <w:rFonts w:ascii="Calibri" w:hAnsi="Calibri"/>
                <w:sz w:val="18"/>
              </w:rPr>
              <w:t>Transferet tjera (përfitimet nga papunësia, sëmundjet, pushimi</w:t>
            </w:r>
            <w:r>
              <w:rPr>
                <w:rFonts w:ascii="Calibri" w:hAnsi="Calibri"/>
                <w:spacing w:val="-2"/>
                <w:sz w:val="18"/>
              </w:rPr>
              <w:t> </w:t>
            </w:r>
            <w:r>
              <w:rPr>
                <w:rFonts w:ascii="Calibri" w:hAnsi="Calibri"/>
                <w:sz w:val="18"/>
              </w:rPr>
              <w:t>i</w:t>
            </w:r>
            <w:r>
              <w:rPr>
                <w:rFonts w:ascii="Calibri" w:hAnsi="Calibri"/>
                <w:spacing w:val="-1"/>
                <w:sz w:val="18"/>
              </w:rPr>
              <w:t> </w:t>
            </w:r>
            <w:r>
              <w:rPr>
                <w:rFonts w:ascii="Calibri" w:hAnsi="Calibri"/>
                <w:sz w:val="18"/>
              </w:rPr>
              <w:t>lehonisë,</w:t>
            </w:r>
            <w:r>
              <w:rPr>
                <w:rFonts w:ascii="Calibri" w:hAnsi="Calibri"/>
                <w:spacing w:val="-2"/>
                <w:sz w:val="18"/>
              </w:rPr>
              <w:t> bursave)</w:t>
            </w:r>
          </w:p>
        </w:tc>
        <w:tc>
          <w:tcPr>
            <w:tcW w:w="810" w:type="dxa"/>
            <w:tcBorders>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10"/>
              <w:ind w:left="-37" w:right="245"/>
              <w:jc w:val="both"/>
              <w:rPr>
                <w:rFonts w:ascii="Calibri" w:hAnsi="Calibri"/>
                <w:sz w:val="18"/>
              </w:rPr>
            </w:pPr>
            <w:r>
              <w:rPr>
                <w:rFonts w:ascii="Calibri" w:hAnsi="Calibri"/>
                <w:sz w:val="18"/>
              </w:rPr>
              <w:t>Remitencat</w:t>
            </w:r>
            <w:r>
              <w:rPr>
                <w:rFonts w:ascii="Calibri" w:hAnsi="Calibri"/>
                <w:spacing w:val="-4"/>
                <w:sz w:val="18"/>
              </w:rPr>
              <w:t> </w:t>
            </w:r>
            <w:r>
              <w:rPr>
                <w:rFonts w:ascii="Calibri" w:hAnsi="Calibri"/>
                <w:sz w:val="18"/>
              </w:rPr>
              <w:t>(Të</w:t>
            </w:r>
            <w:r>
              <w:rPr>
                <w:rFonts w:ascii="Calibri" w:hAnsi="Calibri"/>
                <w:spacing w:val="-3"/>
                <w:sz w:val="18"/>
              </w:rPr>
              <w:t> </w:t>
            </w:r>
            <w:r>
              <w:rPr>
                <w:rFonts w:ascii="Calibri" w:hAnsi="Calibri"/>
                <w:sz w:val="18"/>
              </w:rPr>
              <w:t>ardhurat nga</w:t>
            </w:r>
            <w:r>
              <w:rPr>
                <w:rFonts w:ascii="Calibri" w:hAnsi="Calibri"/>
                <w:spacing w:val="-10"/>
                <w:sz w:val="18"/>
              </w:rPr>
              <w:t> </w:t>
            </w:r>
            <w:r>
              <w:rPr>
                <w:rFonts w:ascii="Calibri" w:hAnsi="Calibri"/>
                <w:sz w:val="18"/>
              </w:rPr>
              <w:t>të</w:t>
            </w:r>
            <w:r>
              <w:rPr>
                <w:rFonts w:ascii="Calibri" w:hAnsi="Calibri"/>
                <w:spacing w:val="-9"/>
                <w:sz w:val="18"/>
              </w:rPr>
              <w:t> </w:t>
            </w:r>
            <w:r>
              <w:rPr>
                <w:rFonts w:ascii="Calibri" w:hAnsi="Calibri"/>
                <w:sz w:val="18"/>
              </w:rPr>
              <w:t>afërmit</w:t>
            </w:r>
            <w:r>
              <w:rPr>
                <w:rFonts w:ascii="Calibri" w:hAnsi="Calibri"/>
                <w:spacing w:val="-10"/>
                <w:sz w:val="18"/>
              </w:rPr>
              <w:t> </w:t>
            </w:r>
            <w:r>
              <w:rPr>
                <w:rFonts w:ascii="Calibri" w:hAnsi="Calibri"/>
                <w:sz w:val="18"/>
              </w:rPr>
              <w:t>nga</w:t>
            </w:r>
            <w:r>
              <w:rPr>
                <w:rFonts w:ascii="Calibri" w:hAnsi="Calibri"/>
                <w:spacing w:val="-10"/>
                <w:sz w:val="18"/>
              </w:rPr>
              <w:t> </w:t>
            </w:r>
            <w:r>
              <w:rPr>
                <w:rFonts w:ascii="Calibri" w:hAnsi="Calibri"/>
                <w:sz w:val="18"/>
              </w:rPr>
              <w:t>jashtë </w:t>
            </w:r>
            <w:r>
              <w:rPr>
                <w:rFonts w:ascii="Calibri" w:hAnsi="Calibri"/>
                <w:spacing w:val="-2"/>
                <w:sz w:val="18"/>
              </w:rPr>
              <w:t>vendit)</w:t>
            </w:r>
          </w:p>
        </w:tc>
        <w:tc>
          <w:tcPr>
            <w:tcW w:w="720" w:type="dxa"/>
            <w:tcBorders>
              <w:left w:val="single" w:sz="6" w:space="0" w:color="000000"/>
              <w:bottom w:val="single" w:sz="6" w:space="0" w:color="000000"/>
              <w:right w:val="single" w:sz="6" w:space="0" w:color="000000"/>
            </w:tcBorders>
            <w:shd w:val="clear" w:color="auto" w:fill="EAB8A3"/>
            <w:textDirection w:val="btLr"/>
          </w:tcPr>
          <w:p>
            <w:pPr>
              <w:pStyle w:val="TableParagraph"/>
              <w:spacing w:line="247" w:lineRule="auto" w:before="10"/>
              <w:ind w:left="24" w:hanging="61"/>
              <w:rPr>
                <w:rFonts w:ascii="Calibri" w:hAnsi="Calibri"/>
                <w:sz w:val="18"/>
              </w:rPr>
            </w:pPr>
            <w:r>
              <w:rPr>
                <w:rFonts w:ascii="Calibri" w:hAnsi="Calibri"/>
                <w:sz w:val="18"/>
              </w:rPr>
              <w:t>Mbështetje</w:t>
            </w:r>
            <w:r>
              <w:rPr>
                <w:rFonts w:ascii="Calibri" w:hAnsi="Calibri"/>
                <w:spacing w:val="40"/>
                <w:sz w:val="18"/>
              </w:rPr>
              <w:t> </w:t>
            </w:r>
            <w:r>
              <w:rPr>
                <w:rFonts w:ascii="Calibri" w:hAnsi="Calibri"/>
                <w:sz w:val="18"/>
              </w:rPr>
              <w:t>nga</w:t>
            </w:r>
            <w:r>
              <w:rPr>
                <w:rFonts w:ascii="Calibri" w:hAnsi="Calibri"/>
                <w:spacing w:val="40"/>
                <w:sz w:val="18"/>
              </w:rPr>
              <w:t> </w:t>
            </w:r>
            <w:r>
              <w:rPr>
                <w:rFonts w:ascii="Calibri" w:hAnsi="Calibri"/>
                <w:sz w:val="18"/>
              </w:rPr>
              <w:t>njerëzit</w:t>
            </w:r>
            <w:r>
              <w:rPr>
                <w:rFonts w:ascii="Calibri" w:hAnsi="Calibri"/>
                <w:spacing w:val="40"/>
                <w:sz w:val="18"/>
              </w:rPr>
              <w:t> </w:t>
            </w:r>
            <w:r>
              <w:rPr>
                <w:rFonts w:ascii="Calibri" w:hAnsi="Calibri"/>
                <w:sz w:val="18"/>
              </w:rPr>
              <w:t>e </w:t>
            </w:r>
            <w:r>
              <w:rPr>
                <w:rFonts w:ascii="Calibri" w:hAnsi="Calibri"/>
                <w:spacing w:val="-4"/>
                <w:sz w:val="18"/>
              </w:rPr>
              <w:t>jerë</w:t>
            </w:r>
          </w:p>
        </w:tc>
        <w:tc>
          <w:tcPr>
            <w:tcW w:w="720" w:type="dxa"/>
            <w:tcBorders>
              <w:left w:val="single" w:sz="6" w:space="0" w:color="000000"/>
              <w:bottom w:val="single" w:sz="6" w:space="0" w:color="000000"/>
              <w:right w:val="single" w:sz="6" w:space="0" w:color="000000"/>
            </w:tcBorders>
            <w:shd w:val="clear" w:color="auto" w:fill="EAB8A3"/>
            <w:textDirection w:val="btLr"/>
          </w:tcPr>
          <w:p>
            <w:pPr>
              <w:pStyle w:val="TableParagraph"/>
              <w:spacing w:before="10"/>
              <w:ind w:left="-37"/>
              <w:rPr>
                <w:rFonts w:ascii="Calibri"/>
                <w:sz w:val="18"/>
              </w:rPr>
            </w:pPr>
            <w:r>
              <w:rPr>
                <w:rFonts w:ascii="Calibri"/>
                <w:sz w:val="18"/>
              </w:rPr>
              <w:t>Burimet</w:t>
            </w:r>
            <w:r>
              <w:rPr>
                <w:rFonts w:ascii="Calibri"/>
                <w:spacing w:val="-3"/>
                <w:sz w:val="18"/>
              </w:rPr>
              <w:t> </w:t>
            </w:r>
            <w:r>
              <w:rPr>
                <w:rFonts w:ascii="Calibri"/>
                <w:sz w:val="18"/>
              </w:rPr>
              <w:t>e</w:t>
            </w:r>
            <w:r>
              <w:rPr>
                <w:rFonts w:ascii="Calibri"/>
                <w:spacing w:val="-1"/>
                <w:sz w:val="18"/>
              </w:rPr>
              <w:t> </w:t>
            </w:r>
            <w:r>
              <w:rPr>
                <w:rFonts w:ascii="Calibri"/>
                <w:spacing w:val="-2"/>
                <w:sz w:val="18"/>
              </w:rPr>
              <w:t>tjera</w:t>
            </w:r>
          </w:p>
        </w:tc>
        <w:tc>
          <w:tcPr>
            <w:tcW w:w="1800" w:type="dxa"/>
            <w:tcBorders>
              <w:left w:val="single" w:sz="6" w:space="0" w:color="000000"/>
              <w:bottom w:val="single" w:sz="6" w:space="0" w:color="000000"/>
            </w:tcBorders>
            <w:shd w:val="clear" w:color="auto" w:fill="EAB8A3"/>
            <w:textDirection w:val="btLr"/>
          </w:tcPr>
          <w:p>
            <w:pPr>
              <w:pStyle w:val="TableParagraph"/>
              <w:spacing w:line="215" w:lineRule="exact"/>
              <w:ind w:left="-37"/>
              <w:rPr>
                <w:rFonts w:ascii="Calibri"/>
                <w:sz w:val="18"/>
              </w:rPr>
            </w:pPr>
            <w:r>
              <w:rPr>
                <w:rFonts w:ascii="Calibri"/>
                <w:spacing w:val="-2"/>
                <w:sz w:val="18"/>
              </w:rPr>
              <w:t>Total</w:t>
            </w:r>
          </w:p>
        </w:tc>
      </w:tr>
      <w:tr>
        <w:trPr>
          <w:trHeight w:val="337" w:hRule="atLeast"/>
        </w:trPr>
        <w:tc>
          <w:tcPr>
            <w:tcW w:w="810" w:type="dxa"/>
            <w:vMerge w:val="restart"/>
            <w:tcBorders>
              <w:top w:val="single" w:sz="6" w:space="0" w:color="000000"/>
              <w:bottom w:val="single" w:sz="6" w:space="0" w:color="000000"/>
              <w:right w:val="single" w:sz="6" w:space="0" w:color="000000"/>
            </w:tcBorders>
          </w:tcPr>
          <w:p>
            <w:pPr>
              <w:pStyle w:val="TableParagraph"/>
              <w:spacing w:before="1"/>
              <w:ind w:left="169" w:hanging="12"/>
              <w:rPr>
                <w:rFonts w:ascii="Calibri"/>
                <w:sz w:val="18"/>
              </w:rPr>
            </w:pPr>
            <w:r>
              <w:rPr>
                <w:rFonts w:ascii="Calibri"/>
                <w:sz w:val="18"/>
              </w:rPr>
              <w:t>Hani</w:t>
            </w:r>
            <w:r>
              <w:rPr>
                <w:rFonts w:ascii="Calibri"/>
                <w:spacing w:val="-11"/>
                <w:sz w:val="18"/>
              </w:rPr>
              <w:t> </w:t>
            </w:r>
            <w:r>
              <w:rPr>
                <w:rFonts w:ascii="Calibri"/>
                <w:sz w:val="18"/>
              </w:rPr>
              <w:t>i </w:t>
            </w:r>
            <w:r>
              <w:rPr>
                <w:rFonts w:ascii="Calibri"/>
                <w:spacing w:val="-2"/>
                <w:sz w:val="18"/>
              </w:rPr>
              <w:t>Elezit</w:t>
            </w:r>
          </w:p>
        </w:tc>
        <w:tc>
          <w:tcPr>
            <w:tcW w:w="360" w:type="dxa"/>
            <w:tcBorders>
              <w:top w:val="single" w:sz="6" w:space="0" w:color="000000"/>
              <w:left w:val="single" w:sz="6" w:space="0" w:color="000000"/>
              <w:bottom w:val="single" w:sz="6" w:space="0" w:color="000000"/>
              <w:right w:val="single" w:sz="6" w:space="0" w:color="000000"/>
            </w:tcBorders>
          </w:tcPr>
          <w:p>
            <w:pPr>
              <w:pStyle w:val="TableParagraph"/>
              <w:spacing w:before="1"/>
              <w:ind w:left="33"/>
              <w:rPr>
                <w:rFonts w:ascii="Calibri"/>
                <w:sz w:val="18"/>
              </w:rPr>
            </w:pPr>
            <w:r>
              <w:rPr>
                <w:rFonts w:ascii="Calibri"/>
                <w:spacing w:val="-5"/>
                <w:sz w:val="18"/>
              </w:rPr>
              <w:t>Nr.</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1"/>
              <w:ind w:left="84" w:right="135"/>
              <w:jc w:val="center"/>
              <w:rPr>
                <w:rFonts w:ascii="Calibri"/>
                <w:sz w:val="18"/>
              </w:rPr>
            </w:pPr>
            <w:r>
              <w:rPr>
                <w:rFonts w:ascii="Calibri"/>
                <w:spacing w:val="-4"/>
                <w:sz w:val="18"/>
              </w:rPr>
              <w:t>1365</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1"/>
              <w:ind w:left="235"/>
              <w:rPr>
                <w:rFonts w:ascii="Calibri"/>
                <w:sz w:val="18"/>
              </w:rPr>
            </w:pPr>
            <w:r>
              <w:rPr>
                <w:rFonts w:ascii="Calibri"/>
                <w:spacing w:val="-5"/>
                <w:sz w:val="18"/>
              </w:rPr>
              <w:t>36</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1"/>
              <w:ind w:left="38" w:right="89"/>
              <w:jc w:val="center"/>
              <w:rPr>
                <w:rFonts w:ascii="Calibri"/>
                <w:sz w:val="18"/>
              </w:rPr>
            </w:pPr>
            <w:r>
              <w:rPr>
                <w:rFonts w:ascii="Calibri"/>
                <w:spacing w:val="-5"/>
                <w:sz w:val="18"/>
              </w:rPr>
              <w:t>560</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1"/>
              <w:ind w:left="38" w:right="89"/>
              <w:jc w:val="center"/>
              <w:rPr>
                <w:rFonts w:ascii="Calibri"/>
                <w:sz w:val="18"/>
              </w:rPr>
            </w:pPr>
            <w:r>
              <w:rPr>
                <w:rFonts w:ascii="Calibri"/>
                <w:spacing w:val="-5"/>
                <w:sz w:val="18"/>
              </w:rPr>
              <w:t>484</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1"/>
              <w:ind w:left="84" w:right="135"/>
              <w:jc w:val="center"/>
              <w:rPr>
                <w:rFonts w:ascii="Calibri"/>
                <w:sz w:val="18"/>
              </w:rPr>
            </w:pPr>
            <w:r>
              <w:rPr>
                <w:rFonts w:ascii="Calibri"/>
                <w:spacing w:val="-5"/>
                <w:sz w:val="18"/>
              </w:rPr>
              <w:t>27</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1"/>
              <w:ind w:left="84" w:right="134"/>
              <w:jc w:val="center"/>
              <w:rPr>
                <w:rFonts w:ascii="Calibri"/>
                <w:sz w:val="18"/>
              </w:rPr>
            </w:pPr>
            <w:r>
              <w:rPr>
                <w:rFonts w:ascii="Calibri"/>
                <w:spacing w:val="-5"/>
                <w:sz w:val="18"/>
              </w:rPr>
              <w:t>303</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1"/>
              <w:ind w:left="39" w:right="88"/>
              <w:jc w:val="center"/>
              <w:rPr>
                <w:rFonts w:ascii="Calibri"/>
                <w:sz w:val="18"/>
              </w:rPr>
            </w:pPr>
            <w:r>
              <w:rPr>
                <w:rFonts w:ascii="Calibri"/>
                <w:spacing w:val="-4"/>
                <w:sz w:val="18"/>
              </w:rPr>
              <w:t>6087</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1"/>
              <w:ind w:left="39" w:right="88"/>
              <w:jc w:val="center"/>
              <w:rPr>
                <w:rFonts w:ascii="Calibri"/>
                <w:sz w:val="18"/>
              </w:rPr>
            </w:pPr>
            <w:r>
              <w:rPr>
                <w:rFonts w:ascii="Calibri"/>
                <w:spacing w:val="-5"/>
                <w:sz w:val="18"/>
              </w:rPr>
              <w:t>541</w:t>
            </w:r>
          </w:p>
        </w:tc>
        <w:tc>
          <w:tcPr>
            <w:tcW w:w="1800" w:type="dxa"/>
            <w:tcBorders>
              <w:top w:val="single" w:sz="6" w:space="0" w:color="000000"/>
              <w:left w:val="single" w:sz="6" w:space="0" w:color="000000"/>
              <w:bottom w:val="single" w:sz="6" w:space="0" w:color="000000"/>
            </w:tcBorders>
          </w:tcPr>
          <w:p>
            <w:pPr>
              <w:pStyle w:val="TableParagraph"/>
              <w:spacing w:before="1"/>
              <w:ind w:left="519" w:right="586"/>
              <w:jc w:val="center"/>
              <w:rPr>
                <w:rFonts w:ascii="Calibri"/>
                <w:sz w:val="18"/>
              </w:rPr>
            </w:pPr>
            <w:r>
              <w:rPr>
                <w:rFonts w:ascii="Calibri"/>
                <w:spacing w:val="-4"/>
                <w:sz w:val="18"/>
              </w:rPr>
              <w:t>9403</w:t>
            </w:r>
          </w:p>
        </w:tc>
      </w:tr>
      <w:tr>
        <w:trPr>
          <w:trHeight w:val="340" w:hRule="atLeast"/>
        </w:trPr>
        <w:tc>
          <w:tcPr>
            <w:tcW w:w="810" w:type="dxa"/>
            <w:vMerge/>
            <w:tcBorders>
              <w:top w:val="nil"/>
              <w:bottom w:val="single" w:sz="6" w:space="0" w:color="000000"/>
              <w:right w:val="single" w:sz="6" w:space="0" w:color="000000"/>
            </w:tcBorders>
          </w:tcPr>
          <w:p>
            <w:pPr>
              <w:rPr>
                <w:sz w:val="2"/>
                <w:szCs w:val="2"/>
              </w:rPr>
            </w:pPr>
          </w:p>
        </w:tc>
        <w:tc>
          <w:tcPr>
            <w:tcW w:w="360" w:type="dxa"/>
            <w:tcBorders>
              <w:top w:val="single" w:sz="6" w:space="0" w:color="000000"/>
              <w:left w:val="single" w:sz="6" w:space="0" w:color="000000"/>
              <w:bottom w:val="single" w:sz="6" w:space="0" w:color="000000"/>
              <w:right w:val="single" w:sz="6" w:space="0" w:color="000000"/>
            </w:tcBorders>
          </w:tcPr>
          <w:p>
            <w:pPr>
              <w:pStyle w:val="TableParagraph"/>
              <w:ind w:left="81"/>
              <w:rPr>
                <w:rFonts w:ascii="Calibri"/>
                <w:sz w:val="18"/>
              </w:rPr>
            </w:pPr>
            <w:r>
              <w:rPr>
                <w:rFonts w:ascii="Calibri"/>
                <w:sz w:val="18"/>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5"/>
              <w:jc w:val="center"/>
              <w:rPr>
                <w:rFonts w:ascii="Calibri"/>
                <w:sz w:val="18"/>
              </w:rPr>
            </w:pPr>
            <w:r>
              <w:rPr>
                <w:rFonts w:ascii="Calibri"/>
                <w:spacing w:val="-4"/>
                <w:sz w:val="18"/>
              </w:rPr>
              <w:t>14.5</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12"/>
              <w:rPr>
                <w:rFonts w:ascii="Calibri"/>
                <w:sz w:val="18"/>
              </w:rPr>
            </w:pPr>
            <w:r>
              <w:rPr>
                <w:rFonts w:ascii="Calibri"/>
                <w:spacing w:val="-5"/>
                <w:sz w:val="18"/>
              </w:rPr>
              <w:t>0.4</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9"/>
              <w:jc w:val="center"/>
              <w:rPr>
                <w:rFonts w:ascii="Calibri"/>
                <w:sz w:val="18"/>
              </w:rPr>
            </w:pPr>
            <w:r>
              <w:rPr>
                <w:rFonts w:ascii="Calibri"/>
                <w:spacing w:val="-5"/>
                <w:sz w:val="18"/>
              </w:rPr>
              <w:t>6.0</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9"/>
              <w:jc w:val="center"/>
              <w:rPr>
                <w:rFonts w:ascii="Calibri"/>
                <w:sz w:val="18"/>
              </w:rPr>
            </w:pPr>
            <w:r>
              <w:rPr>
                <w:rFonts w:ascii="Calibri"/>
                <w:spacing w:val="-5"/>
                <w:sz w:val="18"/>
              </w:rPr>
              <w:t>5.8</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5"/>
              <w:jc w:val="center"/>
              <w:rPr>
                <w:rFonts w:ascii="Calibri"/>
                <w:sz w:val="18"/>
              </w:rPr>
            </w:pPr>
            <w:r>
              <w:rPr>
                <w:rFonts w:ascii="Calibri"/>
                <w:spacing w:val="-5"/>
                <w:sz w:val="18"/>
              </w:rPr>
              <w:t>0.3</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4"/>
              <w:jc w:val="center"/>
              <w:rPr>
                <w:rFonts w:ascii="Calibri"/>
                <w:sz w:val="18"/>
              </w:rPr>
            </w:pPr>
            <w:r>
              <w:rPr>
                <w:rFonts w:ascii="Calibri"/>
                <w:spacing w:val="-5"/>
                <w:sz w:val="18"/>
              </w:rPr>
              <w:t>3.2</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8"/>
              <w:jc w:val="center"/>
              <w:rPr>
                <w:rFonts w:ascii="Calibri"/>
                <w:sz w:val="18"/>
              </w:rPr>
            </w:pPr>
            <w:r>
              <w:rPr>
                <w:rFonts w:ascii="Calibri"/>
                <w:spacing w:val="-4"/>
                <w:sz w:val="18"/>
              </w:rPr>
              <w:t>64.7</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8"/>
              <w:jc w:val="center"/>
              <w:rPr>
                <w:rFonts w:ascii="Calibri"/>
                <w:sz w:val="18"/>
              </w:rPr>
            </w:pPr>
            <w:r>
              <w:rPr>
                <w:rFonts w:ascii="Calibri"/>
                <w:spacing w:val="-5"/>
                <w:sz w:val="18"/>
              </w:rPr>
              <w:t>5.8</w:t>
            </w:r>
          </w:p>
        </w:tc>
        <w:tc>
          <w:tcPr>
            <w:tcW w:w="1800" w:type="dxa"/>
            <w:tcBorders>
              <w:top w:val="single" w:sz="6" w:space="0" w:color="000000"/>
              <w:left w:val="single" w:sz="6" w:space="0" w:color="000000"/>
              <w:bottom w:val="single" w:sz="6" w:space="0" w:color="000000"/>
            </w:tcBorders>
          </w:tcPr>
          <w:p>
            <w:pPr>
              <w:pStyle w:val="TableParagraph"/>
              <w:ind w:left="519" w:right="586"/>
              <w:jc w:val="center"/>
              <w:rPr>
                <w:rFonts w:ascii="Calibri"/>
                <w:sz w:val="18"/>
              </w:rPr>
            </w:pPr>
            <w:r>
              <w:rPr>
                <w:rFonts w:ascii="Calibri"/>
                <w:spacing w:val="-5"/>
                <w:sz w:val="18"/>
              </w:rPr>
              <w:t>100</w:t>
            </w:r>
          </w:p>
        </w:tc>
      </w:tr>
      <w:tr>
        <w:trPr>
          <w:trHeight w:val="309" w:hRule="atLeast"/>
        </w:trPr>
        <w:tc>
          <w:tcPr>
            <w:tcW w:w="810" w:type="dxa"/>
            <w:vMerge w:val="restart"/>
            <w:tcBorders>
              <w:top w:val="single" w:sz="6" w:space="0" w:color="000000"/>
              <w:right w:val="single" w:sz="6" w:space="0" w:color="000000"/>
            </w:tcBorders>
          </w:tcPr>
          <w:p>
            <w:pPr>
              <w:pStyle w:val="TableParagraph"/>
              <w:ind w:left="104"/>
              <w:rPr>
                <w:rFonts w:ascii="Calibri"/>
                <w:sz w:val="18"/>
              </w:rPr>
            </w:pPr>
            <w:r>
              <w:rPr>
                <w:rFonts w:ascii="Calibri"/>
                <w:spacing w:val="-2"/>
                <w:sz w:val="18"/>
              </w:rPr>
              <w:t>Kosova</w:t>
            </w:r>
          </w:p>
        </w:tc>
        <w:tc>
          <w:tcPr>
            <w:tcW w:w="360" w:type="dxa"/>
            <w:tcBorders>
              <w:top w:val="single" w:sz="6" w:space="0" w:color="000000"/>
              <w:left w:val="single" w:sz="6" w:space="0" w:color="000000"/>
              <w:bottom w:val="single" w:sz="6" w:space="0" w:color="000000"/>
              <w:right w:val="single" w:sz="6" w:space="0" w:color="000000"/>
            </w:tcBorders>
          </w:tcPr>
          <w:p>
            <w:pPr>
              <w:pStyle w:val="TableParagraph"/>
              <w:ind w:left="33"/>
              <w:rPr>
                <w:rFonts w:ascii="Calibri"/>
                <w:sz w:val="18"/>
              </w:rPr>
            </w:pPr>
            <w:r>
              <w:rPr>
                <w:rFonts w:ascii="Calibri"/>
                <w:spacing w:val="-5"/>
                <w:sz w:val="18"/>
              </w:rPr>
              <w:t>Nr.</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5"/>
              <w:jc w:val="center"/>
              <w:rPr>
                <w:rFonts w:ascii="Calibri"/>
                <w:sz w:val="18"/>
              </w:rPr>
            </w:pPr>
            <w:r>
              <w:rPr>
                <w:rFonts w:ascii="Calibri"/>
                <w:spacing w:val="-2"/>
                <w:sz w:val="18"/>
              </w:rPr>
              <w:t>390281</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44"/>
              <w:rPr>
                <w:rFonts w:ascii="Calibri"/>
                <w:sz w:val="18"/>
              </w:rPr>
            </w:pPr>
            <w:r>
              <w:rPr>
                <w:rFonts w:ascii="Calibri"/>
                <w:spacing w:val="-4"/>
                <w:sz w:val="18"/>
              </w:rPr>
              <w:t>6330</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8" w:right="89"/>
              <w:jc w:val="center"/>
              <w:rPr>
                <w:rFonts w:ascii="Calibri"/>
                <w:sz w:val="18"/>
              </w:rPr>
            </w:pPr>
            <w:r>
              <w:rPr>
                <w:rFonts w:ascii="Calibri"/>
                <w:spacing w:val="-2"/>
                <w:sz w:val="18"/>
              </w:rPr>
              <w:t>112020</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8" w:right="89"/>
              <w:jc w:val="center"/>
              <w:rPr>
                <w:rFonts w:ascii="Calibri"/>
                <w:sz w:val="18"/>
              </w:rPr>
            </w:pPr>
            <w:r>
              <w:rPr>
                <w:rFonts w:ascii="Calibri"/>
                <w:spacing w:val="-2"/>
                <w:sz w:val="18"/>
              </w:rPr>
              <w:t>84683</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5"/>
              <w:jc w:val="center"/>
              <w:rPr>
                <w:rFonts w:ascii="Calibri"/>
                <w:sz w:val="18"/>
              </w:rPr>
            </w:pPr>
            <w:r>
              <w:rPr>
                <w:rFonts w:ascii="Calibri"/>
                <w:spacing w:val="-4"/>
                <w:sz w:val="18"/>
              </w:rPr>
              <w:t>7102</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84" w:right="134"/>
              <w:jc w:val="center"/>
              <w:rPr>
                <w:rFonts w:ascii="Calibri"/>
                <w:sz w:val="18"/>
              </w:rPr>
            </w:pPr>
            <w:r>
              <w:rPr>
                <w:rFonts w:ascii="Calibri"/>
                <w:spacing w:val="-2"/>
                <w:sz w:val="18"/>
              </w:rPr>
              <w:t>92317</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8"/>
              <w:jc w:val="center"/>
              <w:rPr>
                <w:rFonts w:ascii="Calibri"/>
                <w:sz w:val="18"/>
              </w:rPr>
            </w:pPr>
            <w:r>
              <w:rPr>
                <w:rFonts w:ascii="Calibri"/>
                <w:spacing w:val="-2"/>
                <w:sz w:val="18"/>
              </w:rPr>
              <w:t>922464</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39" w:right="88"/>
              <w:jc w:val="center"/>
              <w:rPr>
                <w:rFonts w:ascii="Calibri"/>
                <w:sz w:val="18"/>
              </w:rPr>
            </w:pPr>
            <w:r>
              <w:rPr>
                <w:rFonts w:ascii="Calibri"/>
                <w:spacing w:val="-2"/>
                <w:sz w:val="18"/>
              </w:rPr>
              <w:t>124628</w:t>
            </w:r>
          </w:p>
        </w:tc>
        <w:tc>
          <w:tcPr>
            <w:tcW w:w="1800" w:type="dxa"/>
            <w:tcBorders>
              <w:top w:val="single" w:sz="6" w:space="0" w:color="000000"/>
              <w:left w:val="single" w:sz="6" w:space="0" w:color="000000"/>
              <w:bottom w:val="single" w:sz="6" w:space="0" w:color="000000"/>
            </w:tcBorders>
          </w:tcPr>
          <w:p>
            <w:pPr>
              <w:pStyle w:val="TableParagraph"/>
              <w:ind w:left="519" w:right="586"/>
              <w:jc w:val="center"/>
              <w:rPr>
                <w:rFonts w:ascii="Calibri"/>
                <w:sz w:val="18"/>
              </w:rPr>
            </w:pPr>
            <w:r>
              <w:rPr>
                <w:rFonts w:ascii="Calibri"/>
                <w:spacing w:val="-2"/>
                <w:sz w:val="18"/>
              </w:rPr>
              <w:t>1739825</w:t>
            </w:r>
          </w:p>
        </w:tc>
      </w:tr>
      <w:tr>
        <w:trPr>
          <w:trHeight w:val="342" w:hRule="atLeast"/>
        </w:trPr>
        <w:tc>
          <w:tcPr>
            <w:tcW w:w="810" w:type="dxa"/>
            <w:vMerge/>
            <w:tcBorders>
              <w:top w:val="nil"/>
              <w:right w:val="single" w:sz="6" w:space="0" w:color="000000"/>
            </w:tcBorders>
          </w:tcPr>
          <w:p>
            <w:pPr>
              <w:rPr>
                <w:sz w:val="2"/>
                <w:szCs w:val="2"/>
              </w:rPr>
            </w:pPr>
          </w:p>
        </w:tc>
        <w:tc>
          <w:tcPr>
            <w:tcW w:w="360" w:type="dxa"/>
            <w:tcBorders>
              <w:top w:val="single" w:sz="6" w:space="0" w:color="000000"/>
              <w:left w:val="single" w:sz="6" w:space="0" w:color="000000"/>
              <w:right w:val="single" w:sz="6" w:space="0" w:color="000000"/>
            </w:tcBorders>
          </w:tcPr>
          <w:p>
            <w:pPr>
              <w:pStyle w:val="TableParagraph"/>
              <w:spacing w:before="15"/>
              <w:ind w:left="81"/>
              <w:rPr>
                <w:rFonts w:ascii="Calibri"/>
                <w:sz w:val="18"/>
              </w:rPr>
            </w:pPr>
            <w:r>
              <w:rPr>
                <w:rFonts w:ascii="Calibri"/>
                <w:sz w:val="18"/>
              </w:rPr>
              <w:t>%</w:t>
            </w:r>
          </w:p>
        </w:tc>
        <w:tc>
          <w:tcPr>
            <w:tcW w:w="810" w:type="dxa"/>
            <w:tcBorders>
              <w:top w:val="single" w:sz="6" w:space="0" w:color="000000"/>
              <w:left w:val="single" w:sz="6" w:space="0" w:color="000000"/>
              <w:right w:val="single" w:sz="6" w:space="0" w:color="000000"/>
            </w:tcBorders>
          </w:tcPr>
          <w:p>
            <w:pPr>
              <w:pStyle w:val="TableParagraph"/>
              <w:spacing w:before="15"/>
              <w:ind w:left="84" w:right="135"/>
              <w:jc w:val="center"/>
              <w:rPr>
                <w:rFonts w:ascii="Calibri"/>
                <w:sz w:val="18"/>
              </w:rPr>
            </w:pPr>
            <w:r>
              <w:rPr>
                <w:rFonts w:ascii="Calibri"/>
                <w:spacing w:val="-4"/>
                <w:sz w:val="18"/>
              </w:rPr>
              <w:t>22.4</w:t>
            </w:r>
          </w:p>
        </w:tc>
        <w:tc>
          <w:tcPr>
            <w:tcW w:w="720" w:type="dxa"/>
            <w:tcBorders>
              <w:top w:val="single" w:sz="6" w:space="0" w:color="000000"/>
              <w:left w:val="single" w:sz="6" w:space="0" w:color="000000"/>
              <w:right w:val="single" w:sz="6" w:space="0" w:color="000000"/>
            </w:tcBorders>
          </w:tcPr>
          <w:p>
            <w:pPr>
              <w:pStyle w:val="TableParagraph"/>
              <w:spacing w:before="15"/>
              <w:ind w:left="212"/>
              <w:rPr>
                <w:rFonts w:ascii="Calibri"/>
                <w:sz w:val="18"/>
              </w:rPr>
            </w:pPr>
            <w:r>
              <w:rPr>
                <w:rFonts w:ascii="Calibri"/>
                <w:spacing w:val="-5"/>
                <w:sz w:val="18"/>
              </w:rPr>
              <w:t>0.4</w:t>
            </w:r>
          </w:p>
        </w:tc>
        <w:tc>
          <w:tcPr>
            <w:tcW w:w="720" w:type="dxa"/>
            <w:tcBorders>
              <w:top w:val="single" w:sz="6" w:space="0" w:color="000000"/>
              <w:left w:val="single" w:sz="6" w:space="0" w:color="000000"/>
              <w:right w:val="single" w:sz="6" w:space="0" w:color="000000"/>
            </w:tcBorders>
          </w:tcPr>
          <w:p>
            <w:pPr>
              <w:pStyle w:val="TableParagraph"/>
              <w:spacing w:before="15"/>
              <w:ind w:left="39" w:right="89"/>
              <w:jc w:val="center"/>
              <w:rPr>
                <w:rFonts w:ascii="Calibri"/>
                <w:sz w:val="18"/>
              </w:rPr>
            </w:pPr>
            <w:r>
              <w:rPr>
                <w:rFonts w:ascii="Calibri"/>
                <w:spacing w:val="-5"/>
                <w:sz w:val="18"/>
              </w:rPr>
              <w:t>6.4</w:t>
            </w:r>
          </w:p>
        </w:tc>
        <w:tc>
          <w:tcPr>
            <w:tcW w:w="720" w:type="dxa"/>
            <w:tcBorders>
              <w:top w:val="single" w:sz="6" w:space="0" w:color="000000"/>
              <w:left w:val="single" w:sz="6" w:space="0" w:color="000000"/>
              <w:right w:val="single" w:sz="6" w:space="0" w:color="000000"/>
            </w:tcBorders>
          </w:tcPr>
          <w:p>
            <w:pPr>
              <w:pStyle w:val="TableParagraph"/>
              <w:spacing w:before="15"/>
              <w:ind w:left="39" w:right="89"/>
              <w:jc w:val="center"/>
              <w:rPr>
                <w:rFonts w:ascii="Calibri"/>
                <w:sz w:val="18"/>
              </w:rPr>
            </w:pPr>
            <w:r>
              <w:rPr>
                <w:rFonts w:ascii="Calibri"/>
                <w:spacing w:val="-5"/>
                <w:sz w:val="18"/>
              </w:rPr>
              <w:t>5.2</w:t>
            </w:r>
          </w:p>
        </w:tc>
        <w:tc>
          <w:tcPr>
            <w:tcW w:w="810" w:type="dxa"/>
            <w:tcBorders>
              <w:top w:val="single" w:sz="6" w:space="0" w:color="000000"/>
              <w:left w:val="single" w:sz="6" w:space="0" w:color="000000"/>
              <w:right w:val="single" w:sz="6" w:space="0" w:color="000000"/>
            </w:tcBorders>
          </w:tcPr>
          <w:p>
            <w:pPr>
              <w:pStyle w:val="TableParagraph"/>
              <w:spacing w:before="15"/>
              <w:ind w:left="84" w:right="135"/>
              <w:jc w:val="center"/>
              <w:rPr>
                <w:rFonts w:ascii="Calibri"/>
                <w:sz w:val="18"/>
              </w:rPr>
            </w:pPr>
            <w:r>
              <w:rPr>
                <w:rFonts w:ascii="Calibri"/>
                <w:spacing w:val="-5"/>
                <w:sz w:val="18"/>
              </w:rPr>
              <w:t>0.4</w:t>
            </w:r>
          </w:p>
        </w:tc>
        <w:tc>
          <w:tcPr>
            <w:tcW w:w="810" w:type="dxa"/>
            <w:tcBorders>
              <w:top w:val="single" w:sz="6" w:space="0" w:color="000000"/>
              <w:left w:val="single" w:sz="6" w:space="0" w:color="000000"/>
              <w:right w:val="single" w:sz="6" w:space="0" w:color="000000"/>
            </w:tcBorders>
          </w:tcPr>
          <w:p>
            <w:pPr>
              <w:pStyle w:val="TableParagraph"/>
              <w:spacing w:before="15"/>
              <w:ind w:left="84" w:right="134"/>
              <w:jc w:val="center"/>
              <w:rPr>
                <w:rFonts w:ascii="Calibri"/>
                <w:sz w:val="18"/>
              </w:rPr>
            </w:pPr>
            <w:r>
              <w:rPr>
                <w:rFonts w:ascii="Calibri"/>
                <w:spacing w:val="-5"/>
                <w:sz w:val="18"/>
              </w:rPr>
              <w:t>5.3</w:t>
            </w:r>
          </w:p>
        </w:tc>
        <w:tc>
          <w:tcPr>
            <w:tcW w:w="720" w:type="dxa"/>
            <w:tcBorders>
              <w:top w:val="single" w:sz="6" w:space="0" w:color="000000"/>
              <w:left w:val="single" w:sz="6" w:space="0" w:color="000000"/>
              <w:right w:val="single" w:sz="6" w:space="0" w:color="000000"/>
            </w:tcBorders>
          </w:tcPr>
          <w:p>
            <w:pPr>
              <w:pStyle w:val="TableParagraph"/>
              <w:spacing w:before="15"/>
              <w:ind w:left="39" w:right="88"/>
              <w:jc w:val="center"/>
              <w:rPr>
                <w:rFonts w:ascii="Calibri"/>
                <w:sz w:val="18"/>
              </w:rPr>
            </w:pPr>
            <w:r>
              <w:rPr>
                <w:rFonts w:ascii="Calibri"/>
                <w:spacing w:val="-5"/>
                <w:sz w:val="18"/>
              </w:rPr>
              <w:t>53</w:t>
            </w:r>
          </w:p>
        </w:tc>
        <w:tc>
          <w:tcPr>
            <w:tcW w:w="720" w:type="dxa"/>
            <w:tcBorders>
              <w:top w:val="single" w:sz="6" w:space="0" w:color="000000"/>
              <w:left w:val="single" w:sz="6" w:space="0" w:color="000000"/>
              <w:right w:val="single" w:sz="6" w:space="0" w:color="000000"/>
            </w:tcBorders>
          </w:tcPr>
          <w:p>
            <w:pPr>
              <w:pStyle w:val="TableParagraph"/>
              <w:spacing w:before="15"/>
              <w:ind w:left="39" w:right="88"/>
              <w:jc w:val="center"/>
              <w:rPr>
                <w:rFonts w:ascii="Calibri"/>
                <w:sz w:val="18"/>
              </w:rPr>
            </w:pPr>
            <w:r>
              <w:rPr>
                <w:rFonts w:ascii="Calibri"/>
                <w:spacing w:val="-5"/>
                <w:sz w:val="18"/>
              </w:rPr>
              <w:t>7.2</w:t>
            </w:r>
          </w:p>
        </w:tc>
        <w:tc>
          <w:tcPr>
            <w:tcW w:w="1800" w:type="dxa"/>
            <w:tcBorders>
              <w:top w:val="single" w:sz="6" w:space="0" w:color="000000"/>
              <w:left w:val="single" w:sz="6" w:space="0" w:color="000000"/>
            </w:tcBorders>
          </w:tcPr>
          <w:p>
            <w:pPr>
              <w:pStyle w:val="TableParagraph"/>
              <w:spacing w:before="15"/>
              <w:ind w:left="519" w:right="586"/>
              <w:jc w:val="center"/>
              <w:rPr>
                <w:rFonts w:ascii="Calibri"/>
                <w:sz w:val="18"/>
              </w:rPr>
            </w:pPr>
            <w:r>
              <w:rPr>
                <w:rFonts w:ascii="Calibri"/>
                <w:spacing w:val="-5"/>
                <w:sz w:val="18"/>
              </w:rPr>
              <w:t>100</w:t>
            </w:r>
          </w:p>
        </w:tc>
      </w:tr>
    </w:tbl>
    <w:p>
      <w:pPr>
        <w:spacing w:before="0"/>
        <w:ind w:left="0" w:right="5" w:firstLine="0"/>
        <w:jc w:val="center"/>
        <w:rPr>
          <w:sz w:val="24"/>
        </w:rPr>
      </w:pPr>
      <w:r>
        <w:rPr>
          <w:b/>
          <w:sz w:val="24"/>
        </w:rPr>
        <w:t>Tabela</w:t>
      </w:r>
      <w:r>
        <w:rPr>
          <w:b/>
          <w:spacing w:val="-7"/>
          <w:sz w:val="24"/>
        </w:rPr>
        <w:t> </w:t>
      </w:r>
      <w:r>
        <w:rPr>
          <w:b/>
          <w:sz w:val="24"/>
        </w:rPr>
        <w:t>8:</w:t>
      </w:r>
      <w:r>
        <w:rPr>
          <w:b/>
          <w:spacing w:val="-6"/>
          <w:sz w:val="24"/>
        </w:rPr>
        <w:t> </w:t>
      </w:r>
      <w:r>
        <w:rPr>
          <w:sz w:val="24"/>
        </w:rPr>
        <w:t>Burimet</w:t>
      </w:r>
      <w:r>
        <w:rPr>
          <w:spacing w:val="-7"/>
          <w:sz w:val="24"/>
        </w:rPr>
        <w:t> </w:t>
      </w:r>
      <w:r>
        <w:rPr>
          <w:sz w:val="24"/>
        </w:rPr>
        <w:t>kryesore</w:t>
      </w:r>
      <w:r>
        <w:rPr>
          <w:spacing w:val="-7"/>
          <w:sz w:val="24"/>
        </w:rPr>
        <w:t> </w:t>
      </w:r>
      <w:r>
        <w:rPr>
          <w:sz w:val="24"/>
        </w:rPr>
        <w:t>të</w:t>
      </w:r>
      <w:r>
        <w:rPr>
          <w:spacing w:val="-6"/>
          <w:sz w:val="24"/>
        </w:rPr>
        <w:t> </w:t>
      </w:r>
      <w:r>
        <w:rPr>
          <w:spacing w:val="-2"/>
          <w:sz w:val="24"/>
        </w:rPr>
        <w:t>jetesës</w:t>
      </w:r>
    </w:p>
    <w:p>
      <w:pPr>
        <w:spacing w:after="0"/>
        <w:jc w:val="center"/>
        <w:rPr>
          <w:sz w:val="24"/>
        </w:rPr>
        <w:sectPr>
          <w:pgSz w:w="12240" w:h="15840"/>
          <w:pgMar w:header="0" w:footer="990" w:top="1420" w:bottom="1180" w:left="700" w:right="0"/>
        </w:sectPr>
      </w:pPr>
    </w:p>
    <w:p>
      <w:pPr>
        <w:pStyle w:val="BodyText"/>
        <w:spacing w:before="60"/>
        <w:ind w:left="740" w:right="1436"/>
        <w:jc w:val="both"/>
      </w:pPr>
      <w:r>
        <w:rPr/>
        <w:t>Sipas</w:t>
      </w:r>
      <w:r>
        <w:rPr>
          <w:spacing w:val="-11"/>
        </w:rPr>
        <w:t> </w:t>
      </w:r>
      <w:r>
        <w:rPr/>
        <w:t>regjistrimit</w:t>
      </w:r>
      <w:r>
        <w:rPr>
          <w:spacing w:val="-13"/>
        </w:rPr>
        <w:t> </w:t>
      </w:r>
      <w:r>
        <w:rPr/>
        <w:t>të</w:t>
      </w:r>
      <w:r>
        <w:rPr>
          <w:spacing w:val="-11"/>
        </w:rPr>
        <w:t> </w:t>
      </w:r>
      <w:r>
        <w:rPr/>
        <w:t>vitit</w:t>
      </w:r>
      <w:r>
        <w:rPr>
          <w:spacing w:val="-13"/>
        </w:rPr>
        <w:t> </w:t>
      </w:r>
      <w:r>
        <w:rPr/>
        <w:t>2011</w:t>
      </w:r>
      <w:r>
        <w:rPr>
          <w:spacing w:val="-12"/>
        </w:rPr>
        <w:t> </w:t>
      </w:r>
      <w:r>
        <w:rPr/>
        <w:t>numri</w:t>
      </w:r>
      <w:r>
        <w:rPr>
          <w:spacing w:val="-13"/>
        </w:rPr>
        <w:t> </w:t>
      </w:r>
      <w:r>
        <w:rPr/>
        <w:t>i</w:t>
      </w:r>
      <w:r>
        <w:rPr>
          <w:spacing w:val="-13"/>
        </w:rPr>
        <w:t> </w:t>
      </w:r>
      <w:r>
        <w:rPr/>
        <w:t>popullsisë</w:t>
      </w:r>
      <w:r>
        <w:rPr>
          <w:spacing w:val="-11"/>
        </w:rPr>
        <w:t> </w:t>
      </w:r>
      <w:r>
        <w:rPr/>
        <w:t>së</w:t>
      </w:r>
      <w:r>
        <w:rPr>
          <w:spacing w:val="-12"/>
        </w:rPr>
        <w:t> </w:t>
      </w:r>
      <w:r>
        <w:rPr/>
        <w:t>aftë</w:t>
      </w:r>
      <w:r>
        <w:rPr>
          <w:spacing w:val="-12"/>
        </w:rPr>
        <w:t> </w:t>
      </w:r>
      <w:r>
        <w:rPr/>
        <w:t>për</w:t>
      </w:r>
      <w:r>
        <w:rPr>
          <w:spacing w:val="-12"/>
        </w:rPr>
        <w:t> </w:t>
      </w:r>
      <w:r>
        <w:rPr/>
        <w:t>punë</w:t>
      </w:r>
      <w:r>
        <w:rPr>
          <w:spacing w:val="-12"/>
        </w:rPr>
        <w:t> </w:t>
      </w:r>
      <w:r>
        <w:rPr/>
        <w:t>(15-65</w:t>
      </w:r>
      <w:r>
        <w:rPr>
          <w:spacing w:val="-12"/>
        </w:rPr>
        <w:t> </w:t>
      </w:r>
      <w:r>
        <w:rPr/>
        <w:t>vjeç)</w:t>
      </w:r>
      <w:r>
        <w:rPr>
          <w:spacing w:val="-12"/>
        </w:rPr>
        <w:t> </w:t>
      </w:r>
      <w:r>
        <w:rPr/>
        <w:t>në</w:t>
      </w:r>
      <w:r>
        <w:rPr>
          <w:spacing w:val="-12"/>
        </w:rPr>
        <w:t> </w:t>
      </w:r>
      <w:r>
        <w:rPr/>
        <w:t>Komunën</w:t>
      </w:r>
      <w:r>
        <w:rPr>
          <w:spacing w:val="-12"/>
        </w:rPr>
        <w:t> </w:t>
      </w:r>
      <w:r>
        <w:rPr/>
        <w:t>e</w:t>
      </w:r>
      <w:r>
        <w:rPr>
          <w:spacing w:val="-12"/>
        </w:rPr>
        <w:t> </w:t>
      </w:r>
      <w:r>
        <w:rPr/>
        <w:t>Hanit të Elezit</w:t>
      </w:r>
      <w:r>
        <w:rPr>
          <w:spacing w:val="40"/>
        </w:rPr>
        <w:t> </w:t>
      </w:r>
      <w:r>
        <w:rPr/>
        <w:t>ishte 6101. Sipas të dhënave zyrtare nga Drejtoria e Zhvillimit Ekonomik, numri i të punësuarve</w:t>
      </w:r>
      <w:r>
        <w:rPr>
          <w:spacing w:val="-7"/>
        </w:rPr>
        <w:t> </w:t>
      </w:r>
      <w:r>
        <w:rPr/>
        <w:t>në</w:t>
      </w:r>
      <w:r>
        <w:rPr>
          <w:spacing w:val="-6"/>
        </w:rPr>
        <w:t> </w:t>
      </w:r>
      <w:r>
        <w:rPr/>
        <w:t>ndërmarrjet</w:t>
      </w:r>
      <w:r>
        <w:rPr>
          <w:spacing w:val="-5"/>
        </w:rPr>
        <w:t> </w:t>
      </w:r>
      <w:r>
        <w:rPr/>
        <w:t>(publike/</w:t>
      </w:r>
      <w:r>
        <w:rPr>
          <w:spacing w:val="-6"/>
        </w:rPr>
        <w:t> </w:t>
      </w:r>
      <w:r>
        <w:rPr/>
        <w:t>private)</w:t>
      </w:r>
      <w:r>
        <w:rPr>
          <w:spacing w:val="-5"/>
        </w:rPr>
        <w:t> </w:t>
      </w:r>
      <w:r>
        <w:rPr/>
        <w:t>dhe</w:t>
      </w:r>
      <w:r>
        <w:rPr>
          <w:spacing w:val="-7"/>
        </w:rPr>
        <w:t> </w:t>
      </w:r>
      <w:r>
        <w:rPr/>
        <w:t>administratën</w:t>
      </w:r>
      <w:r>
        <w:rPr>
          <w:spacing w:val="-6"/>
        </w:rPr>
        <w:t> </w:t>
      </w:r>
      <w:r>
        <w:rPr/>
        <w:t>lokale/</w:t>
      </w:r>
      <w:r>
        <w:rPr>
          <w:spacing w:val="-6"/>
        </w:rPr>
        <w:t> </w:t>
      </w:r>
      <w:r>
        <w:rPr/>
        <w:t>qendrore</w:t>
      </w:r>
      <w:r>
        <w:rPr>
          <w:spacing w:val="-6"/>
        </w:rPr>
        <w:t> </w:t>
      </w:r>
      <w:r>
        <w:rPr/>
        <w:t>brenda</w:t>
      </w:r>
      <w:r>
        <w:rPr>
          <w:spacing w:val="-6"/>
        </w:rPr>
        <w:t> </w:t>
      </w:r>
      <w:r>
        <w:rPr/>
        <w:t>Komunës së Hanit të Elezit është 1024, që përfshinë vetëm rreth 17% të popullsisë së aftë për punë (15-64 vjeç). Nga ky numër, 272 janë të punësuar në administratë dhe ndërmarrje publike, ndërsa tjerët në</w:t>
      </w:r>
      <w:r>
        <w:rPr>
          <w:spacing w:val="-13"/>
        </w:rPr>
        <w:t> </w:t>
      </w:r>
      <w:r>
        <w:rPr/>
        <w:t>sektorin</w:t>
      </w:r>
      <w:r>
        <w:rPr>
          <w:spacing w:val="-13"/>
        </w:rPr>
        <w:t> </w:t>
      </w:r>
      <w:r>
        <w:rPr/>
        <w:t>privat</w:t>
      </w:r>
      <w:r>
        <w:rPr>
          <w:spacing w:val="-13"/>
        </w:rPr>
        <w:t> </w:t>
      </w:r>
      <w:r>
        <w:rPr/>
        <w:t>(752).</w:t>
      </w:r>
      <w:r>
        <w:rPr>
          <w:spacing w:val="-13"/>
        </w:rPr>
        <w:t> </w:t>
      </w:r>
      <w:r>
        <w:rPr/>
        <w:t>Nëse</w:t>
      </w:r>
      <w:r>
        <w:rPr>
          <w:spacing w:val="-13"/>
        </w:rPr>
        <w:t> </w:t>
      </w:r>
      <w:r>
        <w:rPr/>
        <w:t>krahasohet</w:t>
      </w:r>
      <w:r>
        <w:rPr>
          <w:spacing w:val="-13"/>
        </w:rPr>
        <w:t> </w:t>
      </w:r>
      <w:r>
        <w:rPr/>
        <w:t>numri</w:t>
      </w:r>
      <w:r>
        <w:rPr>
          <w:spacing w:val="-13"/>
        </w:rPr>
        <w:t> </w:t>
      </w:r>
      <w:r>
        <w:rPr/>
        <w:t>i</w:t>
      </w:r>
      <w:r>
        <w:rPr>
          <w:spacing w:val="-14"/>
        </w:rPr>
        <w:t> </w:t>
      </w:r>
      <w:r>
        <w:rPr/>
        <w:t>të</w:t>
      </w:r>
      <w:r>
        <w:rPr>
          <w:spacing w:val="-13"/>
        </w:rPr>
        <w:t> </w:t>
      </w:r>
      <w:r>
        <w:rPr/>
        <w:t>punësuarve</w:t>
      </w:r>
      <w:r>
        <w:rPr>
          <w:spacing w:val="-14"/>
        </w:rPr>
        <w:t> </w:t>
      </w:r>
      <w:r>
        <w:rPr/>
        <w:t>me</w:t>
      </w:r>
      <w:r>
        <w:rPr>
          <w:spacing w:val="-13"/>
        </w:rPr>
        <w:t> </w:t>
      </w:r>
      <w:r>
        <w:rPr/>
        <w:t>numrin</w:t>
      </w:r>
      <w:r>
        <w:rPr>
          <w:spacing w:val="-14"/>
        </w:rPr>
        <w:t> </w:t>
      </w:r>
      <w:r>
        <w:rPr/>
        <w:t>e</w:t>
      </w:r>
      <w:r>
        <w:rPr>
          <w:spacing w:val="-13"/>
        </w:rPr>
        <w:t> </w:t>
      </w:r>
      <w:r>
        <w:rPr/>
        <w:t>ndërmarrjeve</w:t>
      </w:r>
      <w:r>
        <w:rPr>
          <w:spacing w:val="-13"/>
        </w:rPr>
        <w:t> </w:t>
      </w:r>
      <w:r>
        <w:rPr/>
        <w:t>private, madhësia mesatare e ndërmarrjes del të jetë 3.13 punëtorë, që është vlerë e ulët.</w:t>
      </w:r>
    </w:p>
    <w:p>
      <w:pPr>
        <w:pStyle w:val="BodyText"/>
        <w:spacing w:before="201"/>
        <w:ind w:left="740" w:right="1437"/>
        <w:jc w:val="both"/>
      </w:pPr>
      <w:r>
        <w:rPr/>
        <w:t>Megjithatë,</w:t>
      </w:r>
      <w:r>
        <w:rPr/>
        <w:t> për</w:t>
      </w:r>
      <w:r>
        <w:rPr/>
        <w:t> shkak</w:t>
      </w:r>
      <w:r>
        <w:rPr/>
        <w:t> të</w:t>
      </w:r>
      <w:r>
        <w:rPr/>
        <w:t> jo-formalitetit</w:t>
      </w:r>
      <w:r>
        <w:rPr/>
        <w:t> është</w:t>
      </w:r>
      <w:r>
        <w:rPr/>
        <w:t> e</w:t>
      </w:r>
      <w:r>
        <w:rPr/>
        <w:t> vështirë</w:t>
      </w:r>
      <w:r>
        <w:rPr/>
        <w:t> të</w:t>
      </w:r>
      <w:r>
        <w:rPr/>
        <w:t> përcaktohet</w:t>
      </w:r>
      <w:r>
        <w:rPr/>
        <w:t> qartë</w:t>
      </w:r>
      <w:r>
        <w:rPr/>
        <w:t> numri</w:t>
      </w:r>
      <w:r>
        <w:rPr/>
        <w:t> total</w:t>
      </w:r>
      <w:r>
        <w:rPr/>
        <w:t> i</w:t>
      </w:r>
      <w:r>
        <w:rPr/>
        <w:t> të punësuarve</w:t>
      </w:r>
      <w:r>
        <w:rPr/>
        <w:t> dhe</w:t>
      </w:r>
      <w:r>
        <w:rPr/>
        <w:t> rrjedhimisht</w:t>
      </w:r>
      <w:r>
        <w:rPr/>
        <w:t> përqindja</w:t>
      </w:r>
      <w:r>
        <w:rPr/>
        <w:t> e</w:t>
      </w:r>
      <w:r>
        <w:rPr/>
        <w:t> papunësisë.</w:t>
      </w:r>
      <w:r>
        <w:rPr/>
        <w:t> Agjencia</w:t>
      </w:r>
      <w:r>
        <w:rPr/>
        <w:t> e</w:t>
      </w:r>
      <w:r>
        <w:rPr/>
        <w:t> Statistikave</w:t>
      </w:r>
      <w:r>
        <w:rPr/>
        <w:t> e</w:t>
      </w:r>
      <w:r>
        <w:rPr/>
        <w:t> Kosovës</w:t>
      </w:r>
      <w:r>
        <w:rPr>
          <w:vertAlign w:val="superscript"/>
        </w:rPr>
        <w:t>5</w:t>
      </w:r>
      <w:r>
        <w:rPr>
          <w:vertAlign w:val="baseline"/>
        </w:rPr>
        <w:t> në vlerësimet e tyre 3 mujore vlerëson se gjatë tremujorit të parë të vitit 2021, në nivel të Kosovës, shkalla e papunësisë është 25.8%. Papunësia më e theksuar është te femrat me 29.7%, krahasuar me meshkujt, 24.2%. Shkalla më e theksuar e papunësisë është te grup moshat 15-24 vjeçare me </w:t>
      </w:r>
      <w:r>
        <w:rPr>
          <w:spacing w:val="-2"/>
          <w:vertAlign w:val="baseline"/>
        </w:rPr>
        <w:t>48.6%.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rect style="position:absolute;margin-left:72pt;margin-top:13.061337pt;width:144.020pt;height:.66003pt;mso-position-horizontal-relative:page;mso-position-vertical-relative:paragraph;z-index:-15710720;mso-wrap-distance-left:0;mso-wrap-distance-right:0" id="docshape177"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5</w:t>
      </w:r>
      <w:r>
        <w:rPr>
          <w:rFonts w:ascii="Calibri" w:hAnsi="Calibri"/>
          <w:sz w:val="20"/>
          <w:vertAlign w:val="baseline"/>
        </w:rPr>
        <w:t>Agjencia</w:t>
      </w:r>
      <w:r>
        <w:rPr>
          <w:rFonts w:ascii="Calibri" w:hAnsi="Calibri"/>
          <w:spacing w:val="-5"/>
          <w:sz w:val="20"/>
          <w:vertAlign w:val="baseline"/>
        </w:rPr>
        <w:t> </w:t>
      </w:r>
      <w:r>
        <w:rPr>
          <w:rFonts w:ascii="Calibri" w:hAnsi="Calibri"/>
          <w:sz w:val="20"/>
          <w:vertAlign w:val="baseline"/>
        </w:rPr>
        <w:t>e</w:t>
      </w:r>
      <w:r>
        <w:rPr>
          <w:rFonts w:ascii="Calibri" w:hAnsi="Calibri"/>
          <w:spacing w:val="-3"/>
          <w:sz w:val="20"/>
          <w:vertAlign w:val="baseline"/>
        </w:rPr>
        <w:t> </w:t>
      </w:r>
      <w:r>
        <w:rPr>
          <w:rFonts w:ascii="Calibri" w:hAnsi="Calibri"/>
          <w:sz w:val="20"/>
          <w:vertAlign w:val="baseline"/>
        </w:rPr>
        <w:t>Statistikave</w:t>
      </w:r>
      <w:r>
        <w:rPr>
          <w:rFonts w:ascii="Calibri" w:hAnsi="Calibri"/>
          <w:spacing w:val="-3"/>
          <w:sz w:val="20"/>
          <w:vertAlign w:val="baseline"/>
        </w:rPr>
        <w:t> </w:t>
      </w:r>
      <w:r>
        <w:rPr>
          <w:rFonts w:ascii="Calibri" w:hAnsi="Calibri"/>
          <w:sz w:val="20"/>
          <w:vertAlign w:val="baseline"/>
        </w:rPr>
        <w:t>të</w:t>
      </w:r>
      <w:r>
        <w:rPr>
          <w:rFonts w:ascii="Calibri" w:hAnsi="Calibri"/>
          <w:spacing w:val="-3"/>
          <w:sz w:val="20"/>
          <w:vertAlign w:val="baseline"/>
        </w:rPr>
        <w:t> </w:t>
      </w:r>
      <w:r>
        <w:rPr>
          <w:rFonts w:ascii="Calibri" w:hAnsi="Calibri"/>
          <w:spacing w:val="-2"/>
          <w:sz w:val="20"/>
          <w:vertAlign w:val="baseline"/>
        </w:rPr>
        <w:t>Kosovës</w:t>
      </w:r>
    </w:p>
    <w:p>
      <w:pPr>
        <w:spacing w:after="0"/>
        <w:jc w:val="left"/>
        <w:rPr>
          <w:rFonts w:ascii="Calibri" w:hAnsi="Calibri"/>
          <w:sz w:val="20"/>
        </w:rPr>
        <w:sectPr>
          <w:pgSz w:w="12240" w:h="15840"/>
          <w:pgMar w:header="0" w:footer="990" w:top="1380" w:bottom="1180" w:left="700" w:right="0"/>
        </w:sectPr>
      </w:pPr>
    </w:p>
    <w:p>
      <w:pPr>
        <w:pStyle w:val="BodyText"/>
        <w:rPr>
          <w:rFonts w:ascii="Calibri"/>
          <w:sz w:val="20"/>
        </w:rPr>
      </w:pPr>
      <w:r>
        <w:rPr/>
        <w:drawing>
          <wp:anchor distT="0" distB="0" distL="0" distR="0" allowOverlap="1" layoutInCell="1" locked="0" behindDoc="0" simplePos="0" relativeHeight="15747072">
            <wp:simplePos x="0" y="0"/>
            <wp:positionH relativeFrom="page">
              <wp:posOffset>0</wp:posOffset>
            </wp:positionH>
            <wp:positionV relativeFrom="page">
              <wp:posOffset>19049</wp:posOffset>
            </wp:positionV>
            <wp:extent cx="7772399" cy="10029822"/>
            <wp:effectExtent l="0" t="0" r="0" b="0"/>
            <wp:wrapNone/>
            <wp:docPr id="17" name="image39.jpeg"/>
            <wp:cNvGraphicFramePr>
              <a:graphicFrameLocks noChangeAspect="1"/>
            </wp:cNvGraphicFramePr>
            <a:graphic>
              <a:graphicData uri="http://schemas.openxmlformats.org/drawingml/2006/picture">
                <pic:pic>
                  <pic:nvPicPr>
                    <pic:cNvPr id="18" name="image39.jpeg"/>
                    <pic:cNvPicPr/>
                  </pic:nvPicPr>
                  <pic:blipFill>
                    <a:blip r:embed="rId49" cstate="print"/>
                    <a:stretch>
                      <a:fillRect/>
                    </a:stretch>
                  </pic:blipFill>
                  <pic:spPr>
                    <a:xfrm>
                      <a:off x="0" y="0"/>
                      <a:ext cx="7772399" cy="10029822"/>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2"/>
        </w:rPr>
      </w:pPr>
    </w:p>
    <w:p>
      <w:pPr>
        <w:spacing w:before="58"/>
        <w:ind w:left="0" w:right="1437" w:firstLine="0"/>
        <w:jc w:val="right"/>
        <w:rPr>
          <w:rFonts w:ascii="Calibri"/>
          <w:sz w:val="21"/>
        </w:rPr>
      </w:pPr>
      <w:r>
        <w:rPr>
          <w:rFonts w:ascii="Calibri"/>
          <w:spacing w:val="-5"/>
          <w:sz w:val="21"/>
        </w:rPr>
        <w:t>26</w:t>
      </w:r>
    </w:p>
    <w:p>
      <w:pPr>
        <w:spacing w:after="0"/>
        <w:jc w:val="right"/>
        <w:rPr>
          <w:rFonts w:ascii="Calibri"/>
          <w:sz w:val="21"/>
        </w:rPr>
        <w:sectPr>
          <w:footerReference w:type="default" r:id="rId48"/>
          <w:pgSz w:w="12240" w:h="15840"/>
          <w:pgMar w:footer="0" w:header="0" w:top="1820" w:bottom="280" w:left="700" w:right="0"/>
        </w:sectPr>
      </w:pPr>
    </w:p>
    <w:p>
      <w:pPr>
        <w:pStyle w:val="Heading1"/>
        <w:numPr>
          <w:ilvl w:val="0"/>
          <w:numId w:val="4"/>
        </w:numPr>
        <w:tabs>
          <w:tab w:pos="2567" w:val="left" w:leader="none"/>
        </w:tabs>
        <w:spacing w:line="240" w:lineRule="auto" w:before="83" w:after="0"/>
        <w:ind w:left="2566" w:right="0" w:hanging="361"/>
        <w:jc w:val="left"/>
        <w:rPr>
          <w:color w:val="FFFFFF"/>
        </w:rPr>
      </w:pPr>
      <w:r>
        <w:rPr/>
        <w:pict>
          <v:group style="position:absolute;margin-left:-.5pt;margin-top:.550pt;width:610.75pt;height:52.3pt;mso-position-horizontal-relative:page;mso-position-vertical-relative:page;z-index:-19977216" id="docshapegroup179" coordorigin="-10,11" coordsize="12215,1046">
            <v:rect style="position:absolute;left:0;top:21;width:7037;height:1026" id="docshape180" filled="true" fillcolor="#f8caac" stroked="false">
              <v:fill type="solid"/>
            </v:rect>
            <v:shape style="position:absolute;left:0;top:21;width:7037;height:1026" id="docshape181" coordorigin="0,21" coordsize="7037,1026" path="m0,1047l7036,1047,7036,21,0,21e" filled="false" stroked="true" strokeweight="1.0pt" strokecolor="#f8caac">
              <v:path arrowok="t"/>
              <v:stroke dashstyle="solid"/>
            </v:shape>
            <v:rect style="position:absolute;left:7048;top:21;width:5147;height:547" id="docshape182" filled="true" fillcolor="#f8caac" stroked="false">
              <v:fill type="solid"/>
            </v:rect>
            <v:rect style="position:absolute;left:7048;top:21;width:5147;height:547" id="docshape183" filled="false" stroked="true" strokeweight="1pt" strokecolor="#f8caac">
              <v:stroke dashstyle="solid"/>
            </v:rect>
            <v:shape style="position:absolute;left:5620;top:33;width:2820;height:1013" id="docshape184" coordorigin="5621,33" coordsize="2820,1013" path="m8441,33l6736,33,5621,1045,7326,1045,8441,33xe" filled="true" fillcolor="#f8caac" stroked="false">
              <v:path arrowok="t"/>
              <v:fill type="solid"/>
            </v:shape>
            <v:shape style="position:absolute;left:5620;top:33;width:2820;height:1013" id="docshape185" coordorigin="5621,33" coordsize="2820,1013" path="m5621,1045l6736,33,8441,33,7326,1045,5621,1045xe" filled="false" stroked="true" strokeweight="1pt" strokecolor="#f8caac">
              <v:path arrowok="t"/>
              <v:stroke dashstyle="solid"/>
            </v:shape>
            <w10:wrap type="none"/>
          </v:group>
        </w:pict>
      </w:r>
      <w:r>
        <w:rPr>
          <w:color w:val="FFFFFF"/>
          <w:spacing w:val="-2"/>
        </w:rPr>
        <w:t>Bujqësia</w:t>
      </w:r>
    </w:p>
    <w:p>
      <w:pPr>
        <w:pStyle w:val="BodyText"/>
        <w:rPr>
          <w:b/>
          <w:sz w:val="20"/>
        </w:rPr>
      </w:pPr>
    </w:p>
    <w:p>
      <w:pPr>
        <w:pStyle w:val="BodyText"/>
        <w:rPr>
          <w:b/>
          <w:sz w:val="20"/>
        </w:rPr>
      </w:pPr>
    </w:p>
    <w:p>
      <w:pPr>
        <w:pStyle w:val="BodyText"/>
        <w:rPr>
          <w:b/>
          <w:sz w:val="20"/>
        </w:rPr>
      </w:pPr>
    </w:p>
    <w:p>
      <w:pPr>
        <w:pStyle w:val="BodyText"/>
        <w:spacing w:before="5"/>
        <w:rPr>
          <w:b/>
          <w:sz w:val="16"/>
        </w:rPr>
      </w:pPr>
    </w:p>
    <w:p>
      <w:pPr>
        <w:pStyle w:val="BodyText"/>
        <w:spacing w:line="276" w:lineRule="auto" w:before="90"/>
        <w:ind w:left="740" w:right="1438"/>
        <w:jc w:val="both"/>
      </w:pPr>
      <w:r>
        <w:rPr/>
        <w:t>Bujqësia</w:t>
      </w:r>
      <w:r>
        <w:rPr>
          <w:spacing w:val="-15"/>
        </w:rPr>
        <w:t> </w:t>
      </w:r>
      <w:r>
        <w:rPr/>
        <w:t>me</w:t>
      </w:r>
      <w:r>
        <w:rPr>
          <w:spacing w:val="-15"/>
        </w:rPr>
        <w:t> </w:t>
      </w:r>
      <w:r>
        <w:rPr/>
        <w:t>rol</w:t>
      </w:r>
      <w:r>
        <w:rPr>
          <w:spacing w:val="-15"/>
        </w:rPr>
        <w:t> </w:t>
      </w:r>
      <w:r>
        <w:rPr/>
        <w:t>mesatar</w:t>
      </w:r>
      <w:r>
        <w:rPr>
          <w:spacing w:val="-15"/>
        </w:rPr>
        <w:t> </w:t>
      </w:r>
      <w:r>
        <w:rPr/>
        <w:t>në</w:t>
      </w:r>
      <w:r>
        <w:rPr>
          <w:spacing w:val="-14"/>
        </w:rPr>
        <w:t> </w:t>
      </w:r>
      <w:r>
        <w:rPr/>
        <w:t>zhvillimin</w:t>
      </w:r>
      <w:r>
        <w:rPr>
          <w:spacing w:val="-15"/>
        </w:rPr>
        <w:t> </w:t>
      </w:r>
      <w:r>
        <w:rPr/>
        <w:t>e</w:t>
      </w:r>
      <w:r>
        <w:rPr>
          <w:spacing w:val="-15"/>
        </w:rPr>
        <w:t> </w:t>
      </w:r>
      <w:r>
        <w:rPr/>
        <w:t>gjithmbarshëm</w:t>
      </w:r>
      <w:r>
        <w:rPr>
          <w:spacing w:val="-15"/>
        </w:rPr>
        <w:t> </w:t>
      </w:r>
      <w:r>
        <w:rPr/>
        <w:t>të</w:t>
      </w:r>
      <w:r>
        <w:rPr>
          <w:spacing w:val="-14"/>
        </w:rPr>
        <w:t> </w:t>
      </w:r>
      <w:r>
        <w:rPr/>
        <w:t>Hanit</w:t>
      </w:r>
      <w:r>
        <w:rPr>
          <w:spacing w:val="-15"/>
        </w:rPr>
        <w:t> </w:t>
      </w:r>
      <w:r>
        <w:rPr/>
        <w:t>të</w:t>
      </w:r>
      <w:r>
        <w:rPr>
          <w:spacing w:val="-14"/>
        </w:rPr>
        <w:t> </w:t>
      </w:r>
      <w:r>
        <w:rPr/>
        <w:t>Elezit</w:t>
      </w:r>
      <w:r>
        <w:rPr>
          <w:spacing w:val="-15"/>
        </w:rPr>
        <w:t> </w:t>
      </w:r>
      <w:r>
        <w:rPr/>
        <w:t>sipas</w:t>
      </w:r>
      <w:r>
        <w:rPr>
          <w:spacing w:val="-14"/>
        </w:rPr>
        <w:t> </w:t>
      </w:r>
      <w:r>
        <w:rPr/>
        <w:t>regjistrimit</w:t>
      </w:r>
      <w:r>
        <w:rPr>
          <w:spacing w:val="-15"/>
        </w:rPr>
        <w:t> </w:t>
      </w:r>
      <w:r>
        <w:rPr/>
        <w:t>të</w:t>
      </w:r>
      <w:r>
        <w:rPr>
          <w:spacing w:val="-14"/>
        </w:rPr>
        <w:t> </w:t>
      </w:r>
      <w:r>
        <w:rPr/>
        <w:t>fundit të ekonomive familjare (2011) kishte vetëm 26 të punësuar që përbën vetëm rreth 2.5% të totalit të</w:t>
      </w:r>
      <w:r>
        <w:rPr>
          <w:spacing w:val="-3"/>
        </w:rPr>
        <w:t> </w:t>
      </w:r>
      <w:r>
        <w:rPr/>
        <w:t>punësuarve.</w:t>
      </w:r>
      <w:r>
        <w:rPr>
          <w:spacing w:val="-5"/>
        </w:rPr>
        <w:t> </w:t>
      </w:r>
      <w:r>
        <w:rPr/>
        <w:t>Numri</w:t>
      </w:r>
      <w:r>
        <w:rPr>
          <w:spacing w:val="-4"/>
        </w:rPr>
        <w:t> </w:t>
      </w:r>
      <w:r>
        <w:rPr/>
        <w:t>i</w:t>
      </w:r>
      <w:r>
        <w:rPr>
          <w:spacing w:val="-3"/>
        </w:rPr>
        <w:t> </w:t>
      </w:r>
      <w:r>
        <w:rPr>
          <w:b/>
        </w:rPr>
        <w:t>ndërmarrjeve</w:t>
      </w:r>
      <w:r>
        <w:rPr>
          <w:b/>
          <w:spacing w:val="-5"/>
        </w:rPr>
        <w:t> </w:t>
      </w:r>
      <w:r>
        <w:rPr>
          <w:b/>
        </w:rPr>
        <w:t>bujqësore</w:t>
      </w:r>
      <w:r>
        <w:rPr>
          <w:b/>
          <w:spacing w:val="-3"/>
        </w:rPr>
        <w:t> </w:t>
      </w:r>
      <w:r>
        <w:rPr/>
        <w:t>është</w:t>
      </w:r>
      <w:r>
        <w:rPr>
          <w:spacing w:val="-4"/>
        </w:rPr>
        <w:t> </w:t>
      </w:r>
      <w:r>
        <w:rPr/>
        <w:t>tejet</w:t>
      </w:r>
      <w:r>
        <w:rPr>
          <w:spacing w:val="-3"/>
        </w:rPr>
        <w:t> </w:t>
      </w:r>
      <w:r>
        <w:rPr/>
        <w:t>i</w:t>
      </w:r>
      <w:r>
        <w:rPr>
          <w:spacing w:val="-6"/>
        </w:rPr>
        <w:t> </w:t>
      </w:r>
      <w:r>
        <w:rPr/>
        <w:t>ulët.</w:t>
      </w:r>
      <w:r>
        <w:rPr>
          <w:spacing w:val="-5"/>
        </w:rPr>
        <w:t> </w:t>
      </w:r>
      <w:r>
        <w:rPr/>
        <w:t>Siç</w:t>
      </w:r>
      <w:r>
        <w:rPr>
          <w:spacing w:val="-4"/>
        </w:rPr>
        <w:t> </w:t>
      </w:r>
      <w:r>
        <w:rPr/>
        <w:t>u</w:t>
      </w:r>
      <w:r>
        <w:rPr>
          <w:spacing w:val="-5"/>
        </w:rPr>
        <w:t> </w:t>
      </w:r>
      <w:r>
        <w:rPr/>
        <w:t>përmend</w:t>
      </w:r>
      <w:r>
        <w:rPr>
          <w:spacing w:val="-3"/>
        </w:rPr>
        <w:t> </w:t>
      </w:r>
      <w:r>
        <w:rPr/>
        <w:t>me</w:t>
      </w:r>
      <w:r>
        <w:rPr>
          <w:spacing w:val="-4"/>
        </w:rPr>
        <w:t> </w:t>
      </w:r>
      <w:r>
        <w:rPr/>
        <w:t>lartë,</w:t>
      </w:r>
      <w:r>
        <w:rPr>
          <w:spacing w:val="-3"/>
        </w:rPr>
        <w:t> </w:t>
      </w:r>
      <w:r>
        <w:rPr/>
        <w:t>numri total i ndërmarrjeve të regjistruara bujqësore përbën vetëm 4% të ndërmarrjeve në komunë, që tregon përgjithësisht për kapacitete të vogla të ndërmarrjeve dhe strukturim kryesisht familjar.</w:t>
      </w:r>
    </w:p>
    <w:p>
      <w:pPr>
        <w:pStyle w:val="BodyText"/>
        <w:spacing w:before="200"/>
        <w:ind w:left="740" w:right="1437"/>
        <w:jc w:val="both"/>
      </w:pPr>
      <w:r>
        <w:rPr/>
        <w:t>Toka</w:t>
      </w:r>
      <w:r>
        <w:rPr>
          <w:spacing w:val="-1"/>
        </w:rPr>
        <w:t> </w:t>
      </w:r>
      <w:r>
        <w:rPr/>
        <w:t>bujqësore</w:t>
      </w:r>
      <w:r>
        <w:rPr>
          <w:spacing w:val="-1"/>
        </w:rPr>
        <w:t> </w:t>
      </w:r>
      <w:r>
        <w:rPr/>
        <w:t>e</w:t>
      </w:r>
      <w:r>
        <w:rPr>
          <w:spacing w:val="-2"/>
        </w:rPr>
        <w:t> </w:t>
      </w:r>
      <w:r>
        <w:rPr/>
        <w:t>kategorizuar</w:t>
      </w:r>
      <w:r>
        <w:rPr>
          <w:spacing w:val="-1"/>
        </w:rPr>
        <w:t> </w:t>
      </w:r>
      <w:r>
        <w:rPr/>
        <w:t>sipas</w:t>
      </w:r>
      <w:r>
        <w:rPr>
          <w:spacing w:val="-3"/>
        </w:rPr>
        <w:t> </w:t>
      </w:r>
      <w:r>
        <w:rPr/>
        <w:t>kualitetit</w:t>
      </w:r>
      <w:r>
        <w:rPr>
          <w:spacing w:val="-2"/>
        </w:rPr>
        <w:t> </w:t>
      </w:r>
      <w:r>
        <w:rPr/>
        <w:t>i</w:t>
      </w:r>
      <w:r>
        <w:rPr>
          <w:spacing w:val="-2"/>
        </w:rPr>
        <w:t> </w:t>
      </w:r>
      <w:r>
        <w:rPr/>
        <w:t>takon</w:t>
      </w:r>
      <w:r>
        <w:rPr>
          <w:spacing w:val="-2"/>
        </w:rPr>
        <w:t> </w:t>
      </w:r>
      <w:r>
        <w:rPr/>
        <w:t>ekskluzivisht</w:t>
      </w:r>
      <w:r>
        <w:rPr>
          <w:spacing w:val="-1"/>
        </w:rPr>
        <w:t> </w:t>
      </w:r>
      <w:r>
        <w:rPr/>
        <w:t>kategorive</w:t>
      </w:r>
      <w:r>
        <w:rPr>
          <w:spacing w:val="-1"/>
        </w:rPr>
        <w:t> </w:t>
      </w:r>
      <w:r>
        <w:rPr/>
        <w:t>5-8,</w:t>
      </w:r>
      <w:r>
        <w:rPr>
          <w:spacing w:val="-1"/>
        </w:rPr>
        <w:t> </w:t>
      </w:r>
      <w:r>
        <w:rPr/>
        <w:t>përveç</w:t>
      </w:r>
      <w:r>
        <w:rPr>
          <w:spacing w:val="-1"/>
        </w:rPr>
        <w:t> </w:t>
      </w:r>
      <w:r>
        <w:rPr/>
        <w:t>ndonjë sipërfaqe rreth lumit Lepenc e cila tashmë është ndërtuar veçanërisht në Lagjen e Re.</w:t>
      </w:r>
    </w:p>
    <w:p>
      <w:pPr>
        <w:pStyle w:val="BodyText"/>
        <w:spacing w:before="201"/>
        <w:ind w:left="740" w:right="1436"/>
        <w:jc w:val="both"/>
      </w:pPr>
      <w:r>
        <w:rPr/>
        <w:t>Aktiviteti</w:t>
      </w:r>
      <w:r>
        <w:rPr>
          <w:spacing w:val="-10"/>
        </w:rPr>
        <w:t> </w:t>
      </w:r>
      <w:r>
        <w:rPr/>
        <w:t>kryesisht</w:t>
      </w:r>
      <w:r>
        <w:rPr>
          <w:spacing w:val="-10"/>
        </w:rPr>
        <w:t> </w:t>
      </w:r>
      <w:r>
        <w:rPr/>
        <w:t>zhvillohet</w:t>
      </w:r>
      <w:r>
        <w:rPr>
          <w:spacing w:val="-9"/>
        </w:rPr>
        <w:t> </w:t>
      </w:r>
      <w:r>
        <w:rPr/>
        <w:t>në</w:t>
      </w:r>
      <w:r>
        <w:rPr>
          <w:spacing w:val="-10"/>
        </w:rPr>
        <w:t> </w:t>
      </w:r>
      <w:r>
        <w:rPr/>
        <w:t>formë</w:t>
      </w:r>
      <w:r>
        <w:rPr>
          <w:spacing w:val="-9"/>
        </w:rPr>
        <w:t> </w:t>
      </w:r>
      <w:r>
        <w:rPr/>
        <w:t>të</w:t>
      </w:r>
      <w:r>
        <w:rPr>
          <w:spacing w:val="-10"/>
        </w:rPr>
        <w:t> </w:t>
      </w:r>
      <w:r>
        <w:rPr/>
        <w:t>bujqësisë</w:t>
      </w:r>
      <w:r>
        <w:rPr>
          <w:spacing w:val="-10"/>
        </w:rPr>
        <w:t> </w:t>
      </w:r>
      <w:r>
        <w:rPr/>
        <w:t>familjare</w:t>
      </w:r>
      <w:r>
        <w:rPr>
          <w:spacing w:val="-10"/>
        </w:rPr>
        <w:t> </w:t>
      </w:r>
      <w:r>
        <w:rPr/>
        <w:t>për</w:t>
      </w:r>
      <w:r>
        <w:rPr>
          <w:spacing w:val="-9"/>
        </w:rPr>
        <w:t> </w:t>
      </w:r>
      <w:r>
        <w:rPr/>
        <w:t>krijimin</w:t>
      </w:r>
      <w:r>
        <w:rPr>
          <w:spacing w:val="-10"/>
        </w:rPr>
        <w:t> </w:t>
      </w:r>
      <w:r>
        <w:rPr/>
        <w:t>e</w:t>
      </w:r>
      <w:r>
        <w:rPr>
          <w:spacing w:val="-9"/>
        </w:rPr>
        <w:t> </w:t>
      </w:r>
      <w:r>
        <w:rPr/>
        <w:t>të</w:t>
      </w:r>
      <w:r>
        <w:rPr>
          <w:spacing w:val="-7"/>
        </w:rPr>
        <w:t> </w:t>
      </w:r>
      <w:r>
        <w:rPr/>
        <w:t>ardhurave</w:t>
      </w:r>
      <w:r>
        <w:rPr>
          <w:spacing w:val="-9"/>
        </w:rPr>
        <w:t> </w:t>
      </w:r>
      <w:r>
        <w:rPr/>
        <w:t>shtesë</w:t>
      </w:r>
      <w:r>
        <w:rPr>
          <w:spacing w:val="-9"/>
        </w:rPr>
        <w:t> </w:t>
      </w:r>
      <w:r>
        <w:rPr/>
        <w:t>në familje,</w:t>
      </w:r>
      <w:r>
        <w:rPr>
          <w:spacing w:val="-15"/>
        </w:rPr>
        <w:t> </w:t>
      </w:r>
      <w:r>
        <w:rPr/>
        <w:t>me</w:t>
      </w:r>
      <w:r>
        <w:rPr>
          <w:spacing w:val="-15"/>
        </w:rPr>
        <w:t> </w:t>
      </w:r>
      <w:r>
        <w:rPr/>
        <w:t>parcela</w:t>
      </w:r>
      <w:r>
        <w:rPr>
          <w:spacing w:val="-15"/>
        </w:rPr>
        <w:t> </w:t>
      </w:r>
      <w:r>
        <w:rPr/>
        <w:t>të</w:t>
      </w:r>
      <w:r>
        <w:rPr>
          <w:spacing w:val="-15"/>
        </w:rPr>
        <w:t> </w:t>
      </w:r>
      <w:r>
        <w:rPr/>
        <w:t>vogla</w:t>
      </w:r>
      <w:r>
        <w:rPr>
          <w:spacing w:val="-15"/>
        </w:rPr>
        <w:t> </w:t>
      </w:r>
      <w:r>
        <w:rPr/>
        <w:t>private</w:t>
      </w:r>
      <w:r>
        <w:rPr>
          <w:spacing w:val="-15"/>
        </w:rPr>
        <w:t> </w:t>
      </w:r>
      <w:r>
        <w:rPr/>
        <w:t>bujqësore</w:t>
      </w:r>
      <w:r>
        <w:rPr>
          <w:spacing w:val="-15"/>
        </w:rPr>
        <w:t> </w:t>
      </w:r>
      <w:r>
        <w:rPr/>
        <w:t>dhe</w:t>
      </w:r>
      <w:r>
        <w:rPr>
          <w:spacing w:val="-15"/>
        </w:rPr>
        <w:t> </w:t>
      </w:r>
      <w:r>
        <w:rPr/>
        <w:t>me</w:t>
      </w:r>
      <w:r>
        <w:rPr>
          <w:spacing w:val="-15"/>
        </w:rPr>
        <w:t> </w:t>
      </w:r>
      <w:r>
        <w:rPr/>
        <w:t>mekanizëm</w:t>
      </w:r>
      <w:r>
        <w:rPr>
          <w:spacing w:val="-15"/>
        </w:rPr>
        <w:t> </w:t>
      </w:r>
      <w:r>
        <w:rPr/>
        <w:t>bujqësor</w:t>
      </w:r>
      <w:r>
        <w:rPr>
          <w:spacing w:val="-15"/>
        </w:rPr>
        <w:t> </w:t>
      </w:r>
      <w:r>
        <w:rPr/>
        <w:t>të</w:t>
      </w:r>
      <w:r>
        <w:rPr>
          <w:spacing w:val="-15"/>
        </w:rPr>
        <w:t> </w:t>
      </w:r>
      <w:r>
        <w:rPr/>
        <w:t>munguar</w:t>
      </w:r>
      <w:r>
        <w:rPr>
          <w:spacing w:val="-15"/>
        </w:rPr>
        <w:t> </w:t>
      </w:r>
      <w:r>
        <w:rPr/>
        <w:t>apo</w:t>
      </w:r>
      <w:r>
        <w:rPr>
          <w:spacing w:val="-15"/>
        </w:rPr>
        <w:t> </w:t>
      </w:r>
      <w:r>
        <w:rPr/>
        <w:t>vjetruar (amortizuar) me përjashtim të rasteve të pakta kur mekanizmi është subvencionuar. Sipërfaqet e tokës</w:t>
      </w:r>
      <w:r>
        <w:rPr/>
        <w:t> bujqësore</w:t>
      </w:r>
      <w:r>
        <w:rPr/>
        <w:t> përgjatë</w:t>
      </w:r>
      <w:r>
        <w:rPr/>
        <w:t> Lumit</w:t>
      </w:r>
      <w:r>
        <w:rPr/>
        <w:t> Lepenc</w:t>
      </w:r>
      <w:r>
        <w:rPr/>
        <w:t> (kulturat</w:t>
      </w:r>
      <w:r>
        <w:rPr/>
        <w:t> bujqësore-</w:t>
      </w:r>
      <w:r>
        <w:rPr/>
        <w:t> lavërtare</w:t>
      </w:r>
      <w:r>
        <w:rPr/>
        <w:t> të</w:t>
      </w:r>
      <w:r>
        <w:rPr/>
        <w:t> mbjella</w:t>
      </w:r>
      <w:r>
        <w:rPr/>
        <w:t> kryesisht me misër) ujiten përmes kanaleve të hapura të ujitjes të ndërtuara si kanale klasike dheu. Serrat e perimeve, frutat e pyllit si dhe disa pemishte, të subvencionuara këto nga entitete të ndryshme, kanë</w:t>
      </w:r>
      <w:r>
        <w:rPr>
          <w:spacing w:val="-3"/>
        </w:rPr>
        <w:t> </w:t>
      </w:r>
      <w:r>
        <w:rPr/>
        <w:t>sistemet</w:t>
      </w:r>
      <w:r>
        <w:rPr>
          <w:spacing w:val="-2"/>
        </w:rPr>
        <w:t> </w:t>
      </w:r>
      <w:r>
        <w:rPr/>
        <w:t>enkas</w:t>
      </w:r>
      <w:r>
        <w:rPr>
          <w:spacing w:val="-2"/>
        </w:rPr>
        <w:t> </w:t>
      </w:r>
      <w:r>
        <w:rPr/>
        <w:t>të</w:t>
      </w:r>
      <w:r>
        <w:rPr>
          <w:spacing w:val="-3"/>
        </w:rPr>
        <w:t> </w:t>
      </w:r>
      <w:r>
        <w:rPr/>
        <w:t>ndërtuara</w:t>
      </w:r>
      <w:r>
        <w:rPr>
          <w:spacing w:val="-3"/>
        </w:rPr>
        <w:t> </w:t>
      </w:r>
      <w:r>
        <w:rPr/>
        <w:t>për</w:t>
      </w:r>
      <w:r>
        <w:rPr>
          <w:spacing w:val="-4"/>
        </w:rPr>
        <w:t> </w:t>
      </w:r>
      <w:r>
        <w:rPr/>
        <w:t>ujitje</w:t>
      </w:r>
      <w:r>
        <w:rPr>
          <w:spacing w:val="-4"/>
        </w:rPr>
        <w:t> </w:t>
      </w:r>
      <w:r>
        <w:rPr/>
        <w:t>pikë-pikë.</w:t>
      </w:r>
      <w:r>
        <w:rPr>
          <w:spacing w:val="40"/>
        </w:rPr>
        <w:t> </w:t>
      </w:r>
      <w:r>
        <w:rPr/>
        <w:t>Perimet</w:t>
      </w:r>
      <w:r>
        <w:rPr>
          <w:spacing w:val="-5"/>
        </w:rPr>
        <w:t> </w:t>
      </w:r>
      <w:r>
        <w:rPr/>
        <w:t>në</w:t>
      </w:r>
      <w:r>
        <w:rPr>
          <w:spacing w:val="-3"/>
        </w:rPr>
        <w:t> </w:t>
      </w:r>
      <w:r>
        <w:rPr/>
        <w:t>hapësirat</w:t>
      </w:r>
      <w:r>
        <w:rPr>
          <w:spacing w:val="-5"/>
        </w:rPr>
        <w:t> </w:t>
      </w:r>
      <w:r>
        <w:rPr/>
        <w:t>e</w:t>
      </w:r>
      <w:r>
        <w:rPr>
          <w:spacing w:val="-3"/>
        </w:rPr>
        <w:t> </w:t>
      </w:r>
      <w:r>
        <w:rPr/>
        <w:t>jashtme</w:t>
      </w:r>
      <w:r>
        <w:rPr>
          <w:spacing w:val="-3"/>
        </w:rPr>
        <w:t> </w:t>
      </w:r>
      <w:r>
        <w:rPr/>
        <w:t>dhe</w:t>
      </w:r>
      <w:r>
        <w:rPr>
          <w:spacing w:val="-3"/>
        </w:rPr>
        <w:t> </w:t>
      </w:r>
      <w:r>
        <w:rPr/>
        <w:t>shumica e</w:t>
      </w:r>
      <w:r>
        <w:rPr>
          <w:spacing w:val="-6"/>
        </w:rPr>
        <w:t> </w:t>
      </w:r>
      <w:r>
        <w:rPr/>
        <w:t>pemishteve</w:t>
      </w:r>
      <w:r>
        <w:rPr>
          <w:spacing w:val="-6"/>
        </w:rPr>
        <w:t> </w:t>
      </w:r>
      <w:r>
        <w:rPr/>
        <w:t>ujiten</w:t>
      </w:r>
      <w:r>
        <w:rPr>
          <w:spacing w:val="-5"/>
        </w:rPr>
        <w:t> </w:t>
      </w:r>
      <w:r>
        <w:rPr/>
        <w:t>duke</w:t>
      </w:r>
      <w:r>
        <w:rPr>
          <w:spacing w:val="-6"/>
        </w:rPr>
        <w:t> </w:t>
      </w:r>
      <w:r>
        <w:rPr/>
        <w:t>shfrytëzuar</w:t>
      </w:r>
      <w:r>
        <w:rPr>
          <w:spacing w:val="-5"/>
        </w:rPr>
        <w:t> </w:t>
      </w:r>
      <w:r>
        <w:rPr/>
        <w:t>burimet</w:t>
      </w:r>
      <w:r>
        <w:rPr>
          <w:spacing w:val="-5"/>
        </w:rPr>
        <w:t> </w:t>
      </w:r>
      <w:r>
        <w:rPr/>
        <w:t>private,</w:t>
      </w:r>
      <w:r>
        <w:rPr>
          <w:spacing w:val="-6"/>
        </w:rPr>
        <w:t> </w:t>
      </w:r>
      <w:r>
        <w:rPr/>
        <w:t>lumenjtë/përrojet</w:t>
      </w:r>
      <w:r>
        <w:rPr>
          <w:spacing w:val="-5"/>
        </w:rPr>
        <w:t> </w:t>
      </w:r>
      <w:r>
        <w:rPr/>
        <w:t>si</w:t>
      </w:r>
      <w:r>
        <w:rPr>
          <w:spacing w:val="-7"/>
        </w:rPr>
        <w:t> </w:t>
      </w:r>
      <w:r>
        <w:rPr/>
        <w:t>dhe</w:t>
      </w:r>
      <w:r>
        <w:rPr>
          <w:spacing w:val="-6"/>
        </w:rPr>
        <w:t> </w:t>
      </w:r>
      <w:r>
        <w:rPr/>
        <w:t>ujin</w:t>
      </w:r>
      <w:r>
        <w:rPr>
          <w:spacing w:val="-6"/>
        </w:rPr>
        <w:t> </w:t>
      </w:r>
      <w:r>
        <w:rPr/>
        <w:t>nga</w:t>
      </w:r>
      <w:r>
        <w:rPr>
          <w:spacing w:val="-6"/>
        </w:rPr>
        <w:t> </w:t>
      </w:r>
      <w:r>
        <w:rPr/>
        <w:t>ujësjellësi. Nuk ka ndonjë sistem të mirëfilltë të ujitjes sepse shumica e këtyre sipërfaqeve bujqësore janë të shpërndara nëpër të gjithë territorin e komunës.</w:t>
      </w:r>
    </w:p>
    <w:p>
      <w:pPr>
        <w:pStyle w:val="BodyText"/>
        <w:ind w:left="740" w:right="1438"/>
        <w:jc w:val="both"/>
      </w:pPr>
      <w:r>
        <w:rPr/>
        <w:t>Viteve të fundit ka filluar përkrahja e fermerëve përmes subvencionimit nga qeveria qendrore/ lokale, LAB-i (i treguar më lart), IKC-ja, Caritas Luxembourg, Caritas Kosova, Fondacioni Kosovë-Luxembourg gjithnjë në bashkëpunim me komunitetin. Në të shumtën e rasteve, subvencionimi ka përfshirë</w:t>
      </w:r>
      <w:r>
        <w:rPr/>
        <w:t> 90%</w:t>
      </w:r>
      <w:r>
        <w:rPr/>
        <w:t> të</w:t>
      </w:r>
      <w:r>
        <w:rPr/>
        <w:t> lëndës (serra</w:t>
      </w:r>
      <w:r>
        <w:rPr/>
        <w:t> së bashku me sistemin e ujitjes, farërat dhe plehrat/ushqimin e duhur apo shtalla së bashku numrin e kafshëve shtëpiake). Në disa raste janë subvencionuar edhe mekanizmat bujqësore si motokultivatorët dhe mekanizmat bujqësor përcjellës. Megjithatë nevojat për përkrahje janë ende më të mëdha se mundësitë buxhetore.</w:t>
      </w:r>
    </w:p>
    <w:p>
      <w:pPr>
        <w:pStyle w:val="Heading2"/>
        <w:numPr>
          <w:ilvl w:val="1"/>
          <w:numId w:val="4"/>
        </w:numPr>
        <w:tabs>
          <w:tab w:pos="1611" w:val="left" w:leader="none"/>
          <w:tab w:pos="10131" w:val="left" w:leader="none"/>
        </w:tabs>
        <w:spacing w:line="240" w:lineRule="auto" w:before="200" w:after="0"/>
        <w:ind w:left="860" w:right="0" w:firstLine="300"/>
        <w:jc w:val="left"/>
      </w:pPr>
      <w:r>
        <w:rPr>
          <w:color w:val="000000"/>
          <w:shd w:fill="EAB8A3" w:color="auto" w:val="clear"/>
        </w:rPr>
        <w:t>Toka</w:t>
      </w:r>
      <w:r>
        <w:rPr>
          <w:color w:val="000000"/>
          <w:spacing w:val="-1"/>
          <w:shd w:fill="EAB8A3" w:color="auto" w:val="clear"/>
        </w:rPr>
        <w:t> </w:t>
      </w:r>
      <w:r>
        <w:rPr>
          <w:color w:val="000000"/>
          <w:spacing w:val="-2"/>
          <w:shd w:fill="EAB8A3" w:color="auto" w:val="clear"/>
        </w:rPr>
        <w:t>bujqësore</w:t>
      </w:r>
      <w:r>
        <w:rPr>
          <w:color w:val="000000"/>
          <w:shd w:fill="EAB8A3" w:color="auto" w:val="clear"/>
        </w:rPr>
        <w:tab/>
      </w:r>
    </w:p>
    <w:p>
      <w:pPr>
        <w:pStyle w:val="BodyText"/>
        <w:spacing w:before="200"/>
        <w:ind w:left="740" w:right="1443" w:firstLine="120"/>
        <w:jc w:val="both"/>
      </w:pPr>
      <w:r>
        <w:rPr/>
        <w:t>Sipas të dhënave nga Sektori i Gjeodezisë, Kadastrit dhe Pronës, bazuar sipas regjistrit të vitit 1958, sipërfaqja e përgjithshme e tokës bujqësore është si në vijim:</w:t>
      </w:r>
    </w:p>
    <w:p>
      <w:pPr>
        <w:pStyle w:val="BodyText"/>
        <w:spacing w:before="4"/>
        <w:rPr>
          <w:sz w:val="17"/>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0"/>
        <w:gridCol w:w="3150"/>
        <w:gridCol w:w="3045"/>
      </w:tblGrid>
      <w:tr>
        <w:trPr>
          <w:trHeight w:val="492" w:hRule="atLeast"/>
        </w:trPr>
        <w:tc>
          <w:tcPr>
            <w:tcW w:w="9355" w:type="dxa"/>
            <w:gridSpan w:val="3"/>
            <w:shd w:val="clear" w:color="auto" w:fill="EAB8A3"/>
          </w:tcPr>
          <w:p>
            <w:pPr>
              <w:pStyle w:val="TableParagraph"/>
              <w:spacing w:before="1"/>
              <w:ind w:left="108"/>
              <w:rPr>
                <w:rFonts w:ascii="Calibri" w:hAnsi="Calibri"/>
                <w:sz w:val="20"/>
              </w:rPr>
            </w:pPr>
            <w:r>
              <w:rPr>
                <w:rFonts w:ascii="Calibri" w:hAnsi="Calibri"/>
                <w:sz w:val="20"/>
              </w:rPr>
              <w:t>Sipërfaqja</w:t>
            </w:r>
            <w:r>
              <w:rPr>
                <w:rFonts w:ascii="Calibri" w:hAnsi="Calibri"/>
                <w:spacing w:val="-5"/>
                <w:sz w:val="20"/>
              </w:rPr>
              <w:t> </w:t>
            </w:r>
            <w:r>
              <w:rPr>
                <w:rFonts w:ascii="Calibri" w:hAnsi="Calibri"/>
                <w:sz w:val="20"/>
              </w:rPr>
              <w:t>e</w:t>
            </w:r>
            <w:r>
              <w:rPr>
                <w:rFonts w:ascii="Calibri" w:hAnsi="Calibri"/>
                <w:spacing w:val="-6"/>
                <w:sz w:val="20"/>
              </w:rPr>
              <w:t> </w:t>
            </w:r>
            <w:r>
              <w:rPr>
                <w:rFonts w:ascii="Calibri" w:hAnsi="Calibri"/>
                <w:sz w:val="20"/>
              </w:rPr>
              <w:t>tokës</w:t>
            </w:r>
            <w:r>
              <w:rPr>
                <w:rFonts w:ascii="Calibri" w:hAnsi="Calibri"/>
                <w:spacing w:val="-5"/>
                <w:sz w:val="20"/>
              </w:rPr>
              <w:t> </w:t>
            </w:r>
            <w:r>
              <w:rPr>
                <w:rFonts w:ascii="Calibri" w:hAnsi="Calibri"/>
                <w:sz w:val="20"/>
              </w:rPr>
              <w:t>bujqësore</w:t>
            </w:r>
            <w:r>
              <w:rPr>
                <w:rFonts w:ascii="Calibri" w:hAnsi="Calibri"/>
                <w:spacing w:val="-6"/>
                <w:sz w:val="20"/>
              </w:rPr>
              <w:t> </w:t>
            </w:r>
            <w:r>
              <w:rPr>
                <w:rFonts w:ascii="Calibri" w:hAnsi="Calibri"/>
                <w:spacing w:val="-4"/>
                <w:sz w:val="20"/>
              </w:rPr>
              <w:t>(ha)</w:t>
            </w:r>
          </w:p>
        </w:tc>
      </w:tr>
      <w:tr>
        <w:trPr>
          <w:trHeight w:val="493" w:hRule="atLeast"/>
        </w:trPr>
        <w:tc>
          <w:tcPr>
            <w:tcW w:w="3160" w:type="dxa"/>
            <w:vMerge w:val="restart"/>
          </w:tcPr>
          <w:p>
            <w:pPr>
              <w:pStyle w:val="TableParagraph"/>
              <w:spacing w:before="1"/>
              <w:ind w:left="108"/>
              <w:rPr>
                <w:rFonts w:ascii="Calibri" w:hAnsi="Calibri"/>
                <w:sz w:val="20"/>
              </w:rPr>
            </w:pPr>
            <w:r>
              <w:rPr>
                <w:rFonts w:ascii="Calibri" w:hAnsi="Calibri"/>
                <w:sz w:val="20"/>
              </w:rPr>
              <w:t>Tokë</w:t>
            </w:r>
            <w:r>
              <w:rPr>
                <w:rFonts w:ascii="Calibri" w:hAnsi="Calibri"/>
                <w:spacing w:val="-4"/>
                <w:sz w:val="20"/>
              </w:rPr>
              <w:t> </w:t>
            </w:r>
            <w:r>
              <w:rPr>
                <w:rFonts w:ascii="Calibri" w:hAnsi="Calibri"/>
                <w:spacing w:val="-2"/>
                <w:sz w:val="20"/>
              </w:rPr>
              <w:t>pjellore</w:t>
            </w:r>
          </w:p>
        </w:tc>
        <w:tc>
          <w:tcPr>
            <w:tcW w:w="3150" w:type="dxa"/>
          </w:tcPr>
          <w:p>
            <w:pPr>
              <w:pStyle w:val="TableParagraph"/>
              <w:spacing w:before="1"/>
              <w:ind w:left="108"/>
              <w:rPr>
                <w:rFonts w:ascii="Calibri" w:hAnsi="Calibri"/>
                <w:sz w:val="20"/>
              </w:rPr>
            </w:pPr>
            <w:r>
              <w:rPr>
                <w:rFonts w:ascii="Calibri" w:hAnsi="Calibri"/>
                <w:sz w:val="20"/>
              </w:rPr>
              <w:t>Tokë</w:t>
            </w:r>
            <w:r>
              <w:rPr>
                <w:rFonts w:ascii="Calibri" w:hAnsi="Calibri"/>
                <w:spacing w:val="-6"/>
                <w:sz w:val="20"/>
              </w:rPr>
              <w:t> </w:t>
            </w:r>
            <w:r>
              <w:rPr>
                <w:rFonts w:ascii="Calibri" w:hAnsi="Calibri"/>
                <w:spacing w:val="-2"/>
                <w:sz w:val="20"/>
              </w:rPr>
              <w:t>lavërtarë</w:t>
            </w:r>
          </w:p>
        </w:tc>
        <w:tc>
          <w:tcPr>
            <w:tcW w:w="3045" w:type="dxa"/>
          </w:tcPr>
          <w:p>
            <w:pPr>
              <w:pStyle w:val="TableParagraph"/>
              <w:spacing w:before="1"/>
              <w:ind w:left="108"/>
              <w:rPr>
                <w:rFonts w:ascii="Calibri"/>
                <w:sz w:val="20"/>
              </w:rPr>
            </w:pPr>
            <w:r>
              <w:rPr>
                <w:rFonts w:ascii="Calibri"/>
                <w:spacing w:val="-2"/>
                <w:sz w:val="20"/>
              </w:rPr>
              <w:t>1.177,30</w:t>
            </w:r>
          </w:p>
        </w:tc>
      </w:tr>
      <w:tr>
        <w:trPr>
          <w:trHeight w:val="492" w:hRule="atLeast"/>
        </w:trPr>
        <w:tc>
          <w:tcPr>
            <w:tcW w:w="3160" w:type="dxa"/>
            <w:vMerge/>
            <w:tcBorders>
              <w:top w:val="nil"/>
            </w:tcBorders>
          </w:tcPr>
          <w:p>
            <w:pPr>
              <w:rPr>
                <w:sz w:val="2"/>
                <w:szCs w:val="2"/>
              </w:rPr>
            </w:pPr>
          </w:p>
        </w:tc>
        <w:tc>
          <w:tcPr>
            <w:tcW w:w="3150" w:type="dxa"/>
          </w:tcPr>
          <w:p>
            <w:pPr>
              <w:pStyle w:val="TableParagraph"/>
              <w:ind w:left="108"/>
              <w:rPr>
                <w:rFonts w:ascii="Calibri"/>
                <w:sz w:val="20"/>
              </w:rPr>
            </w:pPr>
            <w:r>
              <w:rPr>
                <w:rFonts w:ascii="Calibri"/>
                <w:spacing w:val="-2"/>
                <w:sz w:val="20"/>
              </w:rPr>
              <w:t>Livadhe</w:t>
            </w:r>
          </w:p>
        </w:tc>
        <w:tc>
          <w:tcPr>
            <w:tcW w:w="3045" w:type="dxa"/>
          </w:tcPr>
          <w:p>
            <w:pPr>
              <w:pStyle w:val="TableParagraph"/>
              <w:ind w:left="108"/>
              <w:rPr>
                <w:rFonts w:ascii="Calibri"/>
                <w:sz w:val="20"/>
              </w:rPr>
            </w:pPr>
            <w:r>
              <w:rPr>
                <w:rFonts w:ascii="Calibri"/>
                <w:spacing w:val="-2"/>
                <w:sz w:val="20"/>
              </w:rPr>
              <w:t>230,16</w:t>
            </w:r>
          </w:p>
        </w:tc>
      </w:tr>
      <w:tr>
        <w:trPr>
          <w:trHeight w:val="492" w:hRule="atLeast"/>
        </w:trPr>
        <w:tc>
          <w:tcPr>
            <w:tcW w:w="3160" w:type="dxa"/>
            <w:vMerge/>
            <w:tcBorders>
              <w:top w:val="nil"/>
            </w:tcBorders>
          </w:tcPr>
          <w:p>
            <w:pPr>
              <w:rPr>
                <w:sz w:val="2"/>
                <w:szCs w:val="2"/>
              </w:rPr>
            </w:pPr>
          </w:p>
        </w:tc>
        <w:tc>
          <w:tcPr>
            <w:tcW w:w="3150" w:type="dxa"/>
          </w:tcPr>
          <w:p>
            <w:pPr>
              <w:pStyle w:val="TableParagraph"/>
              <w:ind w:left="108"/>
              <w:rPr>
                <w:rFonts w:ascii="Calibri"/>
                <w:sz w:val="20"/>
              </w:rPr>
            </w:pPr>
            <w:r>
              <w:rPr>
                <w:rFonts w:ascii="Calibri"/>
                <w:spacing w:val="-2"/>
                <w:sz w:val="20"/>
              </w:rPr>
              <w:t>Kullosa</w:t>
            </w:r>
          </w:p>
        </w:tc>
        <w:tc>
          <w:tcPr>
            <w:tcW w:w="3045" w:type="dxa"/>
          </w:tcPr>
          <w:p>
            <w:pPr>
              <w:pStyle w:val="TableParagraph"/>
              <w:ind w:left="108"/>
              <w:rPr>
                <w:rFonts w:ascii="Calibri"/>
                <w:sz w:val="20"/>
              </w:rPr>
            </w:pPr>
            <w:r>
              <w:rPr>
                <w:rFonts w:ascii="Calibri"/>
                <w:spacing w:val="-2"/>
                <w:sz w:val="20"/>
              </w:rPr>
              <w:t>1.693,26</w:t>
            </w:r>
          </w:p>
        </w:tc>
      </w:tr>
      <w:tr>
        <w:trPr>
          <w:trHeight w:val="492" w:hRule="atLeast"/>
        </w:trPr>
        <w:tc>
          <w:tcPr>
            <w:tcW w:w="3160" w:type="dxa"/>
            <w:vMerge/>
            <w:tcBorders>
              <w:top w:val="nil"/>
            </w:tcBorders>
          </w:tcPr>
          <w:p>
            <w:pPr>
              <w:rPr>
                <w:sz w:val="2"/>
                <w:szCs w:val="2"/>
              </w:rPr>
            </w:pPr>
          </w:p>
        </w:tc>
        <w:tc>
          <w:tcPr>
            <w:tcW w:w="3150" w:type="dxa"/>
          </w:tcPr>
          <w:p>
            <w:pPr>
              <w:pStyle w:val="TableParagraph"/>
              <w:ind w:left="108"/>
              <w:rPr>
                <w:rFonts w:ascii="Calibri"/>
                <w:b/>
                <w:sz w:val="20"/>
              </w:rPr>
            </w:pPr>
            <w:r>
              <w:rPr>
                <w:rFonts w:ascii="Calibri"/>
                <w:b/>
                <w:spacing w:val="-2"/>
                <w:sz w:val="20"/>
              </w:rPr>
              <w:t>Gjithsej</w:t>
            </w:r>
          </w:p>
        </w:tc>
        <w:tc>
          <w:tcPr>
            <w:tcW w:w="3045" w:type="dxa"/>
          </w:tcPr>
          <w:p>
            <w:pPr>
              <w:pStyle w:val="TableParagraph"/>
              <w:ind w:left="108"/>
              <w:rPr>
                <w:rFonts w:ascii="Calibri"/>
                <w:b/>
                <w:sz w:val="20"/>
              </w:rPr>
            </w:pPr>
            <w:r>
              <w:rPr>
                <w:rFonts w:ascii="Calibri"/>
                <w:b/>
                <w:spacing w:val="-2"/>
                <w:sz w:val="20"/>
              </w:rPr>
              <w:t>3.100,72</w:t>
            </w:r>
          </w:p>
        </w:tc>
      </w:tr>
      <w:tr>
        <w:trPr>
          <w:trHeight w:val="492" w:hRule="atLeast"/>
        </w:trPr>
        <w:tc>
          <w:tcPr>
            <w:tcW w:w="6310" w:type="dxa"/>
            <w:gridSpan w:val="2"/>
          </w:tcPr>
          <w:p>
            <w:pPr>
              <w:pStyle w:val="TableParagraph"/>
              <w:ind w:left="108"/>
              <w:rPr>
                <w:rFonts w:ascii="Calibri" w:hAnsi="Calibri"/>
                <w:sz w:val="20"/>
              </w:rPr>
            </w:pPr>
            <w:r>
              <w:rPr>
                <w:rFonts w:ascii="Calibri" w:hAnsi="Calibri"/>
                <w:sz w:val="20"/>
              </w:rPr>
              <w:t>Tokë</w:t>
            </w:r>
            <w:r>
              <w:rPr>
                <w:rFonts w:ascii="Calibri" w:hAnsi="Calibri"/>
                <w:spacing w:val="-4"/>
                <w:sz w:val="20"/>
              </w:rPr>
              <w:t> </w:t>
            </w:r>
            <w:r>
              <w:rPr>
                <w:rFonts w:ascii="Calibri" w:hAnsi="Calibri"/>
                <w:sz w:val="20"/>
              </w:rPr>
              <w:t>jo</w:t>
            </w:r>
            <w:r>
              <w:rPr>
                <w:rFonts w:ascii="Calibri" w:hAnsi="Calibri"/>
                <w:spacing w:val="-3"/>
                <w:sz w:val="20"/>
              </w:rPr>
              <w:t> </w:t>
            </w:r>
            <w:r>
              <w:rPr>
                <w:rFonts w:ascii="Calibri" w:hAnsi="Calibri"/>
                <w:spacing w:val="-2"/>
                <w:sz w:val="20"/>
              </w:rPr>
              <w:t>pjellore</w:t>
            </w:r>
          </w:p>
        </w:tc>
        <w:tc>
          <w:tcPr>
            <w:tcW w:w="3045" w:type="dxa"/>
          </w:tcPr>
          <w:p>
            <w:pPr>
              <w:pStyle w:val="TableParagraph"/>
              <w:ind w:left="108"/>
              <w:rPr>
                <w:rFonts w:ascii="Calibri"/>
                <w:sz w:val="20"/>
              </w:rPr>
            </w:pPr>
            <w:r>
              <w:rPr>
                <w:rFonts w:ascii="Calibri"/>
                <w:spacing w:val="-2"/>
                <w:sz w:val="20"/>
              </w:rPr>
              <w:t>519,40</w:t>
            </w:r>
          </w:p>
        </w:tc>
      </w:tr>
      <w:tr>
        <w:trPr>
          <w:trHeight w:val="494" w:hRule="atLeast"/>
        </w:trPr>
        <w:tc>
          <w:tcPr>
            <w:tcW w:w="6310" w:type="dxa"/>
            <w:gridSpan w:val="2"/>
          </w:tcPr>
          <w:p>
            <w:pPr>
              <w:pStyle w:val="TableParagraph"/>
              <w:ind w:left="108"/>
              <w:rPr>
                <w:rFonts w:ascii="Calibri"/>
                <w:b/>
                <w:sz w:val="20"/>
              </w:rPr>
            </w:pPr>
            <w:r>
              <w:rPr>
                <w:rFonts w:ascii="Calibri"/>
                <w:b/>
                <w:spacing w:val="-2"/>
                <w:sz w:val="20"/>
              </w:rPr>
              <w:t>Gjithsej</w:t>
            </w:r>
          </w:p>
        </w:tc>
        <w:tc>
          <w:tcPr>
            <w:tcW w:w="3045" w:type="dxa"/>
          </w:tcPr>
          <w:p>
            <w:pPr>
              <w:pStyle w:val="TableParagraph"/>
              <w:ind w:left="108"/>
              <w:rPr>
                <w:rFonts w:ascii="Calibri"/>
                <w:b/>
                <w:sz w:val="20"/>
              </w:rPr>
            </w:pPr>
            <w:r>
              <w:rPr>
                <w:rFonts w:ascii="Calibri"/>
                <w:b/>
                <w:spacing w:val="-2"/>
                <w:sz w:val="20"/>
              </w:rPr>
              <w:t>3,620.12</w:t>
            </w:r>
          </w:p>
        </w:tc>
      </w:tr>
    </w:tbl>
    <w:p>
      <w:pPr>
        <w:spacing w:before="5"/>
        <w:ind w:left="3550" w:right="0" w:firstLine="0"/>
        <w:jc w:val="left"/>
        <w:rPr>
          <w:sz w:val="24"/>
        </w:rPr>
      </w:pPr>
      <w:r>
        <w:rPr>
          <w:b/>
          <w:sz w:val="24"/>
        </w:rPr>
        <w:t>Tabela</w:t>
      </w:r>
      <w:r>
        <w:rPr>
          <w:b/>
          <w:spacing w:val="-7"/>
          <w:sz w:val="24"/>
        </w:rPr>
        <w:t> </w:t>
      </w:r>
      <w:r>
        <w:rPr>
          <w:b/>
          <w:sz w:val="24"/>
        </w:rPr>
        <w:t>9:</w:t>
      </w:r>
      <w:r>
        <w:rPr>
          <w:b/>
          <w:spacing w:val="-5"/>
          <w:sz w:val="24"/>
        </w:rPr>
        <w:t> </w:t>
      </w:r>
      <w:r>
        <w:rPr>
          <w:sz w:val="24"/>
        </w:rPr>
        <w:t>Sipërfaqja</w:t>
      </w:r>
      <w:r>
        <w:rPr>
          <w:spacing w:val="-6"/>
          <w:sz w:val="24"/>
        </w:rPr>
        <w:t> </w:t>
      </w:r>
      <w:r>
        <w:rPr>
          <w:sz w:val="24"/>
        </w:rPr>
        <w:t>e</w:t>
      </w:r>
      <w:r>
        <w:rPr>
          <w:spacing w:val="-7"/>
          <w:sz w:val="24"/>
        </w:rPr>
        <w:t> </w:t>
      </w:r>
      <w:r>
        <w:rPr>
          <w:sz w:val="24"/>
        </w:rPr>
        <w:t>tokës</w:t>
      </w:r>
      <w:r>
        <w:rPr>
          <w:spacing w:val="-7"/>
          <w:sz w:val="24"/>
        </w:rPr>
        <w:t> </w:t>
      </w:r>
      <w:r>
        <w:rPr>
          <w:spacing w:val="-2"/>
          <w:sz w:val="24"/>
        </w:rPr>
        <w:t>bujqësore</w:t>
      </w:r>
    </w:p>
    <w:p>
      <w:pPr>
        <w:spacing w:after="0"/>
        <w:jc w:val="left"/>
        <w:rPr>
          <w:sz w:val="24"/>
        </w:rPr>
        <w:sectPr>
          <w:footerReference w:type="default" r:id="rId50"/>
          <w:pgSz w:w="12240" w:h="15840"/>
          <w:pgMar w:footer="990" w:header="0" w:top="20" w:bottom="1180" w:left="700" w:right="0"/>
          <w:pgNumType w:start="27"/>
        </w:sectPr>
      </w:pPr>
    </w:p>
    <w:p>
      <w:pPr>
        <w:pStyle w:val="BodyText"/>
        <w:spacing w:before="60"/>
        <w:ind w:left="740" w:right="1437"/>
        <w:jc w:val="both"/>
      </w:pPr>
      <w:r>
        <w:rPr/>
        <w:t>Nga zhvillimet në terren dhe të dhënat komunale është më se e qartë së toka lavërtare është duke u</w:t>
      </w:r>
      <w:r>
        <w:rPr>
          <w:spacing w:val="-10"/>
        </w:rPr>
        <w:t> </w:t>
      </w:r>
      <w:r>
        <w:rPr/>
        <w:t>shfrytëzuar</w:t>
      </w:r>
      <w:r>
        <w:rPr>
          <w:spacing w:val="-10"/>
        </w:rPr>
        <w:t> </w:t>
      </w:r>
      <w:r>
        <w:rPr/>
        <w:t>kualitativisht</w:t>
      </w:r>
      <w:r>
        <w:rPr>
          <w:spacing w:val="-10"/>
        </w:rPr>
        <w:t> </w:t>
      </w:r>
      <w:r>
        <w:rPr/>
        <w:t>vetëm</w:t>
      </w:r>
      <w:r>
        <w:rPr>
          <w:spacing w:val="-10"/>
        </w:rPr>
        <w:t> </w:t>
      </w:r>
      <w:r>
        <w:rPr/>
        <w:t>rreth</w:t>
      </w:r>
      <w:r>
        <w:rPr>
          <w:spacing w:val="-11"/>
        </w:rPr>
        <w:t> </w:t>
      </w:r>
      <w:r>
        <w:rPr/>
        <w:t>13%.</w:t>
      </w:r>
      <w:r>
        <w:rPr>
          <w:spacing w:val="-10"/>
        </w:rPr>
        <w:t> </w:t>
      </w:r>
      <w:r>
        <w:rPr/>
        <w:t>Pjesa</w:t>
      </w:r>
      <w:r>
        <w:rPr>
          <w:spacing w:val="-10"/>
        </w:rPr>
        <w:t> </w:t>
      </w:r>
      <w:r>
        <w:rPr/>
        <w:t>tjetër</w:t>
      </w:r>
      <w:r>
        <w:rPr>
          <w:spacing w:val="-9"/>
        </w:rPr>
        <w:t> </w:t>
      </w:r>
      <w:r>
        <w:rPr/>
        <w:t>e</w:t>
      </w:r>
      <w:r>
        <w:rPr>
          <w:spacing w:val="-9"/>
        </w:rPr>
        <w:t> </w:t>
      </w:r>
      <w:r>
        <w:rPr/>
        <w:t>sipërfaqes</w:t>
      </w:r>
      <w:r>
        <w:rPr>
          <w:spacing w:val="-9"/>
        </w:rPr>
        <w:t> </w:t>
      </w:r>
      <w:r>
        <w:rPr/>
        <w:t>është</w:t>
      </w:r>
      <w:r>
        <w:rPr>
          <w:spacing w:val="-10"/>
        </w:rPr>
        <w:t> </w:t>
      </w:r>
      <w:r>
        <w:rPr/>
        <w:t>duke</w:t>
      </w:r>
      <w:r>
        <w:rPr>
          <w:spacing w:val="-9"/>
        </w:rPr>
        <w:t> </w:t>
      </w:r>
      <w:r>
        <w:rPr/>
        <w:t>u</w:t>
      </w:r>
      <w:r>
        <w:rPr>
          <w:spacing w:val="-10"/>
        </w:rPr>
        <w:t> </w:t>
      </w:r>
      <w:r>
        <w:rPr/>
        <w:t>shndërruar</w:t>
      </w:r>
      <w:r>
        <w:rPr>
          <w:spacing w:val="-10"/>
        </w:rPr>
        <w:t> </w:t>
      </w:r>
      <w:r>
        <w:rPr/>
        <w:t>dita- ditës në tokë ndërtimore (posaçërisht Lagja e Re), lënë djerrë apo duke iu ndërruar destinimi në favor të livadheve/ kullosave.</w:t>
      </w:r>
    </w:p>
    <w:p>
      <w:pPr>
        <w:pStyle w:val="Heading2"/>
        <w:numPr>
          <w:ilvl w:val="1"/>
          <w:numId w:val="4"/>
        </w:numPr>
        <w:tabs>
          <w:tab w:pos="1611" w:val="left" w:leader="none"/>
          <w:tab w:pos="10131" w:val="left" w:leader="none"/>
        </w:tabs>
        <w:spacing w:line="240" w:lineRule="auto" w:before="201" w:after="0"/>
        <w:ind w:left="740" w:right="0" w:firstLine="420"/>
        <w:jc w:val="left"/>
      </w:pPr>
      <w:r>
        <w:rPr>
          <w:color w:val="000000"/>
          <w:shd w:fill="EAB8A3" w:color="auto" w:val="clear"/>
        </w:rPr>
        <w:t>Prodhimet</w:t>
      </w:r>
      <w:r>
        <w:rPr>
          <w:color w:val="000000"/>
          <w:spacing w:val="-3"/>
          <w:shd w:fill="EAB8A3" w:color="auto" w:val="clear"/>
        </w:rPr>
        <w:t> </w:t>
      </w:r>
      <w:r>
        <w:rPr>
          <w:color w:val="000000"/>
          <w:spacing w:val="-2"/>
          <w:shd w:fill="EAB8A3" w:color="auto" w:val="clear"/>
        </w:rPr>
        <w:t>buqësore</w:t>
      </w:r>
      <w:r>
        <w:rPr>
          <w:color w:val="000000"/>
          <w:shd w:fill="EAB8A3" w:color="auto" w:val="clear"/>
        </w:rPr>
        <w:tab/>
      </w:r>
    </w:p>
    <w:p>
      <w:pPr>
        <w:pStyle w:val="BodyText"/>
        <w:spacing w:before="199"/>
        <w:ind w:left="740" w:right="1437"/>
        <w:jc w:val="both"/>
      </w:pPr>
      <w:r>
        <w:rPr/>
        <w:t>Sa i përket tokës lavërtare, tradicionalisht në territorin e Hanit të Elezit (në të shumtën në Rrafshnaltën</w:t>
      </w:r>
      <w:r>
        <w:rPr>
          <w:spacing w:val="-5"/>
        </w:rPr>
        <w:t> </w:t>
      </w:r>
      <w:r>
        <w:rPr/>
        <w:t>e</w:t>
      </w:r>
      <w:r>
        <w:rPr>
          <w:spacing w:val="-4"/>
        </w:rPr>
        <w:t> </w:t>
      </w:r>
      <w:r>
        <w:rPr/>
        <w:t>Krivenikut)</w:t>
      </w:r>
      <w:r>
        <w:rPr>
          <w:spacing w:val="-4"/>
        </w:rPr>
        <w:t> </w:t>
      </w:r>
      <w:r>
        <w:rPr/>
        <w:t>është</w:t>
      </w:r>
      <w:r>
        <w:rPr>
          <w:spacing w:val="-5"/>
        </w:rPr>
        <w:t> </w:t>
      </w:r>
      <w:r>
        <w:rPr/>
        <w:t>mbjellë</w:t>
      </w:r>
      <w:r>
        <w:rPr>
          <w:spacing w:val="-4"/>
        </w:rPr>
        <w:t> </w:t>
      </w:r>
      <w:r>
        <w:rPr/>
        <w:t>gruri.</w:t>
      </w:r>
      <w:r>
        <w:rPr>
          <w:spacing w:val="-4"/>
        </w:rPr>
        <w:t> </w:t>
      </w:r>
      <w:r>
        <w:rPr/>
        <w:t>Kulturat</w:t>
      </w:r>
      <w:r>
        <w:rPr>
          <w:spacing w:val="-5"/>
        </w:rPr>
        <w:t> </w:t>
      </w:r>
      <w:r>
        <w:rPr/>
        <w:t>tjera</w:t>
      </w:r>
      <w:r>
        <w:rPr>
          <w:spacing w:val="-5"/>
        </w:rPr>
        <w:t> </w:t>
      </w:r>
      <w:r>
        <w:rPr/>
        <w:t>që</w:t>
      </w:r>
      <w:r>
        <w:rPr>
          <w:spacing w:val="-4"/>
        </w:rPr>
        <w:t> </w:t>
      </w:r>
      <w:r>
        <w:rPr/>
        <w:t>mbillet</w:t>
      </w:r>
      <w:r>
        <w:rPr>
          <w:spacing w:val="-5"/>
        </w:rPr>
        <w:t> </w:t>
      </w:r>
      <w:r>
        <w:rPr/>
        <w:t>tradicionalisht</w:t>
      </w:r>
      <w:r>
        <w:rPr>
          <w:spacing w:val="-5"/>
        </w:rPr>
        <w:t> </w:t>
      </w:r>
      <w:r>
        <w:rPr/>
        <w:t>janë</w:t>
      </w:r>
      <w:r>
        <w:rPr>
          <w:spacing w:val="-4"/>
        </w:rPr>
        <w:t> </w:t>
      </w:r>
      <w:r>
        <w:rPr/>
        <w:t>misri, elbi,</w:t>
      </w:r>
      <w:r>
        <w:rPr>
          <w:spacing w:val="-8"/>
        </w:rPr>
        <w:t> </w:t>
      </w:r>
      <w:r>
        <w:rPr/>
        <w:t>tërshëra</w:t>
      </w:r>
      <w:r>
        <w:rPr>
          <w:spacing w:val="-7"/>
        </w:rPr>
        <w:t> </w:t>
      </w:r>
      <w:r>
        <w:rPr/>
        <w:t>dhe</w:t>
      </w:r>
      <w:r>
        <w:rPr>
          <w:spacing w:val="-7"/>
        </w:rPr>
        <w:t> </w:t>
      </w:r>
      <w:r>
        <w:rPr/>
        <w:t>patatja</w:t>
      </w:r>
      <w:r>
        <w:rPr>
          <w:spacing w:val="-7"/>
        </w:rPr>
        <w:t> </w:t>
      </w:r>
      <w:r>
        <w:rPr/>
        <w:t>të</w:t>
      </w:r>
      <w:r>
        <w:rPr>
          <w:spacing w:val="-8"/>
        </w:rPr>
        <w:t> </w:t>
      </w:r>
      <w:r>
        <w:rPr/>
        <w:t>cilat</w:t>
      </w:r>
      <w:r>
        <w:rPr>
          <w:spacing w:val="-8"/>
        </w:rPr>
        <w:t> </w:t>
      </w:r>
      <w:r>
        <w:rPr/>
        <w:t>janë</w:t>
      </w:r>
      <w:r>
        <w:rPr>
          <w:spacing w:val="-8"/>
        </w:rPr>
        <w:t> </w:t>
      </w:r>
      <w:r>
        <w:rPr/>
        <w:t>në</w:t>
      </w:r>
      <w:r>
        <w:rPr>
          <w:spacing w:val="-7"/>
        </w:rPr>
        <w:t> </w:t>
      </w:r>
      <w:r>
        <w:rPr/>
        <w:t>sasi</w:t>
      </w:r>
      <w:r>
        <w:rPr>
          <w:spacing w:val="-7"/>
        </w:rPr>
        <w:t> </w:t>
      </w:r>
      <w:r>
        <w:rPr/>
        <w:t>më</w:t>
      </w:r>
      <w:r>
        <w:rPr>
          <w:spacing w:val="-7"/>
        </w:rPr>
        <w:t> </w:t>
      </w:r>
      <w:r>
        <w:rPr/>
        <w:t>të</w:t>
      </w:r>
      <w:r>
        <w:rPr>
          <w:spacing w:val="-7"/>
        </w:rPr>
        <w:t> </w:t>
      </w:r>
      <w:r>
        <w:rPr/>
        <w:t>vogla.</w:t>
      </w:r>
      <w:r>
        <w:rPr>
          <w:spacing w:val="-7"/>
        </w:rPr>
        <w:t> </w:t>
      </w:r>
      <w:r>
        <w:rPr/>
        <w:t>Mesatarja</w:t>
      </w:r>
      <w:r>
        <w:rPr>
          <w:spacing w:val="-5"/>
        </w:rPr>
        <w:t> </w:t>
      </w:r>
      <w:r>
        <w:rPr/>
        <w:t>e</w:t>
      </w:r>
      <w:r>
        <w:rPr>
          <w:spacing w:val="-7"/>
        </w:rPr>
        <w:t> </w:t>
      </w:r>
      <w:r>
        <w:rPr/>
        <w:t>prodhimit</w:t>
      </w:r>
      <w:r>
        <w:rPr>
          <w:spacing w:val="-7"/>
        </w:rPr>
        <w:t> </w:t>
      </w:r>
      <w:r>
        <w:rPr/>
        <w:t>të</w:t>
      </w:r>
      <w:r>
        <w:rPr>
          <w:spacing w:val="-5"/>
        </w:rPr>
        <w:t> </w:t>
      </w:r>
      <w:r>
        <w:rPr/>
        <w:t>drithërave</w:t>
      </w:r>
      <w:r>
        <w:rPr>
          <w:spacing w:val="-7"/>
        </w:rPr>
        <w:t> </w:t>
      </w:r>
      <w:r>
        <w:rPr/>
        <w:t>sillet nga 3.5 t/ha deri</w:t>
      </w:r>
      <w:r>
        <w:rPr>
          <w:spacing w:val="40"/>
        </w:rPr>
        <w:t> </w:t>
      </w:r>
      <w:r>
        <w:rPr/>
        <w:t>në 4.5 t/ha te gruri dhe nga 5t/ha</w:t>
      </w:r>
      <w:r>
        <w:rPr>
          <w:spacing w:val="40"/>
        </w:rPr>
        <w:t> </w:t>
      </w:r>
      <w:r>
        <w:rPr/>
        <w:t>deri në 6.5 t/ha te misri. Edhe kultivimi i perimeve ka marrë hov viteve të fundit. Janë ndërtuar serra për kultivim ekstenziv të domates, specit, trangullit, pjeprit por edhe perimeve barishtore. Këto kultura mbillen edhe në hapësira të </w:t>
      </w:r>
      <w:r>
        <w:rPr>
          <w:spacing w:val="-2"/>
        </w:rPr>
        <w:t>jashtme.</w:t>
      </w:r>
    </w:p>
    <w:p>
      <w:pPr>
        <w:pStyle w:val="BodyText"/>
        <w:spacing w:before="201"/>
        <w:ind w:left="740" w:right="1439"/>
        <w:jc w:val="both"/>
      </w:pPr>
      <w:r>
        <w:rPr/>
        <w:t>Në vazhdën e këtij hovi përfshihet edhe kultivimi i frutave të pyllit si dredhëza dhe mjedra. Në kuadër të pemtarisë është prezantuar edhe rrushi i tryezës. Vazhdojnë të kultivohen edhe arrat, mollat, kumbullat, dardhat dhe frutat tjera. Kultivimi i foragjereve përfshinë barin klasik (sanë) dhe jonxhën. Këto të fundit po kultivohen nëpër toka të destinuara si livadhe</w:t>
      </w:r>
    </w:p>
    <w:p>
      <w:pPr>
        <w:pStyle w:val="BodyText"/>
        <w:spacing w:before="199"/>
        <w:ind w:left="740"/>
        <w:jc w:val="both"/>
      </w:pPr>
      <w:r>
        <w:rPr/>
        <w:t>Sipërfaqet</w:t>
      </w:r>
      <w:r>
        <w:rPr>
          <w:spacing w:val="-6"/>
        </w:rPr>
        <w:t> </w:t>
      </w:r>
      <w:r>
        <w:rPr/>
        <w:t>e</w:t>
      </w:r>
      <w:r>
        <w:rPr>
          <w:spacing w:val="-7"/>
        </w:rPr>
        <w:t> </w:t>
      </w:r>
      <w:r>
        <w:rPr/>
        <w:t>mbjella</w:t>
      </w:r>
      <w:r>
        <w:rPr>
          <w:spacing w:val="-7"/>
        </w:rPr>
        <w:t> </w:t>
      </w:r>
      <w:r>
        <w:rPr/>
        <w:t>me</w:t>
      </w:r>
      <w:r>
        <w:rPr>
          <w:spacing w:val="-5"/>
        </w:rPr>
        <w:t> </w:t>
      </w:r>
      <w:r>
        <w:rPr/>
        <w:t>këto</w:t>
      </w:r>
      <w:r>
        <w:rPr>
          <w:spacing w:val="-6"/>
        </w:rPr>
        <w:t> </w:t>
      </w:r>
      <w:r>
        <w:rPr/>
        <w:t>kultura</w:t>
      </w:r>
      <w:r>
        <w:rPr>
          <w:spacing w:val="-7"/>
        </w:rPr>
        <w:t> </w:t>
      </w:r>
      <w:r>
        <w:rPr/>
        <w:t>janë</w:t>
      </w:r>
      <w:r>
        <w:rPr>
          <w:spacing w:val="-5"/>
        </w:rPr>
        <w:t> </w:t>
      </w:r>
      <w:r>
        <w:rPr/>
        <w:t>dhënë</w:t>
      </w:r>
      <w:r>
        <w:rPr>
          <w:spacing w:val="-6"/>
        </w:rPr>
        <w:t> </w:t>
      </w:r>
      <w:r>
        <w:rPr/>
        <w:t>në</w:t>
      </w:r>
      <w:r>
        <w:rPr>
          <w:spacing w:val="-6"/>
        </w:rPr>
        <w:t> </w:t>
      </w:r>
      <w:r>
        <w:rPr>
          <w:spacing w:val="-2"/>
        </w:rPr>
        <w:t>vijim</w:t>
      </w:r>
    </w:p>
    <w:p>
      <w:pPr>
        <w:pStyle w:val="BodyText"/>
        <w:spacing w:before="4" w:after="1"/>
        <w:rPr>
          <w:sz w:val="17"/>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9"/>
        <w:gridCol w:w="2951"/>
        <w:gridCol w:w="2831"/>
      </w:tblGrid>
      <w:tr>
        <w:trPr>
          <w:trHeight w:val="492" w:hRule="atLeast"/>
        </w:trPr>
        <w:tc>
          <w:tcPr>
            <w:tcW w:w="8751" w:type="dxa"/>
            <w:gridSpan w:val="3"/>
          </w:tcPr>
          <w:p>
            <w:pPr>
              <w:pStyle w:val="TableParagraph"/>
              <w:ind w:left="107"/>
              <w:rPr>
                <w:rFonts w:ascii="Calibri" w:hAnsi="Calibri"/>
                <w:b/>
                <w:sz w:val="20"/>
              </w:rPr>
            </w:pPr>
            <w:r>
              <w:rPr>
                <w:rFonts w:ascii="Calibri" w:hAnsi="Calibri"/>
                <w:b/>
                <w:sz w:val="20"/>
              </w:rPr>
              <w:t>Sipërfaqet</w:t>
            </w:r>
            <w:r>
              <w:rPr>
                <w:rFonts w:ascii="Calibri" w:hAnsi="Calibri"/>
                <w:b/>
                <w:spacing w:val="-3"/>
                <w:sz w:val="20"/>
              </w:rPr>
              <w:t> </w:t>
            </w:r>
            <w:r>
              <w:rPr>
                <w:rFonts w:ascii="Calibri" w:hAnsi="Calibri"/>
                <w:b/>
                <w:sz w:val="20"/>
              </w:rPr>
              <w:t>e</w:t>
            </w:r>
            <w:r>
              <w:rPr>
                <w:rFonts w:ascii="Calibri" w:hAnsi="Calibri"/>
                <w:b/>
                <w:spacing w:val="-3"/>
                <w:sz w:val="20"/>
              </w:rPr>
              <w:t> </w:t>
            </w:r>
            <w:r>
              <w:rPr>
                <w:rFonts w:ascii="Calibri" w:hAnsi="Calibri"/>
                <w:b/>
                <w:sz w:val="20"/>
              </w:rPr>
              <w:t>mbjella</w:t>
            </w:r>
            <w:r>
              <w:rPr>
                <w:rFonts w:ascii="Calibri" w:hAnsi="Calibri"/>
                <w:b/>
                <w:spacing w:val="-4"/>
                <w:sz w:val="20"/>
              </w:rPr>
              <w:t> </w:t>
            </w:r>
            <w:r>
              <w:rPr>
                <w:rFonts w:ascii="Calibri" w:hAnsi="Calibri"/>
                <w:b/>
                <w:sz w:val="20"/>
              </w:rPr>
              <w:t>me</w:t>
            </w:r>
            <w:r>
              <w:rPr>
                <w:rFonts w:ascii="Calibri" w:hAnsi="Calibri"/>
                <w:b/>
                <w:spacing w:val="-4"/>
                <w:sz w:val="20"/>
              </w:rPr>
              <w:t> </w:t>
            </w:r>
            <w:r>
              <w:rPr>
                <w:rFonts w:ascii="Calibri" w:hAnsi="Calibri"/>
                <w:b/>
                <w:sz w:val="20"/>
              </w:rPr>
              <w:t>kultura</w:t>
            </w:r>
            <w:r>
              <w:rPr>
                <w:rFonts w:ascii="Calibri" w:hAnsi="Calibri"/>
                <w:b/>
                <w:spacing w:val="-2"/>
                <w:sz w:val="20"/>
              </w:rPr>
              <w:t> </w:t>
            </w:r>
            <w:r>
              <w:rPr>
                <w:rFonts w:ascii="Calibri" w:hAnsi="Calibri"/>
                <w:b/>
                <w:sz w:val="20"/>
              </w:rPr>
              <w:t>të</w:t>
            </w:r>
            <w:r>
              <w:rPr>
                <w:rFonts w:ascii="Calibri" w:hAnsi="Calibri"/>
                <w:b/>
                <w:spacing w:val="-3"/>
                <w:sz w:val="20"/>
              </w:rPr>
              <w:t> </w:t>
            </w:r>
            <w:r>
              <w:rPr>
                <w:rFonts w:ascii="Calibri" w:hAnsi="Calibri"/>
                <w:b/>
                <w:sz w:val="20"/>
              </w:rPr>
              <w:t>ndryshme</w:t>
            </w:r>
            <w:r>
              <w:rPr>
                <w:rFonts w:ascii="Calibri" w:hAnsi="Calibri"/>
                <w:b/>
                <w:spacing w:val="-3"/>
                <w:sz w:val="20"/>
              </w:rPr>
              <w:t> </w:t>
            </w:r>
            <w:r>
              <w:rPr>
                <w:rFonts w:ascii="Calibri" w:hAnsi="Calibri"/>
                <w:b/>
                <w:spacing w:val="-4"/>
                <w:sz w:val="20"/>
              </w:rPr>
              <w:t>(ha)</w:t>
            </w:r>
          </w:p>
        </w:tc>
      </w:tr>
      <w:tr>
        <w:trPr>
          <w:trHeight w:val="492" w:hRule="atLeast"/>
        </w:trPr>
        <w:tc>
          <w:tcPr>
            <w:tcW w:w="2969" w:type="dxa"/>
            <w:vMerge w:val="restart"/>
          </w:tcPr>
          <w:p>
            <w:pPr>
              <w:pStyle w:val="TableParagraph"/>
              <w:ind w:left="107"/>
              <w:rPr>
                <w:rFonts w:ascii="Calibri" w:hAnsi="Calibri"/>
                <w:sz w:val="20"/>
              </w:rPr>
            </w:pPr>
            <w:r>
              <w:rPr>
                <w:rFonts w:ascii="Calibri" w:hAnsi="Calibri"/>
                <w:sz w:val="20"/>
              </w:rPr>
              <w:t>Drithërat</w:t>
            </w:r>
            <w:r>
              <w:rPr>
                <w:rFonts w:ascii="Calibri" w:hAnsi="Calibri"/>
                <w:spacing w:val="-6"/>
                <w:sz w:val="20"/>
              </w:rPr>
              <w:t> </w:t>
            </w:r>
            <w:r>
              <w:rPr>
                <w:rFonts w:ascii="Calibri" w:hAnsi="Calibri"/>
                <w:sz w:val="20"/>
              </w:rPr>
              <w:t>dhe</w:t>
            </w:r>
            <w:r>
              <w:rPr>
                <w:rFonts w:ascii="Calibri" w:hAnsi="Calibri"/>
                <w:spacing w:val="-5"/>
                <w:sz w:val="20"/>
              </w:rPr>
              <w:t> </w:t>
            </w:r>
            <w:r>
              <w:rPr>
                <w:rFonts w:ascii="Calibri" w:hAnsi="Calibri"/>
                <w:sz w:val="20"/>
              </w:rPr>
              <w:t>të</w:t>
            </w:r>
            <w:r>
              <w:rPr>
                <w:rFonts w:ascii="Calibri" w:hAnsi="Calibri"/>
                <w:spacing w:val="-3"/>
                <w:sz w:val="20"/>
              </w:rPr>
              <w:t> </w:t>
            </w:r>
            <w:r>
              <w:rPr>
                <w:rFonts w:ascii="Calibri" w:hAnsi="Calibri"/>
                <w:spacing w:val="-2"/>
                <w:sz w:val="20"/>
              </w:rPr>
              <w:t>ngjashme</w:t>
            </w:r>
          </w:p>
        </w:tc>
        <w:tc>
          <w:tcPr>
            <w:tcW w:w="2951" w:type="dxa"/>
          </w:tcPr>
          <w:p>
            <w:pPr>
              <w:pStyle w:val="TableParagraph"/>
              <w:ind w:left="108"/>
              <w:rPr>
                <w:rFonts w:ascii="Calibri"/>
                <w:sz w:val="20"/>
              </w:rPr>
            </w:pPr>
            <w:r>
              <w:rPr>
                <w:rFonts w:ascii="Calibri"/>
                <w:spacing w:val="-2"/>
                <w:sz w:val="20"/>
              </w:rPr>
              <w:t>Gruri</w:t>
            </w:r>
          </w:p>
        </w:tc>
        <w:tc>
          <w:tcPr>
            <w:tcW w:w="2831" w:type="dxa"/>
          </w:tcPr>
          <w:p>
            <w:pPr>
              <w:pStyle w:val="TableParagraph"/>
              <w:ind w:left="108"/>
              <w:rPr>
                <w:rFonts w:ascii="Calibri"/>
                <w:sz w:val="20"/>
              </w:rPr>
            </w:pPr>
            <w:r>
              <w:rPr>
                <w:rFonts w:ascii="Calibri"/>
                <w:spacing w:val="-2"/>
                <w:sz w:val="20"/>
              </w:rPr>
              <w:t>15,00</w:t>
            </w:r>
          </w:p>
        </w:tc>
      </w:tr>
      <w:tr>
        <w:trPr>
          <w:trHeight w:val="493" w:hRule="atLeast"/>
        </w:trPr>
        <w:tc>
          <w:tcPr>
            <w:tcW w:w="2969" w:type="dxa"/>
            <w:vMerge/>
            <w:tcBorders>
              <w:top w:val="nil"/>
            </w:tcBorders>
          </w:tcPr>
          <w:p>
            <w:pPr>
              <w:rPr>
                <w:sz w:val="2"/>
                <w:szCs w:val="2"/>
              </w:rPr>
            </w:pPr>
          </w:p>
        </w:tc>
        <w:tc>
          <w:tcPr>
            <w:tcW w:w="2951" w:type="dxa"/>
          </w:tcPr>
          <w:p>
            <w:pPr>
              <w:pStyle w:val="TableParagraph"/>
              <w:spacing w:before="1"/>
              <w:ind w:left="108"/>
              <w:rPr>
                <w:rFonts w:ascii="Calibri"/>
                <w:sz w:val="20"/>
              </w:rPr>
            </w:pPr>
            <w:r>
              <w:rPr>
                <w:rFonts w:ascii="Calibri"/>
                <w:spacing w:val="-2"/>
                <w:sz w:val="20"/>
              </w:rPr>
              <w:t>Misri</w:t>
            </w:r>
          </w:p>
        </w:tc>
        <w:tc>
          <w:tcPr>
            <w:tcW w:w="2831" w:type="dxa"/>
          </w:tcPr>
          <w:p>
            <w:pPr>
              <w:pStyle w:val="TableParagraph"/>
              <w:spacing w:before="1"/>
              <w:ind w:left="108"/>
              <w:rPr>
                <w:rFonts w:ascii="Calibri"/>
                <w:sz w:val="20"/>
              </w:rPr>
            </w:pPr>
            <w:r>
              <w:rPr>
                <w:rFonts w:ascii="Calibri"/>
                <w:spacing w:val="-2"/>
                <w:sz w:val="20"/>
              </w:rPr>
              <w:t>00,00</w:t>
            </w:r>
          </w:p>
        </w:tc>
      </w:tr>
      <w:tr>
        <w:trPr>
          <w:trHeight w:val="494" w:hRule="atLeast"/>
        </w:trPr>
        <w:tc>
          <w:tcPr>
            <w:tcW w:w="2969" w:type="dxa"/>
            <w:vMerge/>
            <w:tcBorders>
              <w:top w:val="nil"/>
            </w:tcBorders>
          </w:tcPr>
          <w:p>
            <w:pPr>
              <w:rPr>
                <w:sz w:val="2"/>
                <w:szCs w:val="2"/>
              </w:rPr>
            </w:pPr>
          </w:p>
        </w:tc>
        <w:tc>
          <w:tcPr>
            <w:tcW w:w="2951" w:type="dxa"/>
          </w:tcPr>
          <w:p>
            <w:pPr>
              <w:pStyle w:val="TableParagraph"/>
              <w:spacing w:before="1"/>
              <w:ind w:left="108"/>
              <w:rPr>
                <w:rFonts w:ascii="Calibri"/>
                <w:sz w:val="20"/>
              </w:rPr>
            </w:pPr>
            <w:r>
              <w:rPr>
                <w:rFonts w:ascii="Calibri"/>
                <w:spacing w:val="-4"/>
                <w:sz w:val="20"/>
              </w:rPr>
              <w:t>Elbi</w:t>
            </w:r>
          </w:p>
        </w:tc>
        <w:tc>
          <w:tcPr>
            <w:tcW w:w="2831" w:type="dxa"/>
          </w:tcPr>
          <w:p>
            <w:pPr>
              <w:pStyle w:val="TableParagraph"/>
              <w:spacing w:before="1"/>
              <w:ind w:left="108"/>
              <w:rPr>
                <w:rFonts w:ascii="Calibri"/>
                <w:sz w:val="20"/>
              </w:rPr>
            </w:pPr>
            <w:r>
              <w:rPr>
                <w:rFonts w:ascii="Calibri"/>
                <w:spacing w:val="-2"/>
                <w:sz w:val="20"/>
              </w:rPr>
              <w:t>13,50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hAnsi="Calibri"/>
                <w:sz w:val="20"/>
              </w:rPr>
            </w:pPr>
            <w:r>
              <w:rPr>
                <w:rFonts w:ascii="Calibri" w:hAnsi="Calibri"/>
                <w:spacing w:val="-2"/>
                <w:sz w:val="20"/>
              </w:rPr>
              <w:t>Tërshëra</w:t>
            </w:r>
          </w:p>
        </w:tc>
        <w:tc>
          <w:tcPr>
            <w:tcW w:w="2831" w:type="dxa"/>
          </w:tcPr>
          <w:p>
            <w:pPr>
              <w:pStyle w:val="TableParagraph"/>
              <w:ind w:left="108"/>
              <w:rPr>
                <w:rFonts w:ascii="Calibri"/>
                <w:sz w:val="20"/>
              </w:rPr>
            </w:pPr>
            <w:r>
              <w:rPr>
                <w:rFonts w:ascii="Calibri"/>
                <w:spacing w:val="-4"/>
                <w:sz w:val="20"/>
              </w:rPr>
              <w:t>2,50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sz w:val="20"/>
              </w:rPr>
            </w:pPr>
            <w:r>
              <w:rPr>
                <w:rFonts w:ascii="Calibri"/>
                <w:spacing w:val="-2"/>
                <w:sz w:val="20"/>
              </w:rPr>
              <w:t>Patatja</w:t>
            </w:r>
          </w:p>
        </w:tc>
        <w:tc>
          <w:tcPr>
            <w:tcW w:w="2831" w:type="dxa"/>
          </w:tcPr>
          <w:p>
            <w:pPr>
              <w:pStyle w:val="TableParagraph"/>
              <w:ind w:left="108"/>
              <w:rPr>
                <w:rFonts w:ascii="Calibri"/>
                <w:sz w:val="20"/>
              </w:rPr>
            </w:pPr>
            <w:r>
              <w:rPr>
                <w:rFonts w:ascii="Calibri"/>
                <w:spacing w:val="-4"/>
                <w:sz w:val="20"/>
              </w:rPr>
              <w:t>5,00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b/>
                <w:sz w:val="20"/>
              </w:rPr>
            </w:pPr>
            <w:r>
              <w:rPr>
                <w:rFonts w:ascii="Calibri"/>
                <w:b/>
                <w:spacing w:val="-2"/>
                <w:sz w:val="20"/>
              </w:rPr>
              <w:t>Gjithsej</w:t>
            </w:r>
          </w:p>
        </w:tc>
        <w:tc>
          <w:tcPr>
            <w:tcW w:w="2831" w:type="dxa"/>
          </w:tcPr>
          <w:p>
            <w:pPr>
              <w:pStyle w:val="TableParagraph"/>
              <w:ind w:left="108"/>
              <w:rPr>
                <w:rFonts w:ascii="Calibri"/>
                <w:b/>
                <w:sz w:val="20"/>
              </w:rPr>
            </w:pPr>
            <w:r>
              <w:rPr>
                <w:rFonts w:ascii="Calibri"/>
                <w:b/>
                <w:spacing w:val="-2"/>
                <w:sz w:val="20"/>
              </w:rPr>
              <w:t>36,10</w:t>
            </w:r>
          </w:p>
        </w:tc>
      </w:tr>
      <w:tr>
        <w:trPr>
          <w:trHeight w:val="492" w:hRule="atLeast"/>
        </w:trPr>
        <w:tc>
          <w:tcPr>
            <w:tcW w:w="2969" w:type="dxa"/>
            <w:vMerge w:val="restart"/>
          </w:tcPr>
          <w:p>
            <w:pPr>
              <w:pStyle w:val="TableParagraph"/>
              <w:spacing w:line="288" w:lineRule="auto"/>
              <w:ind w:left="107" w:right="97"/>
              <w:jc w:val="both"/>
              <w:rPr>
                <w:rFonts w:ascii="Calibri" w:hAnsi="Calibri"/>
                <w:sz w:val="20"/>
              </w:rPr>
            </w:pPr>
            <w:r>
              <w:rPr>
                <w:rFonts w:ascii="Calibri" w:hAnsi="Calibri"/>
                <w:sz w:val="20"/>
              </w:rPr>
              <w:t>Perime të ndryshme (domate, speca, tranguj, pjepër, perime barishtore, etj.)</w:t>
            </w:r>
          </w:p>
        </w:tc>
        <w:tc>
          <w:tcPr>
            <w:tcW w:w="2951" w:type="dxa"/>
          </w:tcPr>
          <w:p>
            <w:pPr>
              <w:pStyle w:val="TableParagraph"/>
              <w:ind w:left="108"/>
              <w:rPr>
                <w:rFonts w:ascii="Calibri" w:hAnsi="Calibri"/>
                <w:sz w:val="20"/>
              </w:rPr>
            </w:pPr>
            <w:r>
              <w:rPr>
                <w:rFonts w:ascii="Calibri" w:hAnsi="Calibri"/>
                <w:sz w:val="20"/>
              </w:rPr>
              <w:t>Në </w:t>
            </w:r>
            <w:r>
              <w:rPr>
                <w:rFonts w:ascii="Calibri" w:hAnsi="Calibri"/>
                <w:spacing w:val="-2"/>
                <w:sz w:val="20"/>
              </w:rPr>
              <w:t>serra</w:t>
            </w:r>
          </w:p>
        </w:tc>
        <w:tc>
          <w:tcPr>
            <w:tcW w:w="2831" w:type="dxa"/>
          </w:tcPr>
          <w:p>
            <w:pPr>
              <w:pStyle w:val="TableParagraph"/>
              <w:ind w:left="108"/>
              <w:rPr>
                <w:rFonts w:ascii="Calibri"/>
                <w:sz w:val="20"/>
              </w:rPr>
            </w:pPr>
            <w:r>
              <w:rPr>
                <w:rFonts w:ascii="Calibri"/>
                <w:spacing w:val="-4"/>
                <w:sz w:val="20"/>
              </w:rPr>
              <w:t>2,50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hAnsi="Calibri"/>
                <w:sz w:val="20"/>
              </w:rPr>
            </w:pPr>
            <w:r>
              <w:rPr>
                <w:rFonts w:ascii="Calibri" w:hAnsi="Calibri"/>
                <w:sz w:val="20"/>
              </w:rPr>
              <w:t>Në</w:t>
            </w:r>
            <w:r>
              <w:rPr>
                <w:rFonts w:ascii="Calibri" w:hAnsi="Calibri"/>
                <w:spacing w:val="-3"/>
                <w:sz w:val="20"/>
              </w:rPr>
              <w:t> </w:t>
            </w:r>
            <w:r>
              <w:rPr>
                <w:rFonts w:ascii="Calibri" w:hAnsi="Calibri"/>
                <w:sz w:val="20"/>
              </w:rPr>
              <w:t>hapësirë</w:t>
            </w:r>
            <w:r>
              <w:rPr>
                <w:rFonts w:ascii="Calibri" w:hAnsi="Calibri"/>
                <w:spacing w:val="-2"/>
                <w:sz w:val="20"/>
              </w:rPr>
              <w:t> </w:t>
            </w:r>
            <w:r>
              <w:rPr>
                <w:rFonts w:ascii="Calibri" w:hAnsi="Calibri"/>
                <w:sz w:val="20"/>
              </w:rPr>
              <w:t>të</w:t>
            </w:r>
            <w:r>
              <w:rPr>
                <w:rFonts w:ascii="Calibri" w:hAnsi="Calibri"/>
                <w:spacing w:val="-3"/>
                <w:sz w:val="20"/>
              </w:rPr>
              <w:t> </w:t>
            </w:r>
            <w:r>
              <w:rPr>
                <w:rFonts w:ascii="Calibri" w:hAnsi="Calibri"/>
                <w:spacing w:val="-2"/>
                <w:sz w:val="20"/>
              </w:rPr>
              <w:t>jashtme</w:t>
            </w:r>
          </w:p>
        </w:tc>
        <w:tc>
          <w:tcPr>
            <w:tcW w:w="2831" w:type="dxa"/>
          </w:tcPr>
          <w:p>
            <w:pPr>
              <w:pStyle w:val="TableParagraph"/>
              <w:ind w:left="108"/>
              <w:rPr>
                <w:rFonts w:ascii="Calibri"/>
                <w:sz w:val="20"/>
              </w:rPr>
            </w:pPr>
            <w:r>
              <w:rPr>
                <w:rFonts w:ascii="Calibri"/>
                <w:spacing w:val="-4"/>
                <w:sz w:val="20"/>
              </w:rPr>
              <w:t>1,50</w:t>
            </w:r>
          </w:p>
        </w:tc>
      </w:tr>
      <w:tr>
        <w:trPr>
          <w:trHeight w:val="492" w:hRule="atLeast"/>
        </w:trPr>
        <w:tc>
          <w:tcPr>
            <w:tcW w:w="2969" w:type="dxa"/>
            <w:vMerge/>
            <w:tcBorders>
              <w:top w:val="nil"/>
            </w:tcBorders>
          </w:tcPr>
          <w:p>
            <w:pPr>
              <w:rPr>
                <w:sz w:val="2"/>
                <w:szCs w:val="2"/>
              </w:rPr>
            </w:pPr>
          </w:p>
        </w:tc>
        <w:tc>
          <w:tcPr>
            <w:tcW w:w="2951" w:type="dxa"/>
          </w:tcPr>
          <w:p>
            <w:pPr>
              <w:pStyle w:val="TableParagraph"/>
              <w:spacing w:before="1"/>
              <w:ind w:left="108"/>
              <w:rPr>
                <w:rFonts w:ascii="Calibri"/>
                <w:b/>
                <w:sz w:val="20"/>
              </w:rPr>
            </w:pPr>
            <w:r>
              <w:rPr>
                <w:rFonts w:ascii="Calibri"/>
                <w:b/>
                <w:spacing w:val="-2"/>
                <w:sz w:val="20"/>
              </w:rPr>
              <w:t>Gjithsej</w:t>
            </w:r>
          </w:p>
        </w:tc>
        <w:tc>
          <w:tcPr>
            <w:tcW w:w="2831" w:type="dxa"/>
          </w:tcPr>
          <w:p>
            <w:pPr>
              <w:pStyle w:val="TableParagraph"/>
              <w:spacing w:before="1"/>
              <w:ind w:left="108"/>
              <w:rPr>
                <w:rFonts w:ascii="Calibri"/>
                <w:b/>
                <w:sz w:val="20"/>
              </w:rPr>
            </w:pPr>
            <w:r>
              <w:rPr>
                <w:rFonts w:ascii="Calibri"/>
                <w:b/>
                <w:spacing w:val="-4"/>
                <w:sz w:val="20"/>
              </w:rPr>
              <w:t>4,00</w:t>
            </w:r>
          </w:p>
        </w:tc>
      </w:tr>
      <w:tr>
        <w:trPr>
          <w:trHeight w:val="493" w:hRule="atLeast"/>
        </w:trPr>
        <w:tc>
          <w:tcPr>
            <w:tcW w:w="2969" w:type="dxa"/>
            <w:vMerge w:val="restart"/>
          </w:tcPr>
          <w:p>
            <w:pPr>
              <w:pStyle w:val="TableParagraph"/>
              <w:spacing w:before="1"/>
              <w:ind w:left="107"/>
              <w:rPr>
                <w:rFonts w:ascii="Calibri"/>
                <w:sz w:val="20"/>
              </w:rPr>
            </w:pPr>
            <w:r>
              <w:rPr>
                <w:rFonts w:ascii="Calibri"/>
                <w:sz w:val="20"/>
              </w:rPr>
              <w:t>Fruta</w:t>
            </w:r>
            <w:r>
              <w:rPr>
                <w:rFonts w:ascii="Calibri"/>
                <w:spacing w:val="-5"/>
                <w:sz w:val="20"/>
              </w:rPr>
              <w:t> </w:t>
            </w:r>
            <w:r>
              <w:rPr>
                <w:rFonts w:ascii="Calibri"/>
                <w:spacing w:val="-2"/>
                <w:sz w:val="20"/>
              </w:rPr>
              <w:t>pylli</w:t>
            </w:r>
          </w:p>
        </w:tc>
        <w:tc>
          <w:tcPr>
            <w:tcW w:w="2951" w:type="dxa"/>
          </w:tcPr>
          <w:p>
            <w:pPr>
              <w:pStyle w:val="TableParagraph"/>
              <w:spacing w:before="1"/>
              <w:ind w:left="108"/>
              <w:rPr>
                <w:rFonts w:ascii="Calibri"/>
                <w:sz w:val="20"/>
              </w:rPr>
            </w:pPr>
            <w:r>
              <w:rPr>
                <w:rFonts w:ascii="Calibri"/>
                <w:spacing w:val="-2"/>
                <w:sz w:val="20"/>
              </w:rPr>
              <w:t>Mjedra</w:t>
            </w:r>
          </w:p>
        </w:tc>
        <w:tc>
          <w:tcPr>
            <w:tcW w:w="2831" w:type="dxa"/>
          </w:tcPr>
          <w:p>
            <w:pPr>
              <w:pStyle w:val="TableParagraph"/>
              <w:spacing w:before="1"/>
              <w:ind w:left="108"/>
              <w:rPr>
                <w:rFonts w:ascii="Calibri"/>
                <w:sz w:val="20"/>
              </w:rPr>
            </w:pPr>
            <w:r>
              <w:rPr>
                <w:rFonts w:ascii="Calibri"/>
                <w:spacing w:val="-4"/>
                <w:sz w:val="20"/>
              </w:rPr>
              <w:t>1,50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hAnsi="Calibri"/>
                <w:sz w:val="20"/>
              </w:rPr>
            </w:pPr>
            <w:r>
              <w:rPr>
                <w:rFonts w:ascii="Calibri" w:hAnsi="Calibri"/>
                <w:spacing w:val="-2"/>
                <w:sz w:val="20"/>
              </w:rPr>
              <w:t>Dredhëza</w:t>
            </w:r>
          </w:p>
        </w:tc>
        <w:tc>
          <w:tcPr>
            <w:tcW w:w="2831" w:type="dxa"/>
          </w:tcPr>
          <w:p>
            <w:pPr>
              <w:pStyle w:val="TableParagraph"/>
              <w:ind w:left="108"/>
              <w:rPr>
                <w:rFonts w:ascii="Calibri"/>
                <w:sz w:val="20"/>
              </w:rPr>
            </w:pPr>
            <w:r>
              <w:rPr>
                <w:rFonts w:ascii="Calibri"/>
                <w:spacing w:val="-4"/>
                <w:sz w:val="20"/>
              </w:rPr>
              <w:t>2,50</w:t>
            </w:r>
          </w:p>
        </w:tc>
      </w:tr>
      <w:tr>
        <w:trPr>
          <w:trHeight w:val="492" w:hRule="atLeast"/>
        </w:trPr>
        <w:tc>
          <w:tcPr>
            <w:tcW w:w="2969" w:type="dxa"/>
            <w:vMerge/>
            <w:tcBorders>
              <w:top w:val="nil"/>
            </w:tcBorders>
          </w:tcPr>
          <w:p>
            <w:pPr>
              <w:rPr>
                <w:sz w:val="2"/>
                <w:szCs w:val="2"/>
              </w:rPr>
            </w:pPr>
          </w:p>
        </w:tc>
        <w:tc>
          <w:tcPr>
            <w:tcW w:w="2951" w:type="dxa"/>
          </w:tcPr>
          <w:p>
            <w:pPr>
              <w:pStyle w:val="TableParagraph"/>
              <w:ind w:left="108"/>
              <w:rPr>
                <w:rFonts w:ascii="Calibri"/>
                <w:b/>
                <w:sz w:val="20"/>
              </w:rPr>
            </w:pPr>
            <w:r>
              <w:rPr>
                <w:rFonts w:ascii="Calibri"/>
                <w:b/>
                <w:spacing w:val="-2"/>
                <w:sz w:val="20"/>
              </w:rPr>
              <w:t>Gjithsej</w:t>
            </w:r>
          </w:p>
        </w:tc>
        <w:tc>
          <w:tcPr>
            <w:tcW w:w="2831" w:type="dxa"/>
          </w:tcPr>
          <w:p>
            <w:pPr>
              <w:pStyle w:val="TableParagraph"/>
              <w:ind w:left="108"/>
              <w:rPr>
                <w:rFonts w:ascii="Calibri"/>
                <w:b/>
                <w:sz w:val="20"/>
              </w:rPr>
            </w:pPr>
            <w:r>
              <w:rPr>
                <w:rFonts w:ascii="Calibri"/>
                <w:b/>
                <w:spacing w:val="-4"/>
                <w:sz w:val="20"/>
              </w:rPr>
              <w:t>4,00</w:t>
            </w:r>
          </w:p>
        </w:tc>
      </w:tr>
      <w:tr>
        <w:trPr>
          <w:trHeight w:val="493" w:hRule="atLeast"/>
        </w:trPr>
        <w:tc>
          <w:tcPr>
            <w:tcW w:w="2969" w:type="dxa"/>
          </w:tcPr>
          <w:p>
            <w:pPr>
              <w:pStyle w:val="TableParagraph"/>
              <w:ind w:left="107"/>
              <w:rPr>
                <w:rFonts w:ascii="Calibri"/>
                <w:sz w:val="20"/>
              </w:rPr>
            </w:pPr>
            <w:r>
              <w:rPr>
                <w:rFonts w:ascii="Calibri"/>
                <w:spacing w:val="-2"/>
                <w:sz w:val="20"/>
              </w:rPr>
              <w:t>Pemishte</w:t>
            </w:r>
          </w:p>
        </w:tc>
        <w:tc>
          <w:tcPr>
            <w:tcW w:w="2951" w:type="dxa"/>
          </w:tcPr>
          <w:p>
            <w:pPr>
              <w:pStyle w:val="TableParagraph"/>
              <w:ind w:left="108"/>
              <w:rPr>
                <w:rFonts w:ascii="Calibri"/>
                <w:sz w:val="20"/>
              </w:rPr>
            </w:pPr>
            <w:r>
              <w:rPr>
                <w:rFonts w:ascii="Calibri"/>
                <w:spacing w:val="-4"/>
                <w:sz w:val="20"/>
              </w:rPr>
              <w:t>Arra</w:t>
            </w:r>
          </w:p>
        </w:tc>
        <w:tc>
          <w:tcPr>
            <w:tcW w:w="2831" w:type="dxa"/>
          </w:tcPr>
          <w:p>
            <w:pPr>
              <w:pStyle w:val="TableParagraph"/>
              <w:ind w:left="108"/>
              <w:rPr>
                <w:rFonts w:ascii="Calibri"/>
                <w:sz w:val="20"/>
              </w:rPr>
            </w:pPr>
            <w:r>
              <w:rPr>
                <w:rFonts w:ascii="Calibri"/>
                <w:spacing w:val="-4"/>
                <w:sz w:val="20"/>
              </w:rPr>
              <w:t>7,70</w:t>
            </w:r>
          </w:p>
        </w:tc>
      </w:tr>
    </w:tbl>
    <w:p>
      <w:pPr>
        <w:spacing w:after="0"/>
        <w:rPr>
          <w:rFonts w:ascii="Calibri"/>
          <w:sz w:val="20"/>
        </w:rPr>
        <w:sectPr>
          <w:pgSz w:w="12240" w:h="15840"/>
          <w:pgMar w:header="0" w:footer="990" w:top="1380" w:bottom="1180" w:left="700" w:right="0"/>
        </w:sect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9"/>
        <w:gridCol w:w="2951"/>
        <w:gridCol w:w="2831"/>
      </w:tblGrid>
      <w:tr>
        <w:trPr>
          <w:trHeight w:val="785" w:hRule="atLeast"/>
        </w:trPr>
        <w:tc>
          <w:tcPr>
            <w:tcW w:w="2969" w:type="dxa"/>
            <w:vMerge w:val="restart"/>
          </w:tcPr>
          <w:p>
            <w:pPr>
              <w:pStyle w:val="TableParagraph"/>
              <w:rPr>
                <w:sz w:val="22"/>
              </w:rPr>
            </w:pPr>
          </w:p>
        </w:tc>
        <w:tc>
          <w:tcPr>
            <w:tcW w:w="2951" w:type="dxa"/>
          </w:tcPr>
          <w:p>
            <w:pPr>
              <w:pStyle w:val="TableParagraph"/>
              <w:spacing w:line="288" w:lineRule="auto"/>
              <w:ind w:left="108"/>
              <w:rPr>
                <w:rFonts w:ascii="Calibri"/>
                <w:sz w:val="20"/>
              </w:rPr>
            </w:pPr>
            <w:r>
              <w:rPr>
                <w:rFonts w:ascii="Calibri"/>
                <w:sz w:val="20"/>
              </w:rPr>
              <w:t>Pemishte</w:t>
            </w:r>
            <w:r>
              <w:rPr>
                <w:rFonts w:ascii="Calibri"/>
                <w:spacing w:val="77"/>
                <w:sz w:val="20"/>
              </w:rPr>
              <w:t> </w:t>
            </w:r>
            <w:r>
              <w:rPr>
                <w:rFonts w:ascii="Calibri"/>
                <w:sz w:val="20"/>
              </w:rPr>
              <w:t>tjera</w:t>
            </w:r>
            <w:r>
              <w:rPr>
                <w:rFonts w:ascii="Calibri"/>
                <w:spacing w:val="77"/>
                <w:sz w:val="20"/>
              </w:rPr>
              <w:t> </w:t>
            </w:r>
            <w:r>
              <w:rPr>
                <w:rFonts w:ascii="Calibri"/>
                <w:sz w:val="20"/>
              </w:rPr>
              <w:t>(molla,</w:t>
            </w:r>
            <w:r>
              <w:rPr>
                <w:rFonts w:ascii="Calibri"/>
                <w:spacing w:val="78"/>
                <w:sz w:val="20"/>
              </w:rPr>
              <w:t> </w:t>
            </w:r>
            <w:r>
              <w:rPr>
                <w:rFonts w:ascii="Calibri"/>
                <w:sz w:val="20"/>
              </w:rPr>
              <w:t>dardha, ftoj, kumbulla, etj.)</w:t>
            </w:r>
          </w:p>
        </w:tc>
        <w:tc>
          <w:tcPr>
            <w:tcW w:w="2831" w:type="dxa"/>
          </w:tcPr>
          <w:p>
            <w:pPr>
              <w:pStyle w:val="TableParagraph"/>
              <w:ind w:left="108"/>
              <w:rPr>
                <w:rFonts w:ascii="Calibri"/>
                <w:sz w:val="20"/>
              </w:rPr>
            </w:pPr>
            <w:r>
              <w:rPr>
                <w:rFonts w:ascii="Calibri"/>
                <w:spacing w:val="-4"/>
                <w:sz w:val="20"/>
              </w:rPr>
              <w:t>5,00</w:t>
            </w:r>
          </w:p>
        </w:tc>
      </w:tr>
      <w:tr>
        <w:trPr>
          <w:trHeight w:val="492" w:hRule="atLeast"/>
        </w:trPr>
        <w:tc>
          <w:tcPr>
            <w:tcW w:w="2969" w:type="dxa"/>
            <w:vMerge/>
            <w:tcBorders>
              <w:top w:val="nil"/>
            </w:tcBorders>
          </w:tcPr>
          <w:p>
            <w:pPr>
              <w:rPr>
                <w:sz w:val="2"/>
                <w:szCs w:val="2"/>
              </w:rPr>
            </w:pPr>
          </w:p>
        </w:tc>
        <w:tc>
          <w:tcPr>
            <w:tcW w:w="2951" w:type="dxa"/>
          </w:tcPr>
          <w:p>
            <w:pPr>
              <w:pStyle w:val="TableParagraph"/>
              <w:spacing w:before="1"/>
              <w:ind w:left="108"/>
              <w:rPr>
                <w:rFonts w:ascii="Calibri"/>
                <w:b/>
                <w:sz w:val="20"/>
              </w:rPr>
            </w:pPr>
            <w:r>
              <w:rPr>
                <w:rFonts w:ascii="Calibri"/>
                <w:b/>
                <w:spacing w:val="-2"/>
                <w:sz w:val="20"/>
              </w:rPr>
              <w:t>Gjithsej</w:t>
            </w:r>
          </w:p>
        </w:tc>
        <w:tc>
          <w:tcPr>
            <w:tcW w:w="2831" w:type="dxa"/>
          </w:tcPr>
          <w:p>
            <w:pPr>
              <w:pStyle w:val="TableParagraph"/>
              <w:spacing w:before="1"/>
              <w:ind w:left="108"/>
              <w:rPr>
                <w:rFonts w:ascii="Calibri"/>
                <w:b/>
                <w:sz w:val="20"/>
              </w:rPr>
            </w:pPr>
            <w:r>
              <w:rPr>
                <w:rFonts w:ascii="Calibri"/>
                <w:b/>
                <w:spacing w:val="-2"/>
                <w:sz w:val="20"/>
              </w:rPr>
              <w:t>12,70</w:t>
            </w:r>
          </w:p>
        </w:tc>
      </w:tr>
      <w:tr>
        <w:trPr>
          <w:trHeight w:val="494" w:hRule="atLeast"/>
        </w:trPr>
        <w:tc>
          <w:tcPr>
            <w:tcW w:w="2969" w:type="dxa"/>
          </w:tcPr>
          <w:p>
            <w:pPr>
              <w:pStyle w:val="TableParagraph"/>
              <w:spacing w:before="1"/>
              <w:ind w:left="107"/>
              <w:rPr>
                <w:rFonts w:ascii="Calibri"/>
                <w:sz w:val="20"/>
              </w:rPr>
            </w:pPr>
            <w:r>
              <w:rPr>
                <w:rFonts w:ascii="Calibri"/>
                <w:spacing w:val="-2"/>
                <w:sz w:val="20"/>
              </w:rPr>
              <w:t>Vreshta</w:t>
            </w:r>
          </w:p>
        </w:tc>
        <w:tc>
          <w:tcPr>
            <w:tcW w:w="2951" w:type="dxa"/>
          </w:tcPr>
          <w:p>
            <w:pPr>
              <w:pStyle w:val="TableParagraph"/>
              <w:rPr>
                <w:sz w:val="22"/>
              </w:rPr>
            </w:pPr>
          </w:p>
        </w:tc>
        <w:tc>
          <w:tcPr>
            <w:tcW w:w="2831" w:type="dxa"/>
          </w:tcPr>
          <w:p>
            <w:pPr>
              <w:pStyle w:val="TableParagraph"/>
              <w:spacing w:before="1"/>
              <w:ind w:left="108"/>
              <w:rPr>
                <w:rFonts w:ascii="Calibri"/>
                <w:sz w:val="20"/>
              </w:rPr>
            </w:pPr>
            <w:r>
              <w:rPr>
                <w:rFonts w:ascii="Calibri"/>
                <w:spacing w:val="-4"/>
                <w:sz w:val="20"/>
              </w:rPr>
              <w:t>1,50</w:t>
            </w:r>
          </w:p>
        </w:tc>
      </w:tr>
      <w:tr>
        <w:trPr>
          <w:trHeight w:val="492" w:hRule="atLeast"/>
        </w:trPr>
        <w:tc>
          <w:tcPr>
            <w:tcW w:w="5920" w:type="dxa"/>
            <w:gridSpan w:val="2"/>
          </w:tcPr>
          <w:p>
            <w:pPr>
              <w:pStyle w:val="TableParagraph"/>
              <w:ind w:left="107"/>
              <w:rPr>
                <w:rFonts w:ascii="Calibri" w:hAnsi="Calibri"/>
                <w:b/>
                <w:sz w:val="20"/>
              </w:rPr>
            </w:pPr>
            <w:r>
              <w:rPr>
                <w:rFonts w:ascii="Calibri" w:hAnsi="Calibri"/>
                <w:b/>
                <w:sz w:val="20"/>
              </w:rPr>
              <w:t>Gjithsej</w:t>
            </w:r>
            <w:r>
              <w:rPr>
                <w:rFonts w:ascii="Calibri" w:hAnsi="Calibri"/>
                <w:b/>
                <w:spacing w:val="-4"/>
                <w:sz w:val="20"/>
              </w:rPr>
              <w:t> </w:t>
            </w:r>
            <w:r>
              <w:rPr>
                <w:rFonts w:ascii="Calibri" w:hAnsi="Calibri"/>
                <w:b/>
                <w:sz w:val="20"/>
              </w:rPr>
              <w:t>sipërfaqe</w:t>
            </w:r>
            <w:r>
              <w:rPr>
                <w:rFonts w:ascii="Calibri" w:hAnsi="Calibri"/>
                <w:b/>
                <w:spacing w:val="-3"/>
                <w:sz w:val="20"/>
              </w:rPr>
              <w:t> </w:t>
            </w:r>
            <w:r>
              <w:rPr>
                <w:rFonts w:ascii="Calibri" w:hAnsi="Calibri"/>
                <w:b/>
                <w:sz w:val="20"/>
              </w:rPr>
              <w:t>e</w:t>
            </w:r>
            <w:r>
              <w:rPr>
                <w:rFonts w:ascii="Calibri" w:hAnsi="Calibri"/>
                <w:b/>
                <w:spacing w:val="-3"/>
                <w:sz w:val="20"/>
              </w:rPr>
              <w:t> </w:t>
            </w:r>
            <w:r>
              <w:rPr>
                <w:rFonts w:ascii="Calibri" w:hAnsi="Calibri"/>
                <w:b/>
                <w:sz w:val="20"/>
              </w:rPr>
              <w:t>kultivuar</w:t>
            </w:r>
            <w:r>
              <w:rPr>
                <w:rFonts w:ascii="Calibri" w:hAnsi="Calibri"/>
                <w:b/>
                <w:spacing w:val="-3"/>
                <w:sz w:val="20"/>
              </w:rPr>
              <w:t> </w:t>
            </w:r>
            <w:r>
              <w:rPr>
                <w:rFonts w:ascii="Calibri" w:hAnsi="Calibri"/>
                <w:b/>
                <w:spacing w:val="-2"/>
                <w:sz w:val="20"/>
              </w:rPr>
              <w:t>bujqësore</w:t>
            </w:r>
          </w:p>
        </w:tc>
        <w:tc>
          <w:tcPr>
            <w:tcW w:w="2831" w:type="dxa"/>
          </w:tcPr>
          <w:p>
            <w:pPr>
              <w:pStyle w:val="TableParagraph"/>
              <w:ind w:left="108"/>
              <w:rPr>
                <w:rFonts w:ascii="Calibri"/>
                <w:b/>
                <w:sz w:val="20"/>
              </w:rPr>
            </w:pPr>
            <w:r>
              <w:rPr>
                <w:rFonts w:ascii="Calibri"/>
                <w:b/>
                <w:spacing w:val="-2"/>
                <w:sz w:val="20"/>
              </w:rPr>
              <w:t>58,30</w:t>
            </w:r>
          </w:p>
        </w:tc>
      </w:tr>
    </w:tbl>
    <w:p>
      <w:pPr>
        <w:spacing w:before="22"/>
        <w:ind w:left="0" w:right="699" w:firstLine="0"/>
        <w:jc w:val="center"/>
        <w:rPr>
          <w:sz w:val="24"/>
        </w:rPr>
      </w:pPr>
      <w:r>
        <w:rPr>
          <w:b/>
          <w:sz w:val="24"/>
        </w:rPr>
        <w:t>Tabela</w:t>
      </w:r>
      <w:r>
        <w:rPr>
          <w:b/>
          <w:spacing w:val="-6"/>
          <w:sz w:val="24"/>
        </w:rPr>
        <w:t> </w:t>
      </w:r>
      <w:r>
        <w:rPr>
          <w:b/>
          <w:sz w:val="24"/>
        </w:rPr>
        <w:t>10:</w:t>
      </w:r>
      <w:r>
        <w:rPr>
          <w:b/>
          <w:spacing w:val="48"/>
          <w:sz w:val="24"/>
        </w:rPr>
        <w:t> </w:t>
      </w:r>
      <w:r>
        <w:rPr>
          <w:sz w:val="24"/>
        </w:rPr>
        <w:t>Sipërfaqja</w:t>
      </w:r>
      <w:r>
        <w:rPr>
          <w:spacing w:val="-6"/>
          <w:sz w:val="24"/>
        </w:rPr>
        <w:t> </w:t>
      </w:r>
      <w:r>
        <w:rPr>
          <w:sz w:val="24"/>
        </w:rPr>
        <w:t>e</w:t>
      </w:r>
      <w:r>
        <w:rPr>
          <w:spacing w:val="-6"/>
          <w:sz w:val="24"/>
        </w:rPr>
        <w:t> </w:t>
      </w:r>
      <w:r>
        <w:rPr>
          <w:sz w:val="24"/>
        </w:rPr>
        <w:t>kultivuar</w:t>
      </w:r>
      <w:r>
        <w:rPr>
          <w:spacing w:val="-6"/>
          <w:sz w:val="24"/>
        </w:rPr>
        <w:t> </w:t>
      </w:r>
      <w:r>
        <w:rPr>
          <w:spacing w:val="-2"/>
          <w:sz w:val="24"/>
        </w:rPr>
        <w:t>bujqësore</w:t>
      </w:r>
    </w:p>
    <w:p>
      <w:pPr>
        <w:pStyle w:val="Heading2"/>
        <w:tabs>
          <w:tab w:pos="9421" w:val="left" w:leader="none"/>
        </w:tabs>
        <w:spacing w:before="201"/>
        <w:ind w:left="0" w:right="696"/>
        <w:jc w:val="center"/>
      </w:pPr>
      <w:r>
        <w:rPr>
          <w:color w:val="000000"/>
          <w:shd w:fill="EAB8A3" w:color="auto" w:val="clear"/>
        </w:rPr>
        <w:t>4.4. </w:t>
      </w:r>
      <w:r>
        <w:rPr>
          <w:color w:val="000000"/>
          <w:spacing w:val="-2"/>
          <w:shd w:fill="EAB8A3" w:color="auto" w:val="clear"/>
        </w:rPr>
        <w:t>Blektoria</w:t>
      </w:r>
      <w:r>
        <w:rPr>
          <w:color w:val="000000"/>
          <w:shd w:fill="EAB8A3" w:color="auto" w:val="clear"/>
        </w:rPr>
        <w:tab/>
      </w:r>
    </w:p>
    <w:p>
      <w:pPr>
        <w:pStyle w:val="BodyText"/>
        <w:spacing w:before="199"/>
        <w:ind w:left="740" w:right="1438"/>
        <w:jc w:val="both"/>
      </w:pPr>
      <w:r>
        <w:rPr/>
        <w:t>Blegtoria është zhvilluar gjithashtu në kohët e fundit duke bërë që të shtohet veçanërisht numri i lopëve qumështore, por edhe të deleve dhe dhive. Edhe numri i pulave dhe kolonive të bletëve është shtuar me të madhe. Numri i tyre është dhënë në tabelën në vijim</w:t>
      </w:r>
      <w:r>
        <w:rPr>
          <w:vertAlign w:val="superscript"/>
        </w:rPr>
        <w:t>6</w:t>
      </w:r>
      <w:r>
        <w:rPr>
          <w:vertAlign w:val="baseline"/>
        </w:rPr>
        <w:t>:</w:t>
      </w:r>
    </w:p>
    <w:p>
      <w:pPr>
        <w:pStyle w:val="BodyText"/>
        <w:rPr>
          <w:sz w:val="20"/>
        </w:rPr>
      </w:pPr>
    </w:p>
    <w:p>
      <w:pPr>
        <w:pStyle w:val="BodyText"/>
        <w:rPr>
          <w:sz w:val="20"/>
        </w:rPr>
      </w:pPr>
    </w:p>
    <w:p>
      <w:pPr>
        <w:pStyle w:val="BodyText"/>
        <w:spacing w:before="9"/>
        <w:rPr>
          <w:sz w:val="18"/>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8"/>
        <w:gridCol w:w="3008"/>
        <w:gridCol w:w="2866"/>
      </w:tblGrid>
      <w:tr>
        <w:trPr>
          <w:trHeight w:val="492" w:hRule="atLeast"/>
        </w:trPr>
        <w:tc>
          <w:tcPr>
            <w:tcW w:w="8872" w:type="dxa"/>
            <w:gridSpan w:val="3"/>
            <w:shd w:val="clear" w:color="auto" w:fill="EAB8A3"/>
          </w:tcPr>
          <w:p>
            <w:pPr>
              <w:pStyle w:val="TableParagraph"/>
              <w:ind w:left="1547" w:right="1537"/>
              <w:jc w:val="center"/>
              <w:rPr>
                <w:rFonts w:ascii="Calibri" w:hAnsi="Calibri"/>
                <w:b/>
                <w:sz w:val="20"/>
              </w:rPr>
            </w:pPr>
            <w:r>
              <w:rPr>
                <w:rFonts w:ascii="Calibri" w:hAnsi="Calibri"/>
                <w:b/>
                <w:sz w:val="20"/>
              </w:rPr>
              <w:t>Numri</w:t>
            </w:r>
            <w:r>
              <w:rPr>
                <w:rFonts w:ascii="Calibri" w:hAnsi="Calibri"/>
                <w:b/>
                <w:spacing w:val="-3"/>
                <w:sz w:val="20"/>
              </w:rPr>
              <w:t> </w:t>
            </w:r>
            <w:r>
              <w:rPr>
                <w:rFonts w:ascii="Calibri" w:hAnsi="Calibri"/>
                <w:b/>
                <w:sz w:val="20"/>
              </w:rPr>
              <w:t>i</w:t>
            </w:r>
            <w:r>
              <w:rPr>
                <w:rFonts w:ascii="Calibri" w:hAnsi="Calibri"/>
                <w:b/>
                <w:spacing w:val="-3"/>
                <w:sz w:val="20"/>
              </w:rPr>
              <w:t> </w:t>
            </w:r>
            <w:r>
              <w:rPr>
                <w:rFonts w:ascii="Calibri" w:hAnsi="Calibri"/>
                <w:b/>
                <w:sz w:val="20"/>
              </w:rPr>
              <w:t>krerëve</w:t>
            </w:r>
            <w:r>
              <w:rPr>
                <w:rFonts w:ascii="Calibri" w:hAnsi="Calibri"/>
                <w:b/>
                <w:spacing w:val="-4"/>
                <w:sz w:val="20"/>
              </w:rPr>
              <w:t> </w:t>
            </w:r>
            <w:r>
              <w:rPr>
                <w:rFonts w:ascii="Calibri" w:hAnsi="Calibri"/>
                <w:b/>
                <w:sz w:val="20"/>
              </w:rPr>
              <w:t>të</w:t>
            </w:r>
            <w:r>
              <w:rPr>
                <w:rFonts w:ascii="Calibri" w:hAnsi="Calibri"/>
                <w:b/>
                <w:spacing w:val="-2"/>
                <w:sz w:val="20"/>
              </w:rPr>
              <w:t> </w:t>
            </w:r>
            <w:r>
              <w:rPr>
                <w:rFonts w:ascii="Calibri" w:hAnsi="Calibri"/>
                <w:b/>
                <w:sz w:val="20"/>
              </w:rPr>
              <w:t>kafshëve</w:t>
            </w:r>
            <w:r>
              <w:rPr>
                <w:rFonts w:ascii="Calibri" w:hAnsi="Calibri"/>
                <w:b/>
                <w:spacing w:val="-4"/>
                <w:sz w:val="20"/>
              </w:rPr>
              <w:t> </w:t>
            </w:r>
            <w:r>
              <w:rPr>
                <w:rFonts w:ascii="Calibri" w:hAnsi="Calibri"/>
                <w:b/>
                <w:sz w:val="20"/>
              </w:rPr>
              <w:t>shtepiake/</w:t>
            </w:r>
            <w:r>
              <w:rPr>
                <w:rFonts w:ascii="Calibri" w:hAnsi="Calibri"/>
                <w:b/>
                <w:spacing w:val="-3"/>
                <w:sz w:val="20"/>
              </w:rPr>
              <w:t> </w:t>
            </w:r>
            <w:r>
              <w:rPr>
                <w:rFonts w:ascii="Calibri" w:hAnsi="Calibri"/>
                <w:b/>
                <w:sz w:val="20"/>
              </w:rPr>
              <w:t>shpezëve/</w:t>
            </w:r>
            <w:r>
              <w:rPr>
                <w:rFonts w:ascii="Calibri" w:hAnsi="Calibri"/>
                <w:b/>
                <w:spacing w:val="-4"/>
                <w:sz w:val="20"/>
              </w:rPr>
              <w:t> </w:t>
            </w:r>
            <w:r>
              <w:rPr>
                <w:rFonts w:ascii="Calibri" w:hAnsi="Calibri"/>
                <w:b/>
                <w:sz w:val="20"/>
              </w:rPr>
              <w:t>kolonive</w:t>
            </w:r>
            <w:r>
              <w:rPr>
                <w:rFonts w:ascii="Calibri" w:hAnsi="Calibri"/>
                <w:b/>
                <w:spacing w:val="-3"/>
                <w:sz w:val="20"/>
              </w:rPr>
              <w:t> </w:t>
            </w:r>
            <w:r>
              <w:rPr>
                <w:rFonts w:ascii="Calibri" w:hAnsi="Calibri"/>
                <w:b/>
                <w:sz w:val="20"/>
              </w:rPr>
              <w:t>të</w:t>
            </w:r>
            <w:r>
              <w:rPr>
                <w:rFonts w:ascii="Calibri" w:hAnsi="Calibri"/>
                <w:b/>
                <w:spacing w:val="-2"/>
                <w:sz w:val="20"/>
              </w:rPr>
              <w:t> bletëve</w:t>
            </w:r>
          </w:p>
        </w:tc>
      </w:tr>
      <w:tr>
        <w:trPr>
          <w:trHeight w:val="492" w:hRule="atLeast"/>
        </w:trPr>
        <w:tc>
          <w:tcPr>
            <w:tcW w:w="2998" w:type="dxa"/>
            <w:vMerge w:val="restart"/>
          </w:tcPr>
          <w:p>
            <w:pPr>
              <w:pStyle w:val="TableParagraph"/>
              <w:ind w:left="107"/>
              <w:rPr>
                <w:rFonts w:ascii="Calibri"/>
                <w:sz w:val="20"/>
              </w:rPr>
            </w:pPr>
            <w:r>
              <w:rPr>
                <w:rFonts w:ascii="Calibri"/>
                <w:spacing w:val="-2"/>
                <w:sz w:val="20"/>
              </w:rPr>
              <w:t>Gjedhi</w:t>
            </w:r>
          </w:p>
        </w:tc>
        <w:tc>
          <w:tcPr>
            <w:tcW w:w="3008" w:type="dxa"/>
          </w:tcPr>
          <w:p>
            <w:pPr>
              <w:pStyle w:val="TableParagraph"/>
              <w:ind w:left="107"/>
              <w:rPr>
                <w:rFonts w:ascii="Calibri" w:hAnsi="Calibri"/>
                <w:sz w:val="20"/>
              </w:rPr>
            </w:pPr>
            <w:r>
              <w:rPr>
                <w:rFonts w:ascii="Calibri" w:hAnsi="Calibri"/>
                <w:sz w:val="20"/>
              </w:rPr>
              <w:t>Lopë</w:t>
            </w:r>
            <w:r>
              <w:rPr>
                <w:rFonts w:ascii="Calibri" w:hAnsi="Calibri"/>
                <w:spacing w:val="-6"/>
                <w:sz w:val="20"/>
              </w:rPr>
              <w:t> </w:t>
            </w:r>
            <w:r>
              <w:rPr>
                <w:rFonts w:ascii="Calibri" w:hAnsi="Calibri"/>
                <w:spacing w:val="-2"/>
                <w:sz w:val="20"/>
              </w:rPr>
              <w:t>qumështore</w:t>
            </w:r>
          </w:p>
        </w:tc>
        <w:tc>
          <w:tcPr>
            <w:tcW w:w="2866" w:type="dxa"/>
          </w:tcPr>
          <w:p>
            <w:pPr>
              <w:pStyle w:val="TableParagraph"/>
              <w:ind w:left="107"/>
              <w:rPr>
                <w:rFonts w:ascii="Calibri"/>
                <w:sz w:val="20"/>
              </w:rPr>
            </w:pPr>
            <w:r>
              <w:rPr>
                <w:rFonts w:ascii="Calibri"/>
                <w:spacing w:val="-5"/>
                <w:sz w:val="20"/>
              </w:rPr>
              <w:t>450</w:t>
            </w:r>
          </w:p>
        </w:tc>
      </w:tr>
      <w:tr>
        <w:trPr>
          <w:trHeight w:val="492" w:hRule="atLeast"/>
        </w:trPr>
        <w:tc>
          <w:tcPr>
            <w:tcW w:w="2998" w:type="dxa"/>
            <w:vMerge/>
            <w:tcBorders>
              <w:top w:val="nil"/>
            </w:tcBorders>
          </w:tcPr>
          <w:p>
            <w:pPr>
              <w:rPr>
                <w:sz w:val="2"/>
                <w:szCs w:val="2"/>
              </w:rPr>
            </w:pPr>
          </w:p>
        </w:tc>
        <w:tc>
          <w:tcPr>
            <w:tcW w:w="3008" w:type="dxa"/>
          </w:tcPr>
          <w:p>
            <w:pPr>
              <w:pStyle w:val="TableParagraph"/>
              <w:ind w:left="107"/>
              <w:rPr>
                <w:rFonts w:ascii="Calibri" w:hAnsi="Calibri"/>
                <w:sz w:val="20"/>
              </w:rPr>
            </w:pPr>
            <w:r>
              <w:rPr>
                <w:rFonts w:ascii="Calibri" w:hAnsi="Calibri"/>
                <w:sz w:val="20"/>
              </w:rPr>
              <w:t>Pjesa</w:t>
            </w:r>
            <w:r>
              <w:rPr>
                <w:rFonts w:ascii="Calibri" w:hAnsi="Calibri"/>
                <w:spacing w:val="-1"/>
                <w:sz w:val="20"/>
              </w:rPr>
              <w:t> </w:t>
            </w:r>
            <w:r>
              <w:rPr>
                <w:rFonts w:ascii="Calibri" w:hAnsi="Calibri"/>
                <w:sz w:val="20"/>
              </w:rPr>
              <w:t>tjetër e</w:t>
            </w:r>
            <w:r>
              <w:rPr>
                <w:rFonts w:ascii="Calibri" w:hAnsi="Calibri"/>
                <w:spacing w:val="-2"/>
                <w:sz w:val="20"/>
              </w:rPr>
              <w:t> gjedhit</w:t>
            </w:r>
          </w:p>
        </w:tc>
        <w:tc>
          <w:tcPr>
            <w:tcW w:w="2866" w:type="dxa"/>
          </w:tcPr>
          <w:p>
            <w:pPr>
              <w:pStyle w:val="TableParagraph"/>
              <w:ind w:left="107"/>
              <w:rPr>
                <w:rFonts w:ascii="Calibri"/>
                <w:sz w:val="20"/>
              </w:rPr>
            </w:pPr>
            <w:r>
              <w:rPr>
                <w:rFonts w:ascii="Calibri"/>
                <w:spacing w:val="-5"/>
                <w:sz w:val="20"/>
              </w:rPr>
              <w:t>135</w:t>
            </w:r>
          </w:p>
        </w:tc>
      </w:tr>
      <w:tr>
        <w:trPr>
          <w:trHeight w:val="492" w:hRule="atLeast"/>
        </w:trPr>
        <w:tc>
          <w:tcPr>
            <w:tcW w:w="2998" w:type="dxa"/>
            <w:vMerge/>
            <w:tcBorders>
              <w:top w:val="nil"/>
            </w:tcBorders>
          </w:tcPr>
          <w:p>
            <w:pPr>
              <w:rPr>
                <w:sz w:val="2"/>
                <w:szCs w:val="2"/>
              </w:rPr>
            </w:pPr>
          </w:p>
        </w:tc>
        <w:tc>
          <w:tcPr>
            <w:tcW w:w="3008" w:type="dxa"/>
          </w:tcPr>
          <w:p>
            <w:pPr>
              <w:pStyle w:val="TableParagraph"/>
              <w:ind w:left="107"/>
              <w:rPr>
                <w:rFonts w:ascii="Calibri"/>
                <w:b/>
                <w:sz w:val="20"/>
              </w:rPr>
            </w:pPr>
            <w:r>
              <w:rPr>
                <w:rFonts w:ascii="Calibri"/>
                <w:b/>
                <w:spacing w:val="-2"/>
                <w:sz w:val="20"/>
              </w:rPr>
              <w:t>Gjithsej</w:t>
            </w:r>
          </w:p>
        </w:tc>
        <w:tc>
          <w:tcPr>
            <w:tcW w:w="2866" w:type="dxa"/>
          </w:tcPr>
          <w:p>
            <w:pPr>
              <w:pStyle w:val="TableParagraph"/>
              <w:ind w:left="107"/>
              <w:rPr>
                <w:rFonts w:ascii="Calibri"/>
                <w:b/>
                <w:sz w:val="20"/>
              </w:rPr>
            </w:pPr>
            <w:r>
              <w:rPr>
                <w:rFonts w:ascii="Calibri"/>
                <w:b/>
                <w:spacing w:val="-5"/>
                <w:sz w:val="20"/>
              </w:rPr>
              <w:t>585</w:t>
            </w:r>
          </w:p>
        </w:tc>
      </w:tr>
      <w:tr>
        <w:trPr>
          <w:trHeight w:val="493" w:hRule="atLeast"/>
        </w:trPr>
        <w:tc>
          <w:tcPr>
            <w:tcW w:w="2998" w:type="dxa"/>
          </w:tcPr>
          <w:p>
            <w:pPr>
              <w:pStyle w:val="TableParagraph"/>
              <w:ind w:left="107"/>
              <w:rPr>
                <w:rFonts w:ascii="Calibri"/>
                <w:sz w:val="20"/>
              </w:rPr>
            </w:pPr>
            <w:r>
              <w:rPr>
                <w:rFonts w:ascii="Calibri"/>
                <w:spacing w:val="-2"/>
                <w:sz w:val="20"/>
              </w:rPr>
              <w:t>Delet</w:t>
            </w:r>
          </w:p>
        </w:tc>
        <w:tc>
          <w:tcPr>
            <w:tcW w:w="3008" w:type="dxa"/>
          </w:tcPr>
          <w:p>
            <w:pPr>
              <w:pStyle w:val="TableParagraph"/>
              <w:rPr>
                <w:sz w:val="22"/>
              </w:rPr>
            </w:pPr>
          </w:p>
        </w:tc>
        <w:tc>
          <w:tcPr>
            <w:tcW w:w="2866" w:type="dxa"/>
          </w:tcPr>
          <w:p>
            <w:pPr>
              <w:pStyle w:val="TableParagraph"/>
              <w:ind w:left="107"/>
              <w:rPr>
                <w:rFonts w:ascii="Calibri"/>
                <w:sz w:val="20"/>
              </w:rPr>
            </w:pPr>
            <w:r>
              <w:rPr>
                <w:rFonts w:ascii="Calibri"/>
                <w:spacing w:val="-4"/>
                <w:sz w:val="20"/>
              </w:rPr>
              <w:t>1639</w:t>
            </w:r>
          </w:p>
        </w:tc>
      </w:tr>
      <w:tr>
        <w:trPr>
          <w:trHeight w:val="492" w:hRule="atLeast"/>
        </w:trPr>
        <w:tc>
          <w:tcPr>
            <w:tcW w:w="2998" w:type="dxa"/>
          </w:tcPr>
          <w:p>
            <w:pPr>
              <w:pStyle w:val="TableParagraph"/>
              <w:spacing w:before="1"/>
              <w:ind w:left="107"/>
              <w:rPr>
                <w:rFonts w:ascii="Calibri" w:hAnsi="Calibri"/>
                <w:sz w:val="20"/>
              </w:rPr>
            </w:pPr>
            <w:r>
              <w:rPr>
                <w:rFonts w:ascii="Calibri" w:hAnsi="Calibri"/>
                <w:spacing w:val="-2"/>
                <w:sz w:val="20"/>
              </w:rPr>
              <w:t>Dhitë</w:t>
            </w:r>
          </w:p>
        </w:tc>
        <w:tc>
          <w:tcPr>
            <w:tcW w:w="3008" w:type="dxa"/>
          </w:tcPr>
          <w:p>
            <w:pPr>
              <w:pStyle w:val="TableParagraph"/>
              <w:rPr>
                <w:sz w:val="22"/>
              </w:rPr>
            </w:pPr>
          </w:p>
        </w:tc>
        <w:tc>
          <w:tcPr>
            <w:tcW w:w="2866" w:type="dxa"/>
          </w:tcPr>
          <w:p>
            <w:pPr>
              <w:pStyle w:val="TableParagraph"/>
              <w:spacing w:before="1"/>
              <w:ind w:left="107"/>
              <w:rPr>
                <w:rFonts w:ascii="Calibri"/>
                <w:sz w:val="20"/>
              </w:rPr>
            </w:pPr>
            <w:r>
              <w:rPr>
                <w:rFonts w:ascii="Calibri"/>
                <w:spacing w:val="-5"/>
                <w:sz w:val="20"/>
              </w:rPr>
              <w:t>52</w:t>
            </w:r>
          </w:p>
        </w:tc>
      </w:tr>
      <w:tr>
        <w:trPr>
          <w:trHeight w:val="493" w:hRule="atLeast"/>
        </w:trPr>
        <w:tc>
          <w:tcPr>
            <w:tcW w:w="2998" w:type="dxa"/>
          </w:tcPr>
          <w:p>
            <w:pPr>
              <w:pStyle w:val="TableParagraph"/>
              <w:spacing w:before="1"/>
              <w:ind w:left="107"/>
              <w:rPr>
                <w:rFonts w:ascii="Calibri"/>
                <w:sz w:val="20"/>
              </w:rPr>
            </w:pPr>
            <w:r>
              <w:rPr>
                <w:rFonts w:ascii="Calibri"/>
                <w:spacing w:val="-2"/>
                <w:sz w:val="20"/>
              </w:rPr>
              <w:t>Pulat</w:t>
            </w:r>
          </w:p>
        </w:tc>
        <w:tc>
          <w:tcPr>
            <w:tcW w:w="3008" w:type="dxa"/>
          </w:tcPr>
          <w:p>
            <w:pPr>
              <w:pStyle w:val="TableParagraph"/>
              <w:rPr>
                <w:sz w:val="22"/>
              </w:rPr>
            </w:pPr>
          </w:p>
        </w:tc>
        <w:tc>
          <w:tcPr>
            <w:tcW w:w="2866" w:type="dxa"/>
          </w:tcPr>
          <w:p>
            <w:pPr>
              <w:pStyle w:val="TableParagraph"/>
              <w:spacing w:before="1"/>
              <w:ind w:left="107"/>
              <w:rPr>
                <w:rFonts w:ascii="Calibri"/>
                <w:sz w:val="20"/>
              </w:rPr>
            </w:pPr>
            <w:r>
              <w:rPr>
                <w:rFonts w:ascii="Calibri"/>
                <w:spacing w:val="-5"/>
                <w:sz w:val="20"/>
              </w:rPr>
              <w:t>200</w:t>
            </w:r>
          </w:p>
        </w:tc>
      </w:tr>
      <w:tr>
        <w:trPr>
          <w:trHeight w:val="492" w:hRule="atLeast"/>
        </w:trPr>
        <w:tc>
          <w:tcPr>
            <w:tcW w:w="2998" w:type="dxa"/>
          </w:tcPr>
          <w:p>
            <w:pPr>
              <w:pStyle w:val="TableParagraph"/>
              <w:ind w:left="107"/>
              <w:rPr>
                <w:rFonts w:ascii="Calibri" w:hAnsi="Calibri"/>
                <w:sz w:val="20"/>
              </w:rPr>
            </w:pPr>
            <w:r>
              <w:rPr>
                <w:rFonts w:ascii="Calibri" w:hAnsi="Calibri"/>
                <w:sz w:val="20"/>
              </w:rPr>
              <w:t>Kolonitë e</w:t>
            </w:r>
            <w:r>
              <w:rPr>
                <w:rFonts w:ascii="Calibri" w:hAnsi="Calibri"/>
                <w:spacing w:val="-2"/>
                <w:sz w:val="20"/>
              </w:rPr>
              <w:t> bletëve</w:t>
            </w:r>
          </w:p>
        </w:tc>
        <w:tc>
          <w:tcPr>
            <w:tcW w:w="3008" w:type="dxa"/>
          </w:tcPr>
          <w:p>
            <w:pPr>
              <w:pStyle w:val="TableParagraph"/>
              <w:rPr>
                <w:sz w:val="22"/>
              </w:rPr>
            </w:pPr>
          </w:p>
        </w:tc>
        <w:tc>
          <w:tcPr>
            <w:tcW w:w="2866" w:type="dxa"/>
          </w:tcPr>
          <w:p>
            <w:pPr>
              <w:pStyle w:val="TableParagraph"/>
              <w:ind w:left="107"/>
              <w:rPr>
                <w:rFonts w:ascii="Calibri"/>
                <w:sz w:val="20"/>
              </w:rPr>
            </w:pPr>
            <w:r>
              <w:rPr>
                <w:rFonts w:ascii="Calibri"/>
                <w:spacing w:val="-4"/>
                <w:sz w:val="20"/>
              </w:rPr>
              <w:t>2060</w:t>
            </w:r>
          </w:p>
        </w:tc>
      </w:tr>
    </w:tbl>
    <w:p>
      <w:pPr>
        <w:spacing w:before="6"/>
        <w:ind w:left="2997" w:right="0" w:firstLine="0"/>
        <w:jc w:val="left"/>
        <w:rPr>
          <w:sz w:val="24"/>
        </w:rPr>
      </w:pPr>
      <w:r>
        <w:rPr>
          <w:b/>
          <w:sz w:val="24"/>
        </w:rPr>
        <w:t>Tabela</w:t>
      </w:r>
      <w:r>
        <w:rPr>
          <w:b/>
          <w:spacing w:val="-6"/>
          <w:sz w:val="24"/>
        </w:rPr>
        <w:t> </w:t>
      </w:r>
      <w:r>
        <w:rPr>
          <w:b/>
          <w:sz w:val="24"/>
        </w:rPr>
        <w:t>11:</w:t>
      </w:r>
      <w:r>
        <w:rPr>
          <w:b/>
          <w:spacing w:val="-5"/>
          <w:sz w:val="24"/>
        </w:rPr>
        <w:t> </w:t>
      </w:r>
      <w:r>
        <w:rPr>
          <w:sz w:val="24"/>
        </w:rPr>
        <w:t>Numri</w:t>
      </w:r>
      <w:r>
        <w:rPr>
          <w:spacing w:val="-5"/>
          <w:sz w:val="24"/>
        </w:rPr>
        <w:t> </w:t>
      </w:r>
      <w:r>
        <w:rPr>
          <w:sz w:val="24"/>
        </w:rPr>
        <w:t>i</w:t>
      </w:r>
      <w:r>
        <w:rPr>
          <w:spacing w:val="-6"/>
          <w:sz w:val="24"/>
        </w:rPr>
        <w:t> </w:t>
      </w:r>
      <w:r>
        <w:rPr>
          <w:sz w:val="24"/>
        </w:rPr>
        <w:t>krerëve</w:t>
      </w:r>
      <w:r>
        <w:rPr>
          <w:spacing w:val="-6"/>
          <w:sz w:val="24"/>
        </w:rPr>
        <w:t> </w:t>
      </w:r>
      <w:r>
        <w:rPr>
          <w:sz w:val="24"/>
        </w:rPr>
        <w:t>të</w:t>
      </w:r>
      <w:r>
        <w:rPr>
          <w:spacing w:val="-5"/>
          <w:sz w:val="24"/>
        </w:rPr>
        <w:t> </w:t>
      </w:r>
      <w:r>
        <w:rPr>
          <w:sz w:val="24"/>
        </w:rPr>
        <w:t>kafshëve</w:t>
      </w:r>
      <w:r>
        <w:rPr>
          <w:spacing w:val="-5"/>
          <w:sz w:val="24"/>
        </w:rPr>
        <w:t> </w:t>
      </w:r>
      <w:r>
        <w:rPr>
          <w:spacing w:val="-2"/>
          <w:sz w:val="24"/>
        </w:rPr>
        <w:t>blegtorale</w:t>
      </w:r>
    </w:p>
    <w:p>
      <w:pPr>
        <w:pStyle w:val="BodyText"/>
        <w:spacing w:before="200"/>
        <w:ind w:left="740" w:right="1435"/>
      </w:pPr>
      <w:r>
        <w:rPr/>
        <w:t>Prodhimtaria e qumështit vlerësohet në 87,67 litra/ ditë, e mishit në 3500 kg/ vit, e vezëve 180</w:t>
      </w:r>
      <w:r>
        <w:rPr>
          <w:spacing w:val="80"/>
        </w:rPr>
        <w:t> </w:t>
      </w:r>
      <w:r>
        <w:rPr/>
        <w:t>copë/ ditë dhe e mjaltit në 4000 kg/ vit.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rect style="position:absolute;margin-left:72pt;margin-top:9.033321pt;width:144.020pt;height:.65997pt;mso-position-horizontal-relative:page;mso-position-vertical-relative:paragraph;z-index:-15709184;mso-wrap-distance-left:0;mso-wrap-distance-right:0" id="docshape186"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6</w:t>
      </w:r>
      <w:r>
        <w:rPr>
          <w:rFonts w:ascii="Calibri" w:hAnsi="Calibri"/>
          <w:spacing w:val="-4"/>
          <w:sz w:val="20"/>
          <w:vertAlign w:val="baseline"/>
        </w:rPr>
        <w:t> </w:t>
      </w:r>
      <w:r>
        <w:rPr>
          <w:rFonts w:ascii="Calibri" w:hAnsi="Calibri"/>
          <w:sz w:val="20"/>
          <w:vertAlign w:val="baseline"/>
        </w:rPr>
        <w:t>Drejtoria</w:t>
      </w:r>
      <w:r>
        <w:rPr>
          <w:rFonts w:ascii="Calibri" w:hAnsi="Calibri"/>
          <w:spacing w:val="-4"/>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Bujqësi</w:t>
      </w:r>
      <w:r>
        <w:rPr>
          <w:rFonts w:ascii="Calibri" w:hAnsi="Calibri"/>
          <w:spacing w:val="-5"/>
          <w:sz w:val="20"/>
          <w:vertAlign w:val="baseline"/>
        </w:rPr>
        <w:t> </w:t>
      </w:r>
      <w:r>
        <w:rPr>
          <w:rFonts w:ascii="Calibri" w:hAnsi="Calibri"/>
          <w:sz w:val="20"/>
          <w:vertAlign w:val="baseline"/>
        </w:rPr>
        <w:t>Pylltari</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z w:val="20"/>
          <w:vertAlign w:val="baseline"/>
        </w:rPr>
        <w:t>Zhvillim</w:t>
      </w:r>
      <w:r>
        <w:rPr>
          <w:rFonts w:ascii="Calibri" w:hAnsi="Calibri"/>
          <w:spacing w:val="-4"/>
          <w:sz w:val="20"/>
          <w:vertAlign w:val="baseline"/>
        </w:rPr>
        <w:t> </w:t>
      </w:r>
      <w:r>
        <w:rPr>
          <w:rFonts w:ascii="Calibri" w:hAnsi="Calibri"/>
          <w:spacing w:val="-2"/>
          <w:sz w:val="20"/>
          <w:vertAlign w:val="baseline"/>
        </w:rPr>
        <w:t>Rural</w:t>
      </w:r>
    </w:p>
    <w:p>
      <w:pPr>
        <w:spacing w:after="0"/>
        <w:jc w:val="left"/>
        <w:rPr>
          <w:rFonts w:ascii="Calibri" w:hAnsi="Calibri"/>
          <w:sz w:val="20"/>
        </w:rPr>
        <w:sectPr>
          <w:type w:val="continuous"/>
          <w:pgSz w:w="12240" w:h="15840"/>
          <w:pgMar w:header="0" w:footer="990" w:top="1420" w:bottom="1180" w:left="700" w:right="0"/>
        </w:sectPr>
      </w:pPr>
    </w:p>
    <w:p>
      <w:pPr>
        <w:pStyle w:val="Heading2"/>
        <w:tabs>
          <w:tab w:pos="10131" w:val="left" w:leader="none"/>
        </w:tabs>
        <w:spacing w:before="60"/>
        <w:jc w:val="both"/>
      </w:pPr>
      <w:r>
        <w:rPr>
          <w:color w:val="000000"/>
          <w:shd w:fill="EAB8A3" w:color="auto" w:val="clear"/>
        </w:rPr>
        <w:t>4.5 </w:t>
      </w:r>
      <w:r>
        <w:rPr>
          <w:color w:val="000000"/>
          <w:spacing w:val="-2"/>
          <w:shd w:fill="EAB8A3" w:color="auto" w:val="clear"/>
        </w:rPr>
        <w:t>Pyjet</w:t>
      </w:r>
      <w:r>
        <w:rPr>
          <w:color w:val="000000"/>
          <w:shd w:fill="EAB8A3" w:color="auto" w:val="clear"/>
        </w:rPr>
        <w:tab/>
      </w:r>
    </w:p>
    <w:p>
      <w:pPr>
        <w:pStyle w:val="BodyText"/>
        <w:spacing w:before="200"/>
        <w:ind w:left="740" w:right="1438"/>
        <w:jc w:val="both"/>
      </w:pPr>
      <w:r>
        <w:rPr/>
        <w:t>Po sipas të dhënave nga Sektori i Gjeodezisë, Kadastrit</w:t>
      </w:r>
      <w:r>
        <w:rPr/>
        <w:t> dhe</w:t>
      </w:r>
      <w:r>
        <w:rPr/>
        <w:t> Pronës</w:t>
      </w:r>
      <w:r>
        <w:rPr>
          <w:vertAlign w:val="superscript"/>
        </w:rPr>
        <w:t>7</w:t>
      </w:r>
      <w:r>
        <w:rPr>
          <w:vertAlign w:val="baseline"/>
        </w:rPr>
        <w:t>, tokat pyjore përfshijnë 4.848,56ha. E tërë sipërfaqja pyjore kategorizohet si</w:t>
      </w:r>
      <w:r>
        <w:rPr>
          <w:spacing w:val="40"/>
          <w:vertAlign w:val="baseline"/>
        </w:rPr>
        <w:t> </w:t>
      </w:r>
      <w:r>
        <w:rPr>
          <w:vertAlign w:val="baseline"/>
        </w:rPr>
        <w:t>e mbrojtur, pa destinim për ndonjë qëllim </w:t>
      </w:r>
      <w:r>
        <w:rPr>
          <w:spacing w:val="-2"/>
          <w:vertAlign w:val="baseline"/>
        </w:rPr>
        <w:t>komercial.</w:t>
      </w:r>
    </w:p>
    <w:p>
      <w:pPr>
        <w:pStyle w:val="BodyText"/>
        <w:spacing w:before="200"/>
        <w:ind w:left="740" w:right="1435"/>
        <w:jc w:val="both"/>
      </w:pPr>
      <w:r>
        <w:rPr/>
        <w:t>Sipërfaqja reale e pyjeve nuk përkon me atë destinuar si më lart. Duke filluar nga vitet e 90-ta, pyjet janë dëmtuar (zjarre) dhe prerë në vazhdimësi në mënyrë jo-formale për tu shfrytëzuar si lëndë djegëse (burim kryesor për ekonomitë</w:t>
      </w:r>
      <w:r>
        <w:rPr>
          <w:spacing w:val="-1"/>
        </w:rPr>
        <w:t> </w:t>
      </w:r>
      <w:r>
        <w:rPr/>
        <w:t>familjare). Në</w:t>
      </w:r>
      <w:r>
        <w:rPr>
          <w:spacing w:val="-1"/>
        </w:rPr>
        <w:t> </w:t>
      </w:r>
      <w:r>
        <w:rPr/>
        <w:t>të vërtetë pyje</w:t>
      </w:r>
      <w:r>
        <w:rPr>
          <w:spacing w:val="-1"/>
        </w:rPr>
        <w:t> </w:t>
      </w:r>
      <w:r>
        <w:rPr/>
        <w:t>të larta kanë</w:t>
      </w:r>
      <w:r>
        <w:rPr>
          <w:spacing w:val="-1"/>
        </w:rPr>
        <w:t> </w:t>
      </w:r>
      <w:r>
        <w:rPr/>
        <w:t>mbetur në sipërfaqe</w:t>
      </w:r>
      <w:r>
        <w:rPr>
          <w:spacing w:val="-4"/>
        </w:rPr>
        <w:t> </w:t>
      </w:r>
      <w:r>
        <w:rPr/>
        <w:t>relativisht</w:t>
      </w:r>
      <w:r>
        <w:rPr>
          <w:spacing w:val="-3"/>
        </w:rPr>
        <w:t> </w:t>
      </w:r>
      <w:r>
        <w:rPr/>
        <w:t>të</w:t>
      </w:r>
      <w:r>
        <w:rPr>
          <w:spacing w:val="-3"/>
        </w:rPr>
        <w:t> </w:t>
      </w:r>
      <w:r>
        <w:rPr/>
        <w:t>vogël.</w:t>
      </w:r>
      <w:r>
        <w:rPr>
          <w:spacing w:val="-3"/>
        </w:rPr>
        <w:t> </w:t>
      </w:r>
      <w:r>
        <w:rPr/>
        <w:t>Një</w:t>
      </w:r>
      <w:r>
        <w:rPr>
          <w:spacing w:val="-3"/>
        </w:rPr>
        <w:t> </w:t>
      </w:r>
      <w:r>
        <w:rPr/>
        <w:t>gjë</w:t>
      </w:r>
      <w:r>
        <w:rPr>
          <w:spacing w:val="-3"/>
        </w:rPr>
        <w:t> </w:t>
      </w:r>
      <w:r>
        <w:rPr/>
        <w:t>pozitive</w:t>
      </w:r>
      <w:r>
        <w:rPr>
          <w:spacing w:val="-4"/>
        </w:rPr>
        <w:t> </w:t>
      </w:r>
      <w:r>
        <w:rPr/>
        <w:t>është</w:t>
      </w:r>
      <w:r>
        <w:rPr>
          <w:spacing w:val="-3"/>
        </w:rPr>
        <w:t> </w:t>
      </w:r>
      <w:r>
        <w:rPr/>
        <w:t>se</w:t>
      </w:r>
      <w:r>
        <w:rPr>
          <w:spacing w:val="-3"/>
        </w:rPr>
        <w:t> </w:t>
      </w:r>
      <w:r>
        <w:rPr/>
        <w:t>aty</w:t>
      </w:r>
      <w:r>
        <w:rPr>
          <w:spacing w:val="-3"/>
        </w:rPr>
        <w:t> </w:t>
      </w:r>
      <w:r>
        <w:rPr/>
        <w:t>ku</w:t>
      </w:r>
      <w:r>
        <w:rPr>
          <w:spacing w:val="-3"/>
        </w:rPr>
        <w:t> </w:t>
      </w:r>
      <w:r>
        <w:rPr/>
        <w:t>pyjet</w:t>
      </w:r>
      <w:r>
        <w:rPr>
          <w:spacing w:val="-3"/>
        </w:rPr>
        <w:t> </w:t>
      </w:r>
      <w:r>
        <w:rPr/>
        <w:t>janë</w:t>
      </w:r>
      <w:r>
        <w:rPr>
          <w:spacing w:val="-3"/>
        </w:rPr>
        <w:t> </w:t>
      </w:r>
      <w:r>
        <w:rPr/>
        <w:t>prerë</w:t>
      </w:r>
      <w:r>
        <w:rPr>
          <w:spacing w:val="-4"/>
        </w:rPr>
        <w:t> </w:t>
      </w:r>
      <w:r>
        <w:rPr/>
        <w:t>kanë</w:t>
      </w:r>
      <w:r>
        <w:rPr>
          <w:spacing w:val="-4"/>
        </w:rPr>
        <w:t> </w:t>
      </w:r>
      <w:r>
        <w:rPr/>
        <w:t>filluar</w:t>
      </w:r>
      <w:r>
        <w:rPr>
          <w:spacing w:val="-4"/>
        </w:rPr>
        <w:t> </w:t>
      </w:r>
      <w:r>
        <w:rPr/>
        <w:t>të</w:t>
      </w:r>
      <w:r>
        <w:rPr>
          <w:spacing w:val="-3"/>
        </w:rPr>
        <w:t> </w:t>
      </w:r>
      <w:r>
        <w:rPr/>
        <w:t>rriten pyje të reja të cilat duhet ruajtur dhe zhvilluar. Shumica e sipërfaqes është potencial për pyje të larta</w:t>
      </w:r>
      <w:r>
        <w:rPr>
          <w:spacing w:val="-10"/>
        </w:rPr>
        <w:t> </w:t>
      </w:r>
      <w:r>
        <w:rPr/>
        <w:t>përveç</w:t>
      </w:r>
      <w:r>
        <w:rPr>
          <w:spacing w:val="-12"/>
        </w:rPr>
        <w:t> </w:t>
      </w:r>
      <w:r>
        <w:rPr/>
        <w:t>anës</w:t>
      </w:r>
      <w:r>
        <w:rPr>
          <w:spacing w:val="-12"/>
        </w:rPr>
        <w:t> </w:t>
      </w:r>
      <w:r>
        <w:rPr/>
        <w:t>jug-perëndimore</w:t>
      </w:r>
      <w:r>
        <w:rPr>
          <w:spacing w:val="-11"/>
        </w:rPr>
        <w:t> </w:t>
      </w:r>
      <w:r>
        <w:rPr/>
        <w:t>e</w:t>
      </w:r>
      <w:r>
        <w:rPr>
          <w:spacing w:val="-12"/>
        </w:rPr>
        <w:t> </w:t>
      </w:r>
      <w:r>
        <w:rPr/>
        <w:t>cila</w:t>
      </w:r>
      <w:r>
        <w:rPr>
          <w:spacing w:val="-12"/>
        </w:rPr>
        <w:t> </w:t>
      </w:r>
      <w:r>
        <w:rPr/>
        <w:t>mbulohet</w:t>
      </w:r>
      <w:r>
        <w:rPr>
          <w:spacing w:val="-11"/>
        </w:rPr>
        <w:t> </w:t>
      </w:r>
      <w:r>
        <w:rPr/>
        <w:t>nga</w:t>
      </w:r>
      <w:r>
        <w:rPr>
          <w:spacing w:val="-10"/>
        </w:rPr>
        <w:t> </w:t>
      </w:r>
      <w:r>
        <w:rPr/>
        <w:t>shkurret.</w:t>
      </w:r>
      <w:r>
        <w:rPr>
          <w:spacing w:val="-10"/>
        </w:rPr>
        <w:t> </w:t>
      </w:r>
      <w:r>
        <w:rPr/>
        <w:t>Më</w:t>
      </w:r>
      <w:r>
        <w:rPr>
          <w:spacing w:val="-11"/>
        </w:rPr>
        <w:t> </w:t>
      </w:r>
      <w:r>
        <w:rPr/>
        <w:t>së</w:t>
      </w:r>
      <w:r>
        <w:rPr>
          <w:spacing w:val="-11"/>
        </w:rPr>
        <w:t> </w:t>
      </w:r>
      <w:r>
        <w:rPr/>
        <w:t>shumti</w:t>
      </w:r>
      <w:r>
        <w:rPr>
          <w:spacing w:val="-11"/>
        </w:rPr>
        <w:t> </w:t>
      </w:r>
      <w:r>
        <w:rPr/>
        <w:t>është</w:t>
      </w:r>
      <w:r>
        <w:rPr>
          <w:spacing w:val="-11"/>
        </w:rPr>
        <w:t> </w:t>
      </w:r>
      <w:r>
        <w:rPr/>
        <w:t>i</w:t>
      </w:r>
      <w:r>
        <w:rPr>
          <w:spacing w:val="-10"/>
        </w:rPr>
        <w:t> </w:t>
      </w:r>
      <w:r>
        <w:rPr/>
        <w:t>përhapur</w:t>
      </w:r>
      <w:r>
        <w:rPr>
          <w:spacing w:val="-11"/>
        </w:rPr>
        <w:t> </w:t>
      </w:r>
      <w:r>
        <w:rPr/>
        <w:t>ahu por ka edhe sipërfaqe me bung, shkozë, pishë, frashër</w:t>
      </w:r>
      <w:r>
        <w:rPr>
          <w:vertAlign w:val="superscript"/>
        </w:rPr>
        <w:t>8</w:t>
      </w:r>
      <w:r>
        <w:rPr>
          <w:vertAlign w:val="baseline"/>
        </w:rPr>
        <w:t>, etj.</w:t>
      </w:r>
    </w:p>
    <w:p>
      <w:pPr>
        <w:pStyle w:val="BodyText"/>
        <w:spacing w:before="201"/>
        <w:ind w:left="740" w:right="1438"/>
        <w:jc w:val="both"/>
      </w:pPr>
      <w:r>
        <w:rPr/>
        <w:t>Në dhjetë vitet e fundit ka pasur aktivitete të pyllëzimit si mbjellja e 17 hektarëve me pisha në Gorancë</w:t>
      </w:r>
      <w:r>
        <w:rPr>
          <w:spacing w:val="-9"/>
        </w:rPr>
        <w:t> </w:t>
      </w:r>
      <w:r>
        <w:rPr/>
        <w:t>nga</w:t>
      </w:r>
      <w:r>
        <w:rPr>
          <w:spacing w:val="-9"/>
        </w:rPr>
        <w:t> </w:t>
      </w:r>
      <w:r>
        <w:rPr/>
        <w:t>qeveria</w:t>
      </w:r>
      <w:r>
        <w:rPr>
          <w:spacing w:val="-9"/>
        </w:rPr>
        <w:t> </w:t>
      </w:r>
      <w:r>
        <w:rPr/>
        <w:t>lokale</w:t>
      </w:r>
      <w:r>
        <w:rPr>
          <w:spacing w:val="-9"/>
        </w:rPr>
        <w:t> </w:t>
      </w:r>
      <w:r>
        <w:rPr/>
        <w:t>dhe</w:t>
      </w:r>
      <w:r>
        <w:rPr>
          <w:spacing w:val="-9"/>
        </w:rPr>
        <w:t> </w:t>
      </w:r>
      <w:r>
        <w:rPr/>
        <w:t>qendrore,</w:t>
      </w:r>
      <w:r>
        <w:rPr>
          <w:spacing w:val="-9"/>
        </w:rPr>
        <w:t> </w:t>
      </w:r>
      <w:r>
        <w:rPr/>
        <w:t>etj.</w:t>
      </w:r>
      <w:r>
        <w:rPr>
          <w:spacing w:val="-9"/>
        </w:rPr>
        <w:t> </w:t>
      </w:r>
      <w:r>
        <w:rPr/>
        <w:t>Këto</w:t>
      </w:r>
      <w:r>
        <w:rPr>
          <w:spacing w:val="-9"/>
        </w:rPr>
        <w:t> </w:t>
      </w:r>
      <w:r>
        <w:rPr/>
        <w:t>aktivitete</w:t>
      </w:r>
      <w:r>
        <w:rPr>
          <w:spacing w:val="-9"/>
        </w:rPr>
        <w:t> </w:t>
      </w:r>
      <w:r>
        <w:rPr/>
        <w:t>planifikohen</w:t>
      </w:r>
      <w:r>
        <w:rPr>
          <w:spacing w:val="-9"/>
        </w:rPr>
        <w:t> </w:t>
      </w:r>
      <w:r>
        <w:rPr/>
        <w:t>të</w:t>
      </w:r>
      <w:r>
        <w:rPr>
          <w:spacing w:val="-9"/>
        </w:rPr>
        <w:t> </w:t>
      </w:r>
      <w:r>
        <w:rPr/>
        <w:t>vazhdojnë</w:t>
      </w:r>
      <w:r>
        <w:rPr>
          <w:spacing w:val="-9"/>
        </w:rPr>
        <w:t> </w:t>
      </w:r>
      <w:r>
        <w:rPr/>
        <w:t>edhe</w:t>
      </w:r>
      <w:r>
        <w:rPr>
          <w:spacing w:val="-9"/>
        </w:rPr>
        <w:t> </w:t>
      </w:r>
      <w:r>
        <w:rPr/>
        <w:t>në</w:t>
      </w:r>
      <w:r>
        <w:rPr>
          <w:spacing w:val="-9"/>
        </w:rPr>
        <w:t> </w:t>
      </w:r>
      <w:r>
        <w:rPr/>
        <w:t>të ardhmen</w:t>
      </w:r>
      <w:r>
        <w:rPr>
          <w:spacing w:val="-9"/>
        </w:rPr>
        <w:t> </w:t>
      </w:r>
      <w:r>
        <w:rPr/>
        <w:t>së</w:t>
      </w:r>
      <w:r>
        <w:rPr>
          <w:spacing w:val="-10"/>
        </w:rPr>
        <w:t> </w:t>
      </w:r>
      <w:r>
        <w:rPr/>
        <w:t>bashku</w:t>
      </w:r>
      <w:r>
        <w:rPr>
          <w:spacing w:val="-9"/>
        </w:rPr>
        <w:t> </w:t>
      </w:r>
      <w:r>
        <w:rPr/>
        <w:t>me</w:t>
      </w:r>
      <w:r>
        <w:rPr>
          <w:spacing w:val="-9"/>
        </w:rPr>
        <w:t> </w:t>
      </w:r>
      <w:r>
        <w:rPr/>
        <w:t>përmirësimin</w:t>
      </w:r>
      <w:r>
        <w:rPr>
          <w:spacing w:val="-10"/>
        </w:rPr>
        <w:t> </w:t>
      </w:r>
      <w:r>
        <w:rPr/>
        <w:t>e</w:t>
      </w:r>
      <w:r>
        <w:rPr>
          <w:spacing w:val="-9"/>
        </w:rPr>
        <w:t> </w:t>
      </w:r>
      <w:r>
        <w:rPr/>
        <w:t>sistemit</w:t>
      </w:r>
      <w:r>
        <w:rPr>
          <w:spacing w:val="-9"/>
        </w:rPr>
        <w:t> </w:t>
      </w:r>
      <w:r>
        <w:rPr/>
        <w:t>të</w:t>
      </w:r>
      <w:r>
        <w:rPr>
          <w:spacing w:val="-11"/>
        </w:rPr>
        <w:t> </w:t>
      </w:r>
      <w:r>
        <w:rPr/>
        <w:t>menaxhimit</w:t>
      </w:r>
      <w:r>
        <w:rPr>
          <w:spacing w:val="-8"/>
        </w:rPr>
        <w:t> </w:t>
      </w:r>
      <w:r>
        <w:rPr/>
        <w:t>të</w:t>
      </w:r>
      <w:r>
        <w:rPr>
          <w:spacing w:val="-9"/>
        </w:rPr>
        <w:t> </w:t>
      </w:r>
      <w:r>
        <w:rPr/>
        <w:t>pyjeve.</w:t>
      </w:r>
      <w:r>
        <w:rPr>
          <w:spacing w:val="-10"/>
        </w:rPr>
        <w:t> </w:t>
      </w:r>
      <w:r>
        <w:rPr/>
        <w:t>Rrallimet</w:t>
      </w:r>
      <w:r>
        <w:rPr>
          <w:spacing w:val="-9"/>
        </w:rPr>
        <w:t> </w:t>
      </w:r>
      <w:r>
        <w:rPr/>
        <w:t>komerciale</w:t>
      </w:r>
      <w:r>
        <w:rPr>
          <w:spacing w:val="-9"/>
        </w:rPr>
        <w:t> </w:t>
      </w:r>
      <w:r>
        <w:rPr/>
        <w:t>dhe para-komerciale janë të përvitshme dhe ndikojnë pozitivisht në mirëmbajtjen e pyjeve dhe në shërbim më të mirë të ngrohjes.</w:t>
      </w:r>
    </w:p>
    <w:p>
      <w:pPr>
        <w:spacing w:after="0"/>
        <w:jc w:val="both"/>
        <w:sectPr>
          <w:footerReference w:type="default" r:id="rId51"/>
          <w:pgSz w:w="12240" w:h="15840"/>
          <w:pgMar w:footer="1886" w:header="0" w:top="1380" w:bottom="2080" w:left="700" w:right="0"/>
        </w:sectPr>
      </w:pPr>
    </w:p>
    <w:p>
      <w:pPr>
        <w:pStyle w:val="BodyText"/>
        <w:rPr>
          <w:sz w:val="20"/>
        </w:rPr>
      </w:pPr>
      <w:r>
        <w:rPr/>
        <w:drawing>
          <wp:anchor distT="0" distB="0" distL="0" distR="0" allowOverlap="1" layoutInCell="1" locked="0" behindDoc="0" simplePos="0" relativeHeight="15748608">
            <wp:simplePos x="0" y="0"/>
            <wp:positionH relativeFrom="page">
              <wp:posOffset>19050</wp:posOffset>
            </wp:positionH>
            <wp:positionV relativeFrom="page">
              <wp:posOffset>19048</wp:posOffset>
            </wp:positionV>
            <wp:extent cx="7753350" cy="10020298"/>
            <wp:effectExtent l="0" t="0" r="0" b="0"/>
            <wp:wrapNone/>
            <wp:docPr id="19" name="image40.jpeg"/>
            <wp:cNvGraphicFramePr>
              <a:graphicFrameLocks noChangeAspect="1"/>
            </wp:cNvGraphicFramePr>
            <a:graphic>
              <a:graphicData uri="http://schemas.openxmlformats.org/drawingml/2006/picture">
                <pic:pic>
                  <pic:nvPicPr>
                    <pic:cNvPr id="20" name="image40.jpeg"/>
                    <pic:cNvPicPr/>
                  </pic:nvPicPr>
                  <pic:blipFill>
                    <a:blip r:embed="rId53" cstate="print"/>
                    <a:stretch>
                      <a:fillRect/>
                    </a:stretch>
                  </pic:blipFill>
                  <pic:spPr>
                    <a:xfrm>
                      <a:off x="0" y="0"/>
                      <a:ext cx="7753350" cy="1002029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57"/>
        <w:ind w:left="0" w:right="1437" w:firstLine="0"/>
        <w:jc w:val="right"/>
        <w:rPr>
          <w:rFonts w:ascii="Calibri"/>
          <w:sz w:val="21"/>
        </w:rPr>
      </w:pPr>
      <w:r>
        <w:rPr>
          <w:rFonts w:ascii="Calibri"/>
          <w:spacing w:val="-5"/>
          <w:sz w:val="21"/>
        </w:rPr>
        <w:t>31</w:t>
      </w:r>
    </w:p>
    <w:p>
      <w:pPr>
        <w:spacing w:after="0"/>
        <w:jc w:val="right"/>
        <w:rPr>
          <w:rFonts w:ascii="Calibri"/>
          <w:sz w:val="21"/>
        </w:rPr>
        <w:sectPr>
          <w:footerReference w:type="default" r:id="rId52"/>
          <w:pgSz w:w="12240" w:h="15840"/>
          <w:pgMar w:footer="0" w:header="0" w:top="1820" w:bottom="280" w:left="700" w:right="0"/>
        </w:sectPr>
      </w:pPr>
    </w:p>
    <w:p>
      <w:pPr>
        <w:pStyle w:val="Heading1"/>
        <w:tabs>
          <w:tab w:pos="3081" w:val="left" w:leader="none"/>
        </w:tabs>
        <w:spacing w:before="91"/>
        <w:ind w:left="2361"/>
      </w:pPr>
      <w:r>
        <w:rPr/>
        <w:pict>
          <v:group style="position:absolute;margin-left:-.5pt;margin-top:-.05pt;width:612.25pt;height:52.3pt;mso-position-horizontal-relative:page;mso-position-vertical-relative:page;z-index:-19975680" id="docshapegroup191" coordorigin="-10,-1" coordsize="12245,1046">
            <v:shape style="position:absolute;left:-10;top:-1;width:7087;height:1046" type="#_x0000_t75" id="docshape192" stroked="false">
              <v:imagedata r:id="rId55" o:title=""/>
            </v:shape>
            <v:rect style="position:absolute;left:7078;top:9;width:5147;height:547" id="docshape193" filled="true" fillcolor="#eab9a4" stroked="false">
              <v:fill type="solid"/>
            </v:rect>
            <v:rect style="position:absolute;left:7078;top:9;width:5147;height:547" id="docshape194" filled="false" stroked="true" strokeweight="1pt" strokecolor="#eab9a4">
              <v:stroke dashstyle="solid"/>
            </v:rect>
            <v:shape style="position:absolute;left:5650;top:21;width:2820;height:1013" id="docshape195" coordorigin="5651,21" coordsize="2820,1013" path="m8471,21l6766,21,5651,1033,7356,1033,8471,21xe" filled="true" fillcolor="#eab9a4" stroked="false">
              <v:path arrowok="t"/>
              <v:fill type="solid"/>
            </v:shape>
            <v:shape style="position:absolute;left:5650;top:21;width:2820;height:1013" id="docshape196" coordorigin="5651,21" coordsize="2820,1013" path="m5651,1033l6766,21,8471,21,7356,1033,5651,1033xe" filled="false" stroked="true" strokeweight="1pt" strokecolor="#eab9a4">
              <v:path arrowok="t"/>
              <v:stroke dashstyle="solid"/>
            </v:shape>
            <w10:wrap type="none"/>
          </v:group>
        </w:pict>
      </w:r>
      <w:r>
        <w:rPr>
          <w:color w:val="FFFFFF"/>
          <w:spacing w:val="-4"/>
        </w:rPr>
        <w:t>5.1.</w:t>
      </w:r>
      <w:r>
        <w:rPr>
          <w:color w:val="FFFFFF"/>
        </w:rPr>
        <w:tab/>
      </w:r>
      <w:r>
        <w:rPr>
          <w:color w:val="FFFFFF"/>
          <w:spacing w:val="-2"/>
        </w:rPr>
        <w:t>Arsimi</w:t>
      </w: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BodyText"/>
        <w:spacing w:line="288" w:lineRule="auto" w:before="90"/>
        <w:ind w:left="740" w:right="1476"/>
      </w:pPr>
      <w:r>
        <w:rPr/>
        <w:t>Arsimi</w:t>
      </w:r>
      <w:r>
        <w:rPr>
          <w:spacing w:val="-5"/>
        </w:rPr>
        <w:t> </w:t>
      </w:r>
      <w:r>
        <w:rPr/>
        <w:t>është institucion më i rëndësishëm shoqëror i cili ndikon në përmirësimin e të gjitha vlerave shoqërore, në zhvillimin ekonomik, në përmasimin e drejtave të njeriun, ngritjen normave</w:t>
      </w:r>
      <w:r>
        <w:rPr>
          <w:spacing w:val="-3"/>
        </w:rPr>
        <w:t> </w:t>
      </w:r>
      <w:r>
        <w:rPr/>
        <w:t>kulturore,</w:t>
      </w:r>
      <w:r>
        <w:rPr>
          <w:spacing w:val="-3"/>
        </w:rPr>
        <w:t> </w:t>
      </w:r>
      <w:r>
        <w:rPr/>
        <w:t>në</w:t>
      </w:r>
      <w:r>
        <w:rPr>
          <w:spacing w:val="-2"/>
        </w:rPr>
        <w:t> </w:t>
      </w:r>
      <w:r>
        <w:rPr/>
        <w:t>ngritjen</w:t>
      </w:r>
      <w:r>
        <w:rPr>
          <w:spacing w:val="-3"/>
        </w:rPr>
        <w:t> </w:t>
      </w:r>
      <w:r>
        <w:rPr/>
        <w:t>e</w:t>
      </w:r>
      <w:r>
        <w:rPr>
          <w:spacing w:val="-3"/>
        </w:rPr>
        <w:t> </w:t>
      </w:r>
      <w:r>
        <w:rPr/>
        <w:t>aftësive</w:t>
      </w:r>
      <w:r>
        <w:rPr>
          <w:spacing w:val="-3"/>
        </w:rPr>
        <w:t> </w:t>
      </w:r>
      <w:r>
        <w:rPr/>
        <w:t>në</w:t>
      </w:r>
      <w:r>
        <w:rPr>
          <w:spacing w:val="-3"/>
        </w:rPr>
        <w:t> </w:t>
      </w:r>
      <w:r>
        <w:rPr/>
        <w:t>punë,</w:t>
      </w:r>
      <w:r>
        <w:rPr>
          <w:spacing w:val="-4"/>
        </w:rPr>
        <w:t> </w:t>
      </w:r>
      <w:r>
        <w:rPr/>
        <w:t>ne</w:t>
      </w:r>
      <w:r>
        <w:rPr>
          <w:spacing w:val="-3"/>
        </w:rPr>
        <w:t> </w:t>
      </w:r>
      <w:r>
        <w:rPr/>
        <w:t>zvogëlimin</w:t>
      </w:r>
      <w:r>
        <w:rPr>
          <w:spacing w:val="-3"/>
        </w:rPr>
        <w:t> </w:t>
      </w:r>
      <w:r>
        <w:rPr/>
        <w:t>dhe</w:t>
      </w:r>
      <w:r>
        <w:rPr>
          <w:spacing w:val="-3"/>
        </w:rPr>
        <w:t> </w:t>
      </w:r>
      <w:r>
        <w:rPr/>
        <w:t>zhdukjen</w:t>
      </w:r>
      <w:r>
        <w:rPr>
          <w:spacing w:val="-3"/>
        </w:rPr>
        <w:t> </w:t>
      </w:r>
      <w:r>
        <w:rPr/>
        <w:t>e</w:t>
      </w:r>
      <w:r>
        <w:rPr>
          <w:spacing w:val="-3"/>
        </w:rPr>
        <w:t> </w:t>
      </w:r>
      <w:r>
        <w:rPr/>
        <w:t>varfërisë,</w:t>
      </w:r>
      <w:r>
        <w:rPr>
          <w:spacing w:val="-3"/>
        </w:rPr>
        <w:t> </w:t>
      </w:r>
      <w:r>
        <w:rPr/>
        <w:t>në barazinë gjinore, në respektimin e grupeve vulnerabile, dhe në përmirësimin e jetës së çdo </w:t>
      </w:r>
      <w:r>
        <w:rPr>
          <w:spacing w:val="-2"/>
        </w:rPr>
        <w:t>individi.</w:t>
      </w:r>
    </w:p>
    <w:p>
      <w:pPr>
        <w:pStyle w:val="BodyText"/>
        <w:spacing w:line="288" w:lineRule="auto" w:before="201"/>
        <w:ind w:left="740" w:right="1437"/>
        <w:jc w:val="both"/>
      </w:pPr>
      <w:r>
        <w:rPr/>
        <w:t>Sistemi arsimor në Kosovë: Sistemi arsimor në Kosovë është duke funksionuar sipas modelit 5+4+3</w:t>
      </w:r>
      <w:r>
        <w:rPr>
          <w:spacing w:val="-3"/>
        </w:rPr>
        <w:t> </w:t>
      </w:r>
      <w:r>
        <w:rPr/>
        <w:t>nga</w:t>
      </w:r>
      <w:r>
        <w:rPr>
          <w:spacing w:val="-3"/>
        </w:rPr>
        <w:t> </w:t>
      </w:r>
      <w:r>
        <w:rPr/>
        <w:t>viti</w:t>
      </w:r>
      <w:r>
        <w:rPr>
          <w:spacing w:val="-4"/>
        </w:rPr>
        <w:t> </w:t>
      </w:r>
      <w:r>
        <w:rPr/>
        <w:t>2002.</w:t>
      </w:r>
      <w:r>
        <w:rPr>
          <w:spacing w:val="-4"/>
        </w:rPr>
        <w:t> </w:t>
      </w:r>
      <w:r>
        <w:rPr/>
        <w:t>Sipas</w:t>
      </w:r>
      <w:r>
        <w:rPr>
          <w:spacing w:val="-3"/>
        </w:rPr>
        <w:t> </w:t>
      </w:r>
      <w:r>
        <w:rPr/>
        <w:t>këtij</w:t>
      </w:r>
      <w:r>
        <w:rPr>
          <w:spacing w:val="-4"/>
        </w:rPr>
        <w:t> </w:t>
      </w:r>
      <w:r>
        <w:rPr/>
        <w:t>modeli</w:t>
      </w:r>
      <w:r>
        <w:rPr>
          <w:spacing w:val="-3"/>
        </w:rPr>
        <w:t> </w:t>
      </w:r>
      <w:r>
        <w:rPr/>
        <w:t>5</w:t>
      </w:r>
      <w:r>
        <w:rPr>
          <w:spacing w:val="-5"/>
        </w:rPr>
        <w:t> </w:t>
      </w:r>
      <w:r>
        <w:rPr/>
        <w:t>vite</w:t>
      </w:r>
      <w:r>
        <w:rPr>
          <w:spacing w:val="-4"/>
        </w:rPr>
        <w:t> </w:t>
      </w:r>
      <w:r>
        <w:rPr/>
        <w:t>janë</w:t>
      </w:r>
      <w:r>
        <w:rPr>
          <w:spacing w:val="-4"/>
        </w:rPr>
        <w:t> </w:t>
      </w:r>
      <w:r>
        <w:rPr/>
        <w:t>në</w:t>
      </w:r>
      <w:r>
        <w:rPr>
          <w:spacing w:val="-3"/>
        </w:rPr>
        <w:t> </w:t>
      </w:r>
      <w:r>
        <w:rPr/>
        <w:t>arsimin</w:t>
      </w:r>
      <w:r>
        <w:rPr>
          <w:spacing w:val="-6"/>
        </w:rPr>
        <w:t> </w:t>
      </w:r>
      <w:r>
        <w:rPr/>
        <w:t>fillor,</w:t>
      </w:r>
      <w:r>
        <w:rPr>
          <w:spacing w:val="-3"/>
        </w:rPr>
        <w:t> </w:t>
      </w:r>
      <w:r>
        <w:rPr/>
        <w:t>pastaj</w:t>
      </w:r>
      <w:r>
        <w:rPr>
          <w:spacing w:val="-4"/>
        </w:rPr>
        <w:t> </w:t>
      </w:r>
      <w:r>
        <w:rPr/>
        <w:t>vazhdohet</w:t>
      </w:r>
      <w:r>
        <w:rPr>
          <w:spacing w:val="-4"/>
        </w:rPr>
        <w:t> </w:t>
      </w:r>
      <w:r>
        <w:rPr/>
        <w:t>me</w:t>
      </w:r>
      <w:r>
        <w:rPr>
          <w:spacing w:val="-2"/>
        </w:rPr>
        <w:t> </w:t>
      </w:r>
      <w:r>
        <w:rPr/>
        <w:t>4</w:t>
      </w:r>
      <w:r>
        <w:rPr>
          <w:spacing w:val="-4"/>
        </w:rPr>
        <w:t> </w:t>
      </w:r>
      <w:r>
        <w:rPr/>
        <w:t>vite</w:t>
      </w:r>
      <w:r>
        <w:rPr>
          <w:spacing w:val="-5"/>
        </w:rPr>
        <w:t> </w:t>
      </w:r>
      <w:r>
        <w:rPr/>
        <w:t>të shkollimit fillor të mesëm të ulët dhe 3 apo 4 vite të shkollimit të mesëm të lartë.</w:t>
      </w:r>
    </w:p>
    <w:p>
      <w:pPr>
        <w:pStyle w:val="BodyText"/>
        <w:spacing w:line="288" w:lineRule="auto" w:before="199"/>
        <w:ind w:left="740" w:right="1437"/>
        <w:jc w:val="both"/>
      </w:pPr>
      <w:r>
        <w:rPr/>
        <w:t>Në komunën e Hani të Elezit arsimi është i organizuar në gjithsej 5(pesë) institucione shkollore. Prej tyre 1 është institucion parashkollor “Ardhmëria”. 3(Tri) shkolla të shkolla fillore të mesme të ulët(në Han të Elezit SHFMU “Ilaz Thaçi e cila ka dhe paralelet në fshatin Seçishtë dhe në fshatin Krivenik</w:t>
      </w:r>
      <w:r>
        <w:rPr>
          <w:spacing w:val="40"/>
        </w:rPr>
        <w:t> </w:t>
      </w:r>
      <w:r>
        <w:rPr/>
        <w:t>për klasat nga I-V, SHFMU Kështjella e Diturisë në Fshatin Paldenicë dhe SHFMU “Veli Ballazhi” në Fshatin Gorancë) dhe 1(një) shkollë e mesme e lartë SHML </w:t>
      </w:r>
      <w:r>
        <w:rPr>
          <w:spacing w:val="-2"/>
        </w:rPr>
        <w:t>“Dardania”.</w:t>
      </w:r>
    </w:p>
    <w:p>
      <w:pPr>
        <w:pStyle w:val="BodyText"/>
        <w:ind w:left="740"/>
        <w:jc w:val="both"/>
      </w:pPr>
      <w:r>
        <w:rPr/>
        <w:t>Të</w:t>
      </w:r>
      <w:r>
        <w:rPr>
          <w:spacing w:val="-2"/>
        </w:rPr>
        <w:t> </w:t>
      </w:r>
      <w:r>
        <w:rPr/>
        <w:t>gjitha</w:t>
      </w:r>
      <w:r>
        <w:rPr>
          <w:spacing w:val="-1"/>
        </w:rPr>
        <w:t> </w:t>
      </w:r>
      <w:r>
        <w:rPr/>
        <w:t>shkollat</w:t>
      </w:r>
      <w:r>
        <w:rPr>
          <w:spacing w:val="-1"/>
        </w:rPr>
        <w:t> </w:t>
      </w:r>
      <w:r>
        <w:rPr/>
        <w:t>posedoj</w:t>
      </w:r>
      <w:r>
        <w:rPr>
          <w:spacing w:val="-1"/>
        </w:rPr>
        <w:t> </w:t>
      </w:r>
      <w:r>
        <w:rPr/>
        <w:t>kushte</w:t>
      </w:r>
      <w:r>
        <w:rPr>
          <w:spacing w:val="-1"/>
        </w:rPr>
        <w:t> </w:t>
      </w:r>
      <w:r>
        <w:rPr/>
        <w:t>të</w:t>
      </w:r>
      <w:r>
        <w:rPr>
          <w:spacing w:val="-2"/>
        </w:rPr>
        <w:t> </w:t>
      </w:r>
      <w:r>
        <w:rPr/>
        <w:t>mira</w:t>
      </w:r>
      <w:r>
        <w:rPr>
          <w:spacing w:val="-1"/>
        </w:rPr>
        <w:t> </w:t>
      </w:r>
      <w:r>
        <w:rPr/>
        <w:t>si</w:t>
      </w:r>
      <w:r>
        <w:rPr>
          <w:spacing w:val="-1"/>
        </w:rPr>
        <w:t> </w:t>
      </w:r>
      <w:r>
        <w:rPr/>
        <w:t>pajisje</w:t>
      </w:r>
      <w:r>
        <w:rPr>
          <w:spacing w:val="-1"/>
        </w:rPr>
        <w:t> </w:t>
      </w:r>
      <w:r>
        <w:rPr/>
        <w:t>e</w:t>
      </w:r>
      <w:r>
        <w:rPr>
          <w:spacing w:val="-1"/>
        </w:rPr>
        <w:t> </w:t>
      </w:r>
      <w:r>
        <w:rPr/>
        <w:t>nevojshme</w:t>
      </w:r>
      <w:r>
        <w:rPr>
          <w:spacing w:val="2"/>
        </w:rPr>
        <w:t> </w:t>
      </w:r>
      <w:r>
        <w:rPr/>
        <w:t>shkollore</w:t>
      </w:r>
      <w:r>
        <w:rPr>
          <w:spacing w:val="-1"/>
        </w:rPr>
        <w:t> </w:t>
      </w:r>
      <w:r>
        <w:rPr/>
        <w:t>kabinete</w:t>
      </w:r>
      <w:r>
        <w:rPr>
          <w:spacing w:val="-2"/>
        </w:rPr>
        <w:t> </w:t>
      </w:r>
      <w:r>
        <w:rPr>
          <w:spacing w:val="-4"/>
        </w:rPr>
        <w:t>etj.</w:t>
      </w:r>
    </w:p>
    <w:p>
      <w:pPr>
        <w:pStyle w:val="BodyText"/>
        <w:spacing w:line="288" w:lineRule="auto" w:before="55"/>
        <w:ind w:left="740" w:right="1443"/>
        <w:jc w:val="both"/>
      </w:pPr>
      <w:r>
        <w:rPr/>
        <w:t>Gjithashtu</w:t>
      </w:r>
      <w:r>
        <w:rPr>
          <w:spacing w:val="40"/>
        </w:rPr>
        <w:t> </w:t>
      </w:r>
      <w:r>
        <w:rPr/>
        <w:t>3(tri) shkollat fillore të mesme të ulët SHFMU posedoj salla sportive me pajisjet e domosdoshme përkatës për aktivitete sportive dhe kulturore.</w:t>
      </w:r>
    </w:p>
    <w:p>
      <w:pPr>
        <w:pStyle w:val="BodyText"/>
        <w:spacing w:line="288" w:lineRule="auto"/>
        <w:ind w:left="740" w:right="1435"/>
        <w:jc w:val="both"/>
      </w:pPr>
      <w:r>
        <w:rPr/>
        <w:t>Komuna</w:t>
      </w:r>
      <w:r>
        <w:rPr/>
        <w:t> çdo</w:t>
      </w:r>
      <w:r>
        <w:rPr/>
        <w:t> vite</w:t>
      </w:r>
      <w:r>
        <w:rPr/>
        <w:t> ka</w:t>
      </w:r>
      <w:r>
        <w:rPr/>
        <w:t> investuar</w:t>
      </w:r>
      <w:r>
        <w:rPr/>
        <w:t> dhe</w:t>
      </w:r>
      <w:r>
        <w:rPr/>
        <w:t> do</w:t>
      </w:r>
      <w:r>
        <w:rPr/>
        <w:t> të</w:t>
      </w:r>
      <w:r>
        <w:rPr/>
        <w:t> investoj</w:t>
      </w:r>
      <w:r>
        <w:rPr/>
        <w:t> në</w:t>
      </w:r>
      <w:r>
        <w:rPr/>
        <w:t> përmasimin</w:t>
      </w:r>
      <w:r>
        <w:rPr/>
        <w:t> e</w:t>
      </w:r>
      <w:r>
        <w:rPr/>
        <w:t> kushteve</w:t>
      </w:r>
      <w:r>
        <w:rPr/>
        <w:t> jo</w:t>
      </w:r>
      <w:r>
        <w:rPr>
          <w:spacing w:val="40"/>
        </w:rPr>
        <w:t> </w:t>
      </w:r>
      <w:r>
        <w:rPr/>
        <w:t>vetëm</w:t>
      </w:r>
      <w:r>
        <w:rPr/>
        <w:t> në infrastrukturë por edhe në përmasimin e cilësisë, duke blerë kompjuter, projektor, pajisje tjera teknologjike, duke i angazhuar arsimtaret në trajnime të ndryshme, duke ju siguruar transportin për fëmijët që janë larg nga shkollat etj.</w:t>
      </w:r>
    </w:p>
    <w:p>
      <w:pPr>
        <w:pStyle w:val="BodyText"/>
        <w:spacing w:line="288" w:lineRule="auto" w:before="1"/>
        <w:ind w:left="740" w:right="1436"/>
        <w:jc w:val="both"/>
      </w:pPr>
      <w:r>
        <w:rPr/>
        <w:t>Në institucionet e arsimit publik ne Komunën e Hanit të Elezit për vitin shkollor 2020/2021 janë të</w:t>
      </w:r>
      <w:r>
        <w:rPr>
          <w:spacing w:val="-2"/>
        </w:rPr>
        <w:t> </w:t>
      </w:r>
      <w:r>
        <w:rPr/>
        <w:t>punësuar</w:t>
      </w:r>
      <w:r>
        <w:rPr>
          <w:spacing w:val="-4"/>
        </w:rPr>
        <w:t> </w:t>
      </w:r>
      <w:r>
        <w:rPr/>
        <w:t>gjithsej</w:t>
      </w:r>
      <w:r>
        <w:rPr>
          <w:spacing w:val="-3"/>
        </w:rPr>
        <w:t> </w:t>
      </w:r>
      <w:r>
        <w:rPr/>
        <w:t>119</w:t>
      </w:r>
      <w:r>
        <w:rPr>
          <w:spacing w:val="-5"/>
        </w:rPr>
        <w:t> </w:t>
      </w:r>
      <w:r>
        <w:rPr/>
        <w:t>nga</w:t>
      </w:r>
      <w:r>
        <w:rPr>
          <w:spacing w:val="-3"/>
        </w:rPr>
        <w:t> </w:t>
      </w:r>
      <w:r>
        <w:rPr/>
        <w:t>të</w:t>
      </w:r>
      <w:r>
        <w:rPr>
          <w:spacing w:val="-2"/>
        </w:rPr>
        <w:t> </w:t>
      </w:r>
      <w:r>
        <w:rPr/>
        <w:t>cilët</w:t>
      </w:r>
      <w:r>
        <w:rPr>
          <w:spacing w:val="-4"/>
        </w:rPr>
        <w:t> </w:t>
      </w:r>
      <w:r>
        <w:rPr/>
        <w:t>98</w:t>
      </w:r>
      <w:r>
        <w:rPr>
          <w:spacing w:val="-4"/>
        </w:rPr>
        <w:t> </w:t>
      </w:r>
      <w:r>
        <w:rPr/>
        <w:t>janë</w:t>
      </w:r>
      <w:r>
        <w:rPr>
          <w:spacing w:val="-4"/>
        </w:rPr>
        <w:t> </w:t>
      </w:r>
      <w:r>
        <w:rPr/>
        <w:t>mësimdhënës</w:t>
      </w:r>
      <w:r>
        <w:rPr>
          <w:spacing w:val="-3"/>
        </w:rPr>
        <w:t> </w:t>
      </w:r>
      <w:r>
        <w:rPr/>
        <w:t>ku</w:t>
      </w:r>
      <w:r>
        <w:rPr>
          <w:spacing w:val="-5"/>
        </w:rPr>
        <w:t> </w:t>
      </w:r>
      <w:r>
        <w:rPr/>
        <w:t>46</w:t>
      </w:r>
      <w:r>
        <w:rPr>
          <w:spacing w:val="-4"/>
        </w:rPr>
        <w:t> </w:t>
      </w:r>
      <w:r>
        <w:rPr/>
        <w:t>janë</w:t>
      </w:r>
      <w:r>
        <w:rPr>
          <w:spacing w:val="-5"/>
        </w:rPr>
        <w:t> </w:t>
      </w:r>
      <w:r>
        <w:rPr/>
        <w:t>të</w:t>
      </w:r>
      <w:r>
        <w:rPr>
          <w:spacing w:val="-2"/>
        </w:rPr>
        <w:t> </w:t>
      </w:r>
      <w:r>
        <w:rPr/>
        <w:t>gjinisë</w:t>
      </w:r>
      <w:r>
        <w:rPr>
          <w:spacing w:val="-4"/>
        </w:rPr>
        <w:t> </w:t>
      </w:r>
      <w:r>
        <w:rPr/>
        <w:t>femërore</w:t>
      </w:r>
      <w:r>
        <w:rPr>
          <w:spacing w:val="-3"/>
        </w:rPr>
        <w:t> </w:t>
      </w:r>
      <w:r>
        <w:rPr/>
        <w:t>dhe</w:t>
      </w:r>
      <w:r>
        <w:rPr>
          <w:spacing w:val="-3"/>
        </w:rPr>
        <w:t> </w:t>
      </w:r>
      <w:r>
        <w:rPr/>
        <w:t>33</w:t>
      </w:r>
      <w:r>
        <w:rPr>
          <w:spacing w:val="-5"/>
        </w:rPr>
        <w:t> </w:t>
      </w:r>
      <w:r>
        <w:rPr/>
        <w:t>të gjinisë mashkullore, 19 Administrata ku 3 janë të gjinisë femërore dhe 16 të gjinisë mashkullore dhe 2 staf profesional ku 1është e gjinisë femërore dhe një i gjinisë mashkullore.</w:t>
      </w:r>
    </w:p>
    <w:p>
      <w:pPr>
        <w:spacing w:after="0" w:line="288" w:lineRule="auto"/>
        <w:jc w:val="both"/>
        <w:sectPr>
          <w:footerReference w:type="default" r:id="rId54"/>
          <w:pgSz w:w="12240" w:h="15840"/>
          <w:pgMar w:footer="990" w:header="0" w:top="0" w:bottom="1180" w:left="700" w:right="0"/>
          <w:pgNumType w:start="32"/>
        </w:sectPr>
      </w:pPr>
    </w:p>
    <w:p>
      <w:pPr>
        <w:pStyle w:val="BodyText"/>
        <w:ind w:left="1407"/>
        <w:rPr>
          <w:sz w:val="20"/>
        </w:rPr>
      </w:pPr>
      <w:r>
        <w:rPr>
          <w:sz w:val="20"/>
        </w:rPr>
        <w:pict>
          <v:group style="width:400.5pt;height:207pt;mso-position-horizontal-relative:char;mso-position-vertical-relative:line" id="docshapegroup197" coordorigin="0,0" coordsize="8010,4140">
            <v:shape style="position:absolute;left:862;top:879;width:6764;height:2504" type="#_x0000_t75" id="docshape198" stroked="false">
              <v:imagedata r:id="rId56" o:title=""/>
            </v:shape>
            <v:shape style="position:absolute;left:1583;top:987;width:4736;height:2252" id="docshape199" coordorigin="1584,987" coordsize="4736,2252" path="m1584,1279l1671,987m3697,3151l3777,2932m5810,3238l5958,3006m2053,1323l2214,1014m4166,2585l4264,2385m6279,3238l6320,3019e" filled="false" stroked="true" strokeweight=".75pt" strokecolor="#a6a6a6">
              <v:path arrowok="t"/>
              <v:stroke dashstyle="solid"/>
            </v:shape>
            <v:rect style="position:absolute;left:3253;top:3794;width:99;height:99" id="docshape200" filled="true" fillcolor="#4471c4" stroked="false">
              <v:fill type="solid"/>
            </v:rect>
            <v:rect style="position:absolute;left:4059;top:3794;width:99;height:99" id="docshape201" filled="true" fillcolor="#ec7c30" stroked="false">
              <v:fill type="solid"/>
            </v:rect>
            <v:rect style="position:absolute;left:7;top:7;width:7995;height:4125" id="docshape202" filled="false" stroked="true" strokeweight=".75pt" strokecolor="#d9d9d9">
              <v:stroke dashstyle="solid"/>
            </v:rect>
            <v:shape style="position:absolute;left:971;top:205;width:6087;height:534" type="#_x0000_t202" id="docshape203" filled="false" stroked="false">
              <v:textbox inset="0,0,0,0">
                <w:txbxContent>
                  <w:p>
                    <w:pPr>
                      <w:spacing w:line="244" w:lineRule="exact" w:before="0"/>
                      <w:ind w:left="0" w:right="18" w:firstLine="0"/>
                      <w:jc w:val="center"/>
                      <w:rPr>
                        <w:rFonts w:ascii="Calibri" w:hAnsi="Calibri"/>
                        <w:b/>
                        <w:sz w:val="24"/>
                      </w:rPr>
                    </w:pPr>
                    <w:r>
                      <w:rPr>
                        <w:rFonts w:ascii="Calibri" w:hAnsi="Calibri"/>
                        <w:b/>
                        <w:sz w:val="24"/>
                      </w:rPr>
                      <w:t>Numri</w:t>
                    </w:r>
                    <w:r>
                      <w:rPr>
                        <w:rFonts w:ascii="Calibri" w:hAnsi="Calibri"/>
                        <w:b/>
                        <w:spacing w:val="-10"/>
                        <w:sz w:val="24"/>
                      </w:rPr>
                      <w:t> </w:t>
                    </w:r>
                    <w:r>
                      <w:rPr>
                        <w:rFonts w:ascii="Calibri" w:hAnsi="Calibri"/>
                        <w:b/>
                        <w:sz w:val="24"/>
                      </w:rPr>
                      <w:t>i</w:t>
                    </w:r>
                    <w:r>
                      <w:rPr>
                        <w:rFonts w:ascii="Calibri" w:hAnsi="Calibri"/>
                        <w:b/>
                        <w:spacing w:val="-8"/>
                        <w:sz w:val="24"/>
                      </w:rPr>
                      <w:t> </w:t>
                    </w:r>
                    <w:r>
                      <w:rPr>
                        <w:rFonts w:ascii="Calibri" w:hAnsi="Calibri"/>
                        <w:b/>
                        <w:sz w:val="24"/>
                      </w:rPr>
                      <w:t>stafit</w:t>
                    </w:r>
                    <w:r>
                      <w:rPr>
                        <w:rFonts w:ascii="Calibri" w:hAnsi="Calibri"/>
                        <w:b/>
                        <w:spacing w:val="-8"/>
                        <w:sz w:val="24"/>
                      </w:rPr>
                      <w:t> </w:t>
                    </w:r>
                    <w:r>
                      <w:rPr>
                        <w:rFonts w:ascii="Calibri" w:hAnsi="Calibri"/>
                        <w:b/>
                        <w:sz w:val="24"/>
                      </w:rPr>
                      <w:t>në</w:t>
                    </w:r>
                    <w:r>
                      <w:rPr>
                        <w:rFonts w:ascii="Calibri" w:hAnsi="Calibri"/>
                        <w:b/>
                        <w:spacing w:val="-7"/>
                        <w:sz w:val="24"/>
                      </w:rPr>
                      <w:t> </w:t>
                    </w:r>
                    <w:r>
                      <w:rPr>
                        <w:rFonts w:ascii="Calibri" w:hAnsi="Calibri"/>
                        <w:b/>
                        <w:sz w:val="24"/>
                      </w:rPr>
                      <w:t>institucionet</w:t>
                    </w:r>
                    <w:r>
                      <w:rPr>
                        <w:rFonts w:ascii="Calibri" w:hAnsi="Calibri"/>
                        <w:b/>
                        <w:spacing w:val="-8"/>
                        <w:sz w:val="24"/>
                      </w:rPr>
                      <w:t> </w:t>
                    </w:r>
                    <w:r>
                      <w:rPr>
                        <w:rFonts w:ascii="Calibri" w:hAnsi="Calibri"/>
                        <w:b/>
                        <w:sz w:val="24"/>
                      </w:rPr>
                      <w:t>publike</w:t>
                    </w:r>
                    <w:r>
                      <w:rPr>
                        <w:rFonts w:ascii="Calibri" w:hAnsi="Calibri"/>
                        <w:b/>
                        <w:spacing w:val="-7"/>
                        <w:sz w:val="24"/>
                      </w:rPr>
                      <w:t> </w:t>
                    </w:r>
                    <w:r>
                      <w:rPr>
                        <w:rFonts w:ascii="Calibri" w:hAnsi="Calibri"/>
                        <w:b/>
                        <w:sz w:val="24"/>
                      </w:rPr>
                      <w:t>parauniversitare,</w:t>
                    </w:r>
                    <w:r>
                      <w:rPr>
                        <w:rFonts w:ascii="Calibri" w:hAnsi="Calibri"/>
                        <w:b/>
                        <w:spacing w:val="-8"/>
                        <w:sz w:val="24"/>
                      </w:rPr>
                      <w:t> </w:t>
                    </w:r>
                    <w:r>
                      <w:rPr>
                        <w:rFonts w:ascii="Calibri" w:hAnsi="Calibri"/>
                        <w:b/>
                        <w:spacing w:val="-2"/>
                        <w:sz w:val="24"/>
                      </w:rPr>
                      <w:t>2018-</w:t>
                    </w:r>
                  </w:p>
                  <w:p>
                    <w:pPr>
                      <w:spacing w:line="289" w:lineRule="exact" w:before="1"/>
                      <w:ind w:left="0" w:right="16" w:firstLine="0"/>
                      <w:jc w:val="center"/>
                      <w:rPr>
                        <w:rFonts w:ascii="Calibri"/>
                        <w:b/>
                        <w:sz w:val="24"/>
                      </w:rPr>
                    </w:pPr>
                    <w:r>
                      <w:rPr>
                        <w:rFonts w:ascii="Calibri"/>
                        <w:b/>
                        <w:spacing w:val="-4"/>
                        <w:sz w:val="24"/>
                      </w:rPr>
                      <w:t>2022</w:t>
                    </w:r>
                  </w:p>
                </w:txbxContent>
              </v:textbox>
              <w10:wrap type="none"/>
            </v:shape>
            <v:shape style="position:absolute;left:1580;top:774;width:203;height:180" type="#_x0000_t202" id="docshape20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46</w:t>
                    </w:r>
                  </w:p>
                </w:txbxContent>
              </v:textbox>
              <w10:wrap type="none"/>
            </v:shape>
            <v:shape style="position:absolute;left:1694;top:609;width:631;height:372" type="#_x0000_t202" id="docshape205" filled="false" stroked="false">
              <v:textbox inset="0,0,0,0">
                <w:txbxContent>
                  <w:p>
                    <w:pPr>
                      <w:spacing w:line="190" w:lineRule="exact" w:before="0"/>
                      <w:ind w:left="0" w:right="0" w:firstLine="0"/>
                      <w:jc w:val="left"/>
                      <w:rPr>
                        <w:rFonts w:ascii="Calibri"/>
                        <w:b/>
                        <w:sz w:val="22"/>
                      </w:rPr>
                    </w:pPr>
                    <w:r>
                      <w:rPr>
                        <w:rFonts w:ascii="Calibri"/>
                        <w:b/>
                        <w:spacing w:val="-2"/>
                        <w:sz w:val="22"/>
                      </w:rPr>
                      <w:t>Totali</w:t>
                    </w:r>
                  </w:p>
                  <w:p>
                    <w:pPr>
                      <w:spacing w:line="182" w:lineRule="exact" w:before="0"/>
                      <w:ind w:left="0" w:right="18" w:firstLine="0"/>
                      <w:jc w:val="right"/>
                      <w:rPr>
                        <w:rFonts w:ascii="Calibri"/>
                        <w:sz w:val="18"/>
                      </w:rPr>
                    </w:pPr>
                    <w:r>
                      <w:rPr>
                        <w:rFonts w:ascii="Calibri"/>
                        <w:color w:val="404040"/>
                        <w:spacing w:val="-5"/>
                        <w:sz w:val="18"/>
                      </w:rPr>
                      <w:t>45</w:t>
                    </w:r>
                  </w:p>
                </w:txbxContent>
              </v:textbox>
              <w10:wrap type="none"/>
            </v:shape>
            <v:shape style="position:absolute;left:526;top:1122;width:203;height:1051" type="#_x0000_t202" id="docshape206" filled="false" stroked="false">
              <v:textbox inset="0,0,0,0">
                <w:txbxContent>
                  <w:p>
                    <w:pPr>
                      <w:spacing w:line="183" w:lineRule="exact" w:before="0"/>
                      <w:ind w:left="0" w:right="0" w:firstLine="0"/>
                      <w:jc w:val="left"/>
                      <w:rPr>
                        <w:rFonts w:ascii="Calibri"/>
                        <w:sz w:val="18"/>
                      </w:rPr>
                    </w:pPr>
                    <w:r>
                      <w:rPr>
                        <w:rFonts w:ascii="Calibri"/>
                        <w:color w:val="585858"/>
                        <w:spacing w:val="-5"/>
                        <w:sz w:val="18"/>
                      </w:rPr>
                      <w:t>50</w:t>
                    </w:r>
                  </w:p>
                  <w:p>
                    <w:pPr>
                      <w:spacing w:line="240" w:lineRule="auto" w:before="8"/>
                      <w:rPr>
                        <w:rFonts w:ascii="Calibri"/>
                        <w:sz w:val="17"/>
                      </w:rPr>
                    </w:pPr>
                  </w:p>
                  <w:p>
                    <w:pPr>
                      <w:spacing w:before="0"/>
                      <w:ind w:left="0" w:right="0" w:firstLine="0"/>
                      <w:jc w:val="left"/>
                      <w:rPr>
                        <w:rFonts w:ascii="Calibri"/>
                        <w:sz w:val="18"/>
                      </w:rPr>
                    </w:pPr>
                    <w:r>
                      <w:rPr>
                        <w:rFonts w:ascii="Calibri"/>
                        <w:color w:val="585858"/>
                        <w:spacing w:val="-5"/>
                        <w:sz w:val="18"/>
                      </w:rPr>
                      <w:t>40</w:t>
                    </w:r>
                  </w:p>
                  <w:p>
                    <w:pPr>
                      <w:spacing w:line="240" w:lineRule="auto" w:before="8"/>
                      <w:rPr>
                        <w:rFonts w:ascii="Calibri"/>
                        <w:sz w:val="17"/>
                      </w:rPr>
                    </w:pPr>
                  </w:p>
                  <w:p>
                    <w:pPr>
                      <w:spacing w:line="216" w:lineRule="exact" w:before="0"/>
                      <w:ind w:left="0" w:right="0" w:firstLine="0"/>
                      <w:jc w:val="left"/>
                      <w:rPr>
                        <w:rFonts w:ascii="Calibri"/>
                        <w:sz w:val="18"/>
                      </w:rPr>
                    </w:pPr>
                    <w:r>
                      <w:rPr>
                        <w:rFonts w:ascii="Calibri"/>
                        <w:color w:val="585858"/>
                        <w:spacing w:val="-5"/>
                        <w:sz w:val="18"/>
                      </w:rPr>
                      <w:t>30</w:t>
                    </w:r>
                  </w:p>
                </w:txbxContent>
              </v:textbox>
              <w10:wrap type="none"/>
            </v:shape>
            <v:shape style="position:absolute;left:3706;top:1926;width:669;height:427" type="#_x0000_t202" id="docshape207" filled="false" stroked="false">
              <v:textbox inset="0,0,0,0">
                <w:txbxContent>
                  <w:p>
                    <w:pPr>
                      <w:spacing w:line="217" w:lineRule="exact" w:before="0"/>
                      <w:ind w:left="0" w:right="0" w:firstLine="0"/>
                      <w:jc w:val="left"/>
                      <w:rPr>
                        <w:rFonts w:ascii="Calibri"/>
                        <w:b/>
                        <w:sz w:val="22"/>
                      </w:rPr>
                    </w:pPr>
                    <w:r>
                      <w:rPr>
                        <w:rFonts w:ascii="Calibri"/>
                        <w:b/>
                        <w:spacing w:val="-2"/>
                        <w:sz w:val="22"/>
                      </w:rPr>
                      <w:t>Totali</w:t>
                    </w:r>
                  </w:p>
                  <w:p>
                    <w:pPr>
                      <w:spacing w:line="209" w:lineRule="exact" w:before="0"/>
                      <w:ind w:left="0" w:right="18" w:firstLine="0"/>
                      <w:jc w:val="right"/>
                      <w:rPr>
                        <w:rFonts w:ascii="Calibri"/>
                        <w:sz w:val="18"/>
                      </w:rPr>
                    </w:pPr>
                    <w:r>
                      <w:rPr>
                        <w:rFonts w:ascii="Calibri"/>
                        <w:color w:val="404040"/>
                        <w:spacing w:val="-5"/>
                        <w:sz w:val="18"/>
                      </w:rPr>
                      <w:t>16</w:t>
                    </w:r>
                  </w:p>
                </w:txbxContent>
              </v:textbox>
              <w10:wrap type="none"/>
            </v:shape>
            <v:shape style="position:absolute;left:526;top:2429;width:203;height:180" type="#_x0000_t202" id="docshape20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20</w:t>
                    </w:r>
                  </w:p>
                </w:txbxContent>
              </v:textbox>
              <w10:wrap type="none"/>
            </v:shape>
            <v:shape style="position:absolute;left:3732;top:2718;width:112;height:180" type="#_x0000_t202" id="docshape209" filled="false" stroked="false">
              <v:textbox inset="0,0,0,0">
                <w:txbxContent>
                  <w:p>
                    <w:pPr>
                      <w:spacing w:line="180" w:lineRule="exact" w:before="0"/>
                      <w:ind w:left="0" w:right="0" w:firstLine="0"/>
                      <w:jc w:val="left"/>
                      <w:rPr>
                        <w:rFonts w:ascii="Calibri"/>
                        <w:sz w:val="18"/>
                      </w:rPr>
                    </w:pPr>
                    <w:r>
                      <w:rPr>
                        <w:rFonts w:ascii="Calibri"/>
                        <w:color w:val="404040"/>
                        <w:sz w:val="18"/>
                      </w:rPr>
                      <w:t>3</w:t>
                    </w:r>
                  </w:p>
                </w:txbxContent>
              </v:textbox>
              <w10:wrap type="none"/>
            </v:shape>
            <v:shape style="position:absolute;left:526;top:2864;width:203;height:180" type="#_x0000_t202" id="docshape21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10</w:t>
                    </w:r>
                  </w:p>
                </w:txbxContent>
              </v:textbox>
              <w10:wrap type="none"/>
            </v:shape>
            <v:shape style="position:absolute;left:5912;top:2793;width:112;height:180" type="#_x0000_t202" id="docshape211" filled="false" stroked="false">
              <v:textbox inset="0,0,0,0">
                <w:txbxContent>
                  <w:p>
                    <w:pPr>
                      <w:spacing w:line="180" w:lineRule="exact" w:before="0"/>
                      <w:ind w:left="0" w:right="0" w:firstLine="0"/>
                      <w:jc w:val="left"/>
                      <w:rPr>
                        <w:rFonts w:ascii="Calibri"/>
                        <w:sz w:val="18"/>
                      </w:rPr>
                    </w:pPr>
                    <w:r>
                      <w:rPr>
                        <w:rFonts w:ascii="Calibri"/>
                        <w:color w:val="404040"/>
                        <w:sz w:val="18"/>
                      </w:rPr>
                      <w:t>1</w:t>
                    </w:r>
                  </w:p>
                </w:txbxContent>
              </v:textbox>
              <w10:wrap type="none"/>
            </v:shape>
            <v:shape style="position:absolute;left:5938;top:2624;width:485;height:363" type="#_x0000_t202" id="docshape212" filled="false" stroked="false">
              <v:textbox inset="0,0,0,0">
                <w:txbxContent>
                  <w:p>
                    <w:pPr>
                      <w:spacing w:line="185" w:lineRule="exact" w:before="0"/>
                      <w:ind w:left="0" w:right="0" w:firstLine="0"/>
                      <w:jc w:val="left"/>
                      <w:rPr>
                        <w:rFonts w:ascii="Calibri"/>
                        <w:b/>
                        <w:sz w:val="22"/>
                      </w:rPr>
                    </w:pPr>
                    <w:r>
                      <w:rPr>
                        <w:rFonts w:ascii="Calibri"/>
                        <w:b/>
                        <w:spacing w:val="-2"/>
                        <w:sz w:val="22"/>
                      </w:rPr>
                      <w:t>Total</w:t>
                    </w:r>
                  </w:p>
                  <w:p>
                    <w:pPr>
                      <w:spacing w:line="177" w:lineRule="exact" w:before="0"/>
                      <w:ind w:left="0" w:right="54" w:firstLine="0"/>
                      <w:jc w:val="right"/>
                      <w:rPr>
                        <w:rFonts w:ascii="Calibri"/>
                        <w:sz w:val="18"/>
                      </w:rPr>
                    </w:pPr>
                    <w:r>
                      <w:rPr>
                        <w:rFonts w:ascii="Calibri"/>
                        <w:color w:val="404040"/>
                        <w:sz w:val="18"/>
                      </w:rPr>
                      <w:t>1</w:t>
                    </w:r>
                  </w:p>
                </w:txbxContent>
              </v:textbox>
              <w10:wrap type="none"/>
            </v:shape>
            <v:shape style="position:absolute;left:617;top:3300;width:112;height:180" type="#_x0000_t202" id="docshape213"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1396;top:3525;width:1053;height:180" type="#_x0000_t202" id="docshape214" filled="false" stroked="false">
              <v:textbox inset="0,0,0,0">
                <w:txbxContent>
                  <w:p>
                    <w:pPr>
                      <w:spacing w:line="180" w:lineRule="exact" w:before="0"/>
                      <w:ind w:left="0" w:right="0" w:firstLine="0"/>
                      <w:jc w:val="left"/>
                      <w:rPr>
                        <w:rFonts w:ascii="Calibri" w:hAnsi="Calibri"/>
                        <w:sz w:val="18"/>
                      </w:rPr>
                    </w:pPr>
                    <w:r>
                      <w:rPr>
                        <w:rFonts w:ascii="Calibri" w:hAnsi="Calibri"/>
                        <w:spacing w:val="-2"/>
                        <w:sz w:val="18"/>
                      </w:rPr>
                      <w:t>Mësimdhënës</w:t>
                    </w:r>
                  </w:p>
                </w:txbxContent>
              </v:textbox>
              <w10:wrap type="none"/>
            </v:shape>
            <v:shape style="position:absolute;left:3616;top:3525;width:880;height:180" type="#_x0000_t202" id="docshape215" filled="false" stroked="false">
              <v:textbox inset="0,0,0,0">
                <w:txbxContent>
                  <w:p>
                    <w:pPr>
                      <w:spacing w:line="180" w:lineRule="exact" w:before="0"/>
                      <w:ind w:left="0" w:right="0" w:firstLine="0"/>
                      <w:jc w:val="left"/>
                      <w:rPr>
                        <w:rFonts w:ascii="Calibri"/>
                        <w:sz w:val="18"/>
                      </w:rPr>
                    </w:pPr>
                    <w:r>
                      <w:rPr>
                        <w:rFonts w:ascii="Calibri"/>
                        <w:spacing w:val="-2"/>
                        <w:sz w:val="18"/>
                      </w:rPr>
                      <w:t>Administrat</w:t>
                    </w:r>
                  </w:p>
                </w:txbxContent>
              </v:textbox>
              <w10:wrap type="none"/>
            </v:shape>
            <v:shape style="position:absolute;left:5584;top:3525;width:1169;height:180" type="#_x0000_t202" id="docshape216" filled="false" stroked="false">
              <v:textbox inset="0,0,0,0">
                <w:txbxContent>
                  <w:p>
                    <w:pPr>
                      <w:spacing w:line="180" w:lineRule="exact" w:before="0"/>
                      <w:ind w:left="0" w:right="0" w:firstLine="0"/>
                      <w:jc w:val="left"/>
                      <w:rPr>
                        <w:rFonts w:ascii="Calibri"/>
                        <w:sz w:val="18"/>
                      </w:rPr>
                    </w:pPr>
                    <w:r>
                      <w:rPr>
                        <w:rFonts w:ascii="Calibri"/>
                        <w:sz w:val="18"/>
                      </w:rPr>
                      <w:t>Staf</w:t>
                    </w:r>
                    <w:r>
                      <w:rPr>
                        <w:rFonts w:ascii="Calibri"/>
                        <w:spacing w:val="-6"/>
                        <w:sz w:val="18"/>
                      </w:rPr>
                      <w:t> </w:t>
                    </w:r>
                    <w:r>
                      <w:rPr>
                        <w:rFonts w:ascii="Calibri"/>
                        <w:spacing w:val="-2"/>
                        <w:sz w:val="18"/>
                      </w:rPr>
                      <w:t>profesional</w:t>
                    </w:r>
                  </w:p>
                </w:txbxContent>
              </v:textbox>
              <w10:wrap type="none"/>
            </v:shape>
            <v:shape style="position:absolute;left:3395;top:3760;width:1454;height:180" type="#_x0000_t202" id="docshape217" filled="false" stroked="false">
              <v:textbox inset="0,0,0,0">
                <w:txbxContent>
                  <w:p>
                    <w:pPr>
                      <w:tabs>
                        <w:tab w:pos="805" w:val="left" w:leader="none"/>
                      </w:tabs>
                      <w:spacing w:line="180" w:lineRule="exact" w:before="0"/>
                      <w:ind w:left="0" w:right="0" w:firstLine="0"/>
                      <w:jc w:val="left"/>
                      <w:rPr>
                        <w:rFonts w:ascii="Calibri"/>
                        <w:sz w:val="18"/>
                      </w:rPr>
                    </w:pPr>
                    <w:r>
                      <w:rPr>
                        <w:rFonts w:ascii="Calibri"/>
                        <w:spacing w:val="-2"/>
                        <w:sz w:val="18"/>
                      </w:rPr>
                      <w:t>Femra</w:t>
                    </w:r>
                    <w:r>
                      <w:rPr>
                        <w:rFonts w:ascii="Calibri"/>
                        <w:sz w:val="18"/>
                      </w:rPr>
                      <w:tab/>
                    </w:r>
                    <w:r>
                      <w:rPr>
                        <w:rFonts w:ascii="Calibri"/>
                        <w:spacing w:val="-2"/>
                        <w:sz w:val="18"/>
                      </w:rPr>
                      <w:t>Meshkuj</w:t>
                    </w:r>
                  </w:p>
                </w:txbxContent>
              </v:textbox>
              <w10:wrap type="none"/>
            </v:shape>
          </v:group>
        </w:pict>
      </w:r>
      <w:r>
        <w:rPr>
          <w:sz w:val="20"/>
        </w:rPr>
      </w:r>
    </w:p>
    <w:p>
      <w:pPr>
        <w:pStyle w:val="BodyText"/>
        <w:spacing w:before="17"/>
        <w:ind w:left="1660"/>
      </w:pPr>
      <w:r>
        <w:rPr>
          <w:b/>
        </w:rPr>
        <w:t>Grafiku</w:t>
      </w:r>
      <w:r>
        <w:rPr>
          <w:b/>
          <w:spacing w:val="-9"/>
        </w:rPr>
        <w:t> </w:t>
      </w:r>
      <w:r>
        <w:rPr>
          <w:b/>
        </w:rPr>
        <w:t>8:</w:t>
      </w:r>
      <w:r>
        <w:rPr>
          <w:b/>
          <w:spacing w:val="-8"/>
        </w:rPr>
        <w:t> </w:t>
      </w:r>
      <w:r>
        <w:rPr/>
        <w:t>Numri</w:t>
      </w:r>
      <w:r>
        <w:rPr>
          <w:spacing w:val="-8"/>
        </w:rPr>
        <w:t> </w:t>
      </w:r>
      <w:r>
        <w:rPr/>
        <w:t>i</w:t>
      </w:r>
      <w:r>
        <w:rPr>
          <w:spacing w:val="-8"/>
        </w:rPr>
        <w:t> </w:t>
      </w:r>
      <w:r>
        <w:rPr/>
        <w:t>stafit</w:t>
      </w:r>
      <w:r>
        <w:rPr>
          <w:spacing w:val="-8"/>
        </w:rPr>
        <w:t> </w:t>
      </w:r>
      <w:r>
        <w:rPr/>
        <w:t>në</w:t>
      </w:r>
      <w:r>
        <w:rPr>
          <w:spacing w:val="-8"/>
        </w:rPr>
        <w:t> </w:t>
      </w:r>
      <w:r>
        <w:rPr/>
        <w:t>institucionet</w:t>
      </w:r>
      <w:r>
        <w:rPr>
          <w:spacing w:val="-9"/>
        </w:rPr>
        <w:t> </w:t>
      </w:r>
      <w:r>
        <w:rPr/>
        <w:t>publike</w:t>
      </w:r>
      <w:r>
        <w:rPr>
          <w:spacing w:val="-8"/>
        </w:rPr>
        <w:t> </w:t>
      </w:r>
      <w:r>
        <w:rPr/>
        <w:t>parauniversitare,</w:t>
      </w:r>
      <w:r>
        <w:rPr>
          <w:spacing w:val="-8"/>
        </w:rPr>
        <w:t> </w:t>
      </w:r>
      <w:r>
        <w:rPr/>
        <w:t>2018-</w:t>
      </w:r>
      <w:r>
        <w:rPr>
          <w:spacing w:val="-4"/>
        </w:rPr>
        <w:t>2022</w:t>
      </w:r>
    </w:p>
    <w:p>
      <w:pPr>
        <w:pStyle w:val="BodyText"/>
        <w:spacing w:before="1"/>
        <w:rPr>
          <w:sz w:val="22"/>
        </w:rPr>
      </w:pPr>
    </w:p>
    <w:p>
      <w:pPr>
        <w:pStyle w:val="BodyText"/>
        <w:spacing w:line="288" w:lineRule="auto"/>
        <w:ind w:left="740" w:right="1439"/>
        <w:jc w:val="both"/>
      </w:pPr>
      <w:r>
        <w:rPr/>
        <w:t>Në institucion parashkollor “Ardhmëria” për vitin 2022/2023 ka gjithsej 52 fëmijë nga ta 30 te gjinisë mashkullore dhe 22 të gjinisë femërore. Gjithashtu kemi 10 punëtor të gjithë të gjinisë </w:t>
      </w:r>
      <w:r>
        <w:rPr>
          <w:spacing w:val="-2"/>
        </w:rPr>
        <w:t>femërore.</w:t>
      </w:r>
    </w:p>
    <w:p>
      <w:pPr>
        <w:pStyle w:val="BodyText"/>
        <w:spacing w:line="288" w:lineRule="auto" w:before="1"/>
        <w:ind w:left="740" w:right="1440"/>
        <w:jc w:val="both"/>
      </w:pPr>
      <w:r>
        <w:rPr/>
        <w:t>Siç</w:t>
      </w:r>
      <w:r>
        <w:rPr>
          <w:spacing w:val="-1"/>
        </w:rPr>
        <w:t> </w:t>
      </w:r>
      <w:r>
        <w:rPr/>
        <w:t>shihet</w:t>
      </w:r>
      <w:r>
        <w:rPr>
          <w:spacing w:val="-1"/>
        </w:rPr>
        <w:t> </w:t>
      </w:r>
      <w:r>
        <w:rPr/>
        <w:t>edhe</w:t>
      </w:r>
      <w:r>
        <w:rPr>
          <w:spacing w:val="-1"/>
        </w:rPr>
        <w:t> </w:t>
      </w:r>
      <w:r>
        <w:rPr/>
        <w:t>në</w:t>
      </w:r>
      <w:r>
        <w:rPr>
          <w:spacing w:val="-1"/>
        </w:rPr>
        <w:t> </w:t>
      </w:r>
      <w:r>
        <w:rPr/>
        <w:t>grafikun</w:t>
      </w:r>
      <w:r>
        <w:rPr>
          <w:spacing w:val="-2"/>
        </w:rPr>
        <w:t> </w:t>
      </w:r>
      <w:r>
        <w:rPr/>
        <w:t>më</w:t>
      </w:r>
      <w:r>
        <w:rPr>
          <w:spacing w:val="-1"/>
        </w:rPr>
        <w:t> </w:t>
      </w:r>
      <w:r>
        <w:rPr/>
        <w:t>poshtë</w:t>
      </w:r>
      <w:r>
        <w:rPr>
          <w:spacing w:val="-1"/>
        </w:rPr>
        <w:t> </w:t>
      </w:r>
      <w:r>
        <w:rPr/>
        <w:t>numrin</w:t>
      </w:r>
      <w:r>
        <w:rPr>
          <w:spacing w:val="-1"/>
        </w:rPr>
        <w:t> </w:t>
      </w:r>
      <w:r>
        <w:rPr/>
        <w:t>i</w:t>
      </w:r>
      <w:r>
        <w:rPr>
          <w:spacing w:val="-2"/>
        </w:rPr>
        <w:t> </w:t>
      </w:r>
      <w:r>
        <w:rPr/>
        <w:t>nxënësve</w:t>
      </w:r>
      <w:r>
        <w:rPr>
          <w:spacing w:val="-1"/>
        </w:rPr>
        <w:t> </w:t>
      </w:r>
      <w:r>
        <w:rPr/>
        <w:t>në</w:t>
      </w:r>
      <w:r>
        <w:rPr>
          <w:spacing w:val="-1"/>
        </w:rPr>
        <w:t> </w:t>
      </w:r>
      <w:r>
        <w:rPr/>
        <w:t>vitet</w:t>
      </w:r>
      <w:r>
        <w:rPr>
          <w:spacing w:val="-1"/>
        </w:rPr>
        <w:t> </w:t>
      </w:r>
      <w:r>
        <w:rPr/>
        <w:t>e</w:t>
      </w:r>
      <w:r>
        <w:rPr>
          <w:spacing w:val="-1"/>
        </w:rPr>
        <w:t> </w:t>
      </w:r>
      <w:r>
        <w:rPr/>
        <w:t>fundit</w:t>
      </w:r>
      <w:r>
        <w:rPr>
          <w:spacing w:val="-1"/>
        </w:rPr>
        <w:t> </w:t>
      </w:r>
      <w:r>
        <w:rPr/>
        <w:t>ë</w:t>
      </w:r>
      <w:r>
        <w:rPr>
          <w:spacing w:val="-1"/>
        </w:rPr>
        <w:t> </w:t>
      </w:r>
      <w:r>
        <w:rPr/>
        <w:t>është</w:t>
      </w:r>
      <w:r>
        <w:rPr>
          <w:spacing w:val="-1"/>
        </w:rPr>
        <w:t> </w:t>
      </w:r>
      <w:r>
        <w:rPr/>
        <w:t>zvogëluar</w:t>
      </w:r>
      <w:r>
        <w:rPr>
          <w:spacing w:val="-1"/>
        </w:rPr>
        <w:t> </w:t>
      </w:r>
      <w:r>
        <w:rPr/>
        <w:t>është zvogëluar</w:t>
      </w:r>
      <w:r>
        <w:rPr>
          <w:spacing w:val="-7"/>
        </w:rPr>
        <w:t> </w:t>
      </w:r>
      <w:r>
        <w:rPr/>
        <w:t>kjo</w:t>
      </w:r>
      <w:r>
        <w:rPr>
          <w:spacing w:val="-7"/>
        </w:rPr>
        <w:t> </w:t>
      </w:r>
      <w:r>
        <w:rPr/>
        <w:t>për</w:t>
      </w:r>
      <w:r>
        <w:rPr>
          <w:spacing w:val="-7"/>
        </w:rPr>
        <w:t> </w:t>
      </w:r>
      <w:r>
        <w:rPr/>
        <w:t>shkak</w:t>
      </w:r>
      <w:r>
        <w:rPr>
          <w:spacing w:val="-7"/>
        </w:rPr>
        <w:t> </w:t>
      </w:r>
      <w:r>
        <w:rPr/>
        <w:t>te</w:t>
      </w:r>
      <w:r>
        <w:rPr>
          <w:spacing w:val="-8"/>
        </w:rPr>
        <w:t> </w:t>
      </w:r>
      <w:r>
        <w:rPr/>
        <w:t>migrimit</w:t>
      </w:r>
      <w:r>
        <w:rPr>
          <w:spacing w:val="-6"/>
        </w:rPr>
        <w:t> </w:t>
      </w:r>
      <w:r>
        <w:rPr/>
        <w:t>por</w:t>
      </w:r>
      <w:r>
        <w:rPr>
          <w:spacing w:val="-7"/>
        </w:rPr>
        <w:t> </w:t>
      </w:r>
      <w:r>
        <w:rPr/>
        <w:t>edhe</w:t>
      </w:r>
      <w:r>
        <w:rPr>
          <w:spacing w:val="-7"/>
        </w:rPr>
        <w:t> </w:t>
      </w:r>
      <w:r>
        <w:rPr/>
        <w:t>të</w:t>
      </w:r>
      <w:r>
        <w:rPr>
          <w:spacing w:val="-6"/>
        </w:rPr>
        <w:t> </w:t>
      </w:r>
      <w:r>
        <w:rPr/>
        <w:t>zvogëlimit</w:t>
      </w:r>
      <w:r>
        <w:rPr>
          <w:spacing w:val="-8"/>
        </w:rPr>
        <w:t> </w:t>
      </w:r>
      <w:r>
        <w:rPr/>
        <w:t>te</w:t>
      </w:r>
      <w:r>
        <w:rPr>
          <w:spacing w:val="-6"/>
        </w:rPr>
        <w:t> </w:t>
      </w:r>
      <w:r>
        <w:rPr/>
        <w:t>lindjeve.</w:t>
      </w:r>
      <w:r>
        <w:rPr>
          <w:spacing w:val="-7"/>
        </w:rPr>
        <w:t> </w:t>
      </w:r>
      <w:r>
        <w:rPr/>
        <w:t>Gjithashtu</w:t>
      </w:r>
      <w:r>
        <w:rPr>
          <w:spacing w:val="-7"/>
        </w:rPr>
        <w:t> </w:t>
      </w:r>
      <w:r>
        <w:rPr/>
        <w:t>më</w:t>
      </w:r>
      <w:r>
        <w:rPr>
          <w:spacing w:val="-6"/>
        </w:rPr>
        <w:t> </w:t>
      </w:r>
      <w:r>
        <w:rPr/>
        <w:t>poshtë</w:t>
      </w:r>
      <w:r>
        <w:rPr>
          <w:spacing w:val="-7"/>
        </w:rPr>
        <w:t> </w:t>
      </w:r>
      <w:r>
        <w:rPr/>
        <w:t>kemi paraqitur edhe hartën ne Komunës së Hanit të Elezit me vëndodhjen e objectives shkollore.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group style="position:absolute;margin-left:89.625pt;margin-top:14.55359pt;width:432.75pt;height:230.25pt;mso-position-horizontal-relative:page;mso-position-vertical-relative:paragraph;z-index:-15707136;mso-wrap-distance-left:0;mso-wrap-distance-right:0" id="docshapegroup218" coordorigin="1793,291" coordsize="8655,4605">
            <v:shape style="position:absolute;left:2727;top:1326;width:7195;height:2617" type="#_x0000_t75" id="docshape219" stroked="false">
              <v:imagedata r:id="rId57" o:title=""/>
            </v:shape>
            <v:shape style="position:absolute;left:3128;top:1489;width:6246;height:2229" id="docshape220" coordorigin="3129,1489" coordsize="6246,2229" path="m3216,1700l3129,1517m4940,3718l4868,3494m6665,2054l6505,1885m8390,3515l8259,3250m3529,1686l3486,1489m5254,3715l5254,3532m6979,2058l6862,1861m8703,3497l8660,3274m3843,1720l3843,1510m5568,3709l5568,3539m7292,2083l7292,1878m9017,3507l9002,3283m4156,1769l4244,1532m5881,3715l5939,3573m7606,2134l7766,1883m9330,3505l9374,3267e" filled="false" stroked="true" strokeweight=".75pt" strokecolor="#a6a6a6">
              <v:path arrowok="t"/>
              <v:stroke dashstyle="solid"/>
            </v:shape>
            <v:rect style="position:absolute;left:3951;top:4550;width:99;height:99" id="docshape221" filled="true" fillcolor="#4471c4" stroked="false">
              <v:fill type="solid"/>
            </v:rect>
            <v:rect style="position:absolute;left:5107;top:4550;width:99;height:99" id="docshape222" filled="true" fillcolor="#ec7c30" stroked="false">
              <v:fill type="solid"/>
            </v:rect>
            <v:rect style="position:absolute;left:6264;top:4550;width:99;height:99" id="docshape223" filled="true" fillcolor="#a4a4a4" stroked="false">
              <v:fill type="solid"/>
            </v:rect>
            <v:rect style="position:absolute;left:7420;top:4550;width:99;height:99" id="docshape224" filled="true" fillcolor="#ffc000" stroked="false">
              <v:fill type="solid"/>
            </v:rect>
            <v:rect style="position:absolute;left:1800;top:298;width:8640;height:4590" id="docshape225" filled="false" stroked="true" strokeweight=".75pt" strokecolor="#d9d9d9">
              <v:stroke dashstyle="solid"/>
            </v:rect>
            <v:shape style="position:absolute;left:2878;top:497;width:6505;height:1003" type="#_x0000_t202" id="docshape226" filled="false" stroked="false">
              <v:textbox inset="0,0,0,0">
                <w:txbxContent>
                  <w:p>
                    <w:pPr>
                      <w:spacing w:line="244" w:lineRule="exact" w:before="0"/>
                      <w:ind w:left="0" w:right="18" w:firstLine="0"/>
                      <w:jc w:val="center"/>
                      <w:rPr>
                        <w:rFonts w:ascii="Calibri" w:hAnsi="Calibri"/>
                        <w:b/>
                        <w:sz w:val="24"/>
                      </w:rPr>
                    </w:pPr>
                    <w:r>
                      <w:rPr>
                        <w:rFonts w:ascii="Calibri" w:hAnsi="Calibri"/>
                        <w:b/>
                        <w:sz w:val="24"/>
                      </w:rPr>
                      <w:t>Numri</w:t>
                    </w:r>
                    <w:r>
                      <w:rPr>
                        <w:rFonts w:ascii="Calibri" w:hAnsi="Calibri"/>
                        <w:b/>
                        <w:spacing w:val="-11"/>
                        <w:sz w:val="24"/>
                      </w:rPr>
                      <w:t> </w:t>
                    </w:r>
                    <w:r>
                      <w:rPr>
                        <w:rFonts w:ascii="Calibri" w:hAnsi="Calibri"/>
                        <w:b/>
                        <w:sz w:val="24"/>
                      </w:rPr>
                      <w:t>i</w:t>
                    </w:r>
                    <w:r>
                      <w:rPr>
                        <w:rFonts w:ascii="Calibri" w:hAnsi="Calibri"/>
                        <w:b/>
                        <w:spacing w:val="-8"/>
                        <w:sz w:val="24"/>
                      </w:rPr>
                      <w:t> </w:t>
                    </w:r>
                    <w:r>
                      <w:rPr>
                        <w:rFonts w:ascii="Calibri" w:hAnsi="Calibri"/>
                        <w:b/>
                        <w:sz w:val="24"/>
                      </w:rPr>
                      <w:t>nxënësve</w:t>
                    </w:r>
                    <w:r>
                      <w:rPr>
                        <w:rFonts w:ascii="Calibri" w:hAnsi="Calibri"/>
                        <w:b/>
                        <w:spacing w:val="-9"/>
                        <w:sz w:val="24"/>
                      </w:rPr>
                      <w:t> </w:t>
                    </w:r>
                    <w:r>
                      <w:rPr>
                        <w:rFonts w:ascii="Calibri" w:hAnsi="Calibri"/>
                        <w:b/>
                        <w:sz w:val="24"/>
                      </w:rPr>
                      <w:t>në</w:t>
                    </w:r>
                    <w:r>
                      <w:rPr>
                        <w:rFonts w:ascii="Calibri" w:hAnsi="Calibri"/>
                        <w:b/>
                        <w:spacing w:val="-8"/>
                        <w:sz w:val="24"/>
                      </w:rPr>
                      <w:t> </w:t>
                    </w:r>
                    <w:r>
                      <w:rPr>
                        <w:rFonts w:ascii="Calibri" w:hAnsi="Calibri"/>
                        <w:b/>
                        <w:sz w:val="24"/>
                      </w:rPr>
                      <w:t>institucionet</w:t>
                    </w:r>
                    <w:r>
                      <w:rPr>
                        <w:rFonts w:ascii="Calibri" w:hAnsi="Calibri"/>
                        <w:b/>
                        <w:spacing w:val="-10"/>
                        <w:sz w:val="24"/>
                      </w:rPr>
                      <w:t> </w:t>
                    </w:r>
                    <w:r>
                      <w:rPr>
                        <w:rFonts w:ascii="Calibri" w:hAnsi="Calibri"/>
                        <w:b/>
                        <w:sz w:val="24"/>
                      </w:rPr>
                      <w:t>publike</w:t>
                    </w:r>
                    <w:r>
                      <w:rPr>
                        <w:rFonts w:ascii="Calibri" w:hAnsi="Calibri"/>
                        <w:b/>
                        <w:spacing w:val="-6"/>
                        <w:sz w:val="24"/>
                      </w:rPr>
                      <w:t> </w:t>
                    </w:r>
                    <w:r>
                      <w:rPr>
                        <w:rFonts w:ascii="Calibri" w:hAnsi="Calibri"/>
                        <w:b/>
                        <w:sz w:val="24"/>
                      </w:rPr>
                      <w:t>parauniversitare,</w:t>
                    </w:r>
                    <w:r>
                      <w:rPr>
                        <w:rFonts w:ascii="Calibri" w:hAnsi="Calibri"/>
                        <w:b/>
                        <w:spacing w:val="-9"/>
                        <w:sz w:val="24"/>
                      </w:rPr>
                      <w:t> </w:t>
                    </w:r>
                    <w:r>
                      <w:rPr>
                        <w:rFonts w:ascii="Calibri" w:hAnsi="Calibri"/>
                        <w:b/>
                        <w:spacing w:val="-2"/>
                        <w:sz w:val="24"/>
                      </w:rPr>
                      <w:t>2018-</w:t>
                    </w:r>
                  </w:p>
                  <w:p>
                    <w:pPr>
                      <w:spacing w:before="1"/>
                      <w:ind w:left="0" w:right="16" w:firstLine="0"/>
                      <w:jc w:val="center"/>
                      <w:rPr>
                        <w:rFonts w:ascii="Calibri"/>
                        <w:b/>
                        <w:sz w:val="24"/>
                      </w:rPr>
                    </w:pPr>
                    <w:r>
                      <w:rPr>
                        <w:rFonts w:ascii="Calibri"/>
                        <w:b/>
                        <w:spacing w:val="-4"/>
                        <w:sz w:val="24"/>
                      </w:rPr>
                      <w:t>2022</w:t>
                    </w:r>
                  </w:p>
                  <w:p>
                    <w:pPr>
                      <w:spacing w:line="256" w:lineRule="exact" w:before="207"/>
                      <w:ind w:left="68" w:right="0" w:firstLine="0"/>
                      <w:jc w:val="left"/>
                      <w:rPr>
                        <w:rFonts w:ascii="Calibri"/>
                        <w:sz w:val="18"/>
                      </w:rPr>
                    </w:pPr>
                    <w:r>
                      <w:rPr>
                        <w:rFonts w:ascii="Calibri"/>
                        <w:color w:val="404040"/>
                        <w:spacing w:val="-2"/>
                        <w:position w:val="1"/>
                        <w:sz w:val="18"/>
                      </w:rPr>
                      <w:t>1819</w:t>
                    </w:r>
                    <w:r>
                      <w:rPr>
                        <w:rFonts w:ascii="Calibri"/>
                        <w:color w:val="404040"/>
                        <w:spacing w:val="-2"/>
                        <w:position w:val="4"/>
                        <w:sz w:val="18"/>
                      </w:rPr>
                      <w:t>1831</w:t>
                    </w:r>
                    <w:r>
                      <w:rPr>
                        <w:rFonts w:ascii="Calibri"/>
                        <w:color w:val="404040"/>
                        <w:spacing w:val="-2"/>
                        <w:position w:val="2"/>
                        <w:sz w:val="18"/>
                      </w:rPr>
                      <w:t>1802</w:t>
                    </w:r>
                    <w:r>
                      <w:rPr>
                        <w:rFonts w:ascii="Calibri"/>
                        <w:color w:val="404040"/>
                        <w:spacing w:val="-6"/>
                        <w:position w:val="2"/>
                        <w:sz w:val="18"/>
                      </w:rPr>
                      <w:t> </w:t>
                    </w:r>
                    <w:r>
                      <w:rPr>
                        <w:rFonts w:ascii="Calibri"/>
                        <w:color w:val="404040"/>
                        <w:spacing w:val="-4"/>
                        <w:sz w:val="18"/>
                      </w:rPr>
                      <w:t>1761</w:t>
                    </w:r>
                  </w:p>
                </w:txbxContent>
              </v:textbox>
              <w10:wrap type="none"/>
            </v:shape>
            <v:shape style="position:absolute;left:2210;top:1472;width:385;height:180" type="#_x0000_t202" id="docshape22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2000</w:t>
                    </w:r>
                  </w:p>
                </w:txbxContent>
              </v:textbox>
              <w10:wrap type="none"/>
            </v:shape>
            <v:shape style="position:absolute;left:6323;top:1649;width:1646;height:204" type="#_x0000_t202" id="docshape228" filled="false" stroked="false">
              <v:textbox inset="0,0,0,0">
                <w:txbxContent>
                  <w:p>
                    <w:pPr>
                      <w:spacing w:line="204" w:lineRule="exact" w:before="0"/>
                      <w:ind w:left="0" w:right="0" w:firstLine="0"/>
                      <w:jc w:val="left"/>
                      <w:rPr>
                        <w:rFonts w:ascii="Calibri"/>
                        <w:sz w:val="18"/>
                      </w:rPr>
                    </w:pPr>
                    <w:r>
                      <w:rPr>
                        <w:rFonts w:ascii="Calibri"/>
                        <w:color w:val="404040"/>
                        <w:sz w:val="18"/>
                      </w:rPr>
                      <w:t>1522</w:t>
                    </w:r>
                    <w:r>
                      <w:rPr>
                        <w:rFonts w:ascii="Calibri"/>
                        <w:color w:val="404040"/>
                        <w:position w:val="2"/>
                        <w:sz w:val="18"/>
                      </w:rPr>
                      <w:t>1519</w:t>
                    </w:r>
                    <w:r>
                      <w:rPr>
                        <w:rFonts w:ascii="Calibri"/>
                        <w:color w:val="404040"/>
                        <w:spacing w:val="16"/>
                        <w:position w:val="2"/>
                        <w:sz w:val="18"/>
                      </w:rPr>
                      <w:t> </w:t>
                    </w:r>
                    <w:r>
                      <w:rPr>
                        <w:rFonts w:ascii="Calibri"/>
                        <w:color w:val="404040"/>
                        <w:position w:val="1"/>
                        <w:sz w:val="18"/>
                      </w:rPr>
                      <w:t>1498</w:t>
                    </w:r>
                    <w:r>
                      <w:rPr>
                        <w:rFonts w:ascii="Calibri"/>
                        <w:color w:val="404040"/>
                        <w:spacing w:val="57"/>
                        <w:position w:val="1"/>
                        <w:sz w:val="18"/>
                      </w:rPr>
                      <w:t> </w:t>
                    </w:r>
                    <w:r>
                      <w:rPr>
                        <w:rFonts w:ascii="Calibri"/>
                        <w:color w:val="404040"/>
                        <w:spacing w:val="-4"/>
                        <w:sz w:val="18"/>
                      </w:rPr>
                      <w:t>1455</w:t>
                    </w:r>
                  </w:p>
                </w:txbxContent>
              </v:textbox>
              <w10:wrap type="none"/>
            </v:shape>
            <v:shape style="position:absolute;left:2210;top:2069;width:385;height:180" type="#_x0000_t202" id="docshape229"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1500</w:t>
                    </w:r>
                  </w:p>
                </w:txbxContent>
              </v:textbox>
              <w10:wrap type="none"/>
            </v:shape>
            <v:shape style="position:absolute;left:2210;top:2665;width:385;height:180" type="#_x0000_t202" id="docshape230"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1000</w:t>
                    </w:r>
                  </w:p>
                </w:txbxContent>
              </v:textbox>
              <w10:wrap type="none"/>
            </v:shape>
            <v:shape style="position:absolute;left:8122;top:3038;width:1409;height:213" type="#_x0000_t202" id="docshape231" filled="false" stroked="false">
              <v:textbox inset="0,0,0,0">
                <w:txbxContent>
                  <w:p>
                    <w:pPr>
                      <w:spacing w:line="213" w:lineRule="exact" w:before="0"/>
                      <w:ind w:left="0" w:right="0" w:firstLine="0"/>
                      <w:jc w:val="left"/>
                      <w:rPr>
                        <w:rFonts w:ascii="Calibri"/>
                        <w:sz w:val="18"/>
                      </w:rPr>
                    </w:pPr>
                    <w:r>
                      <w:rPr>
                        <w:rFonts w:ascii="Calibri"/>
                        <w:color w:val="404040"/>
                        <w:position w:val="3"/>
                        <w:sz w:val="18"/>
                      </w:rPr>
                      <w:t>297</w:t>
                    </w:r>
                    <w:r>
                      <w:rPr>
                        <w:rFonts w:ascii="Calibri"/>
                        <w:color w:val="404040"/>
                        <w:spacing w:val="63"/>
                        <w:w w:val="150"/>
                        <w:position w:val="3"/>
                        <w:sz w:val="18"/>
                      </w:rPr>
                      <w:t> </w:t>
                    </w:r>
                    <w:r>
                      <w:rPr>
                        <w:rFonts w:ascii="Calibri"/>
                        <w:color w:val="404040"/>
                        <w:position w:val="1"/>
                        <w:sz w:val="18"/>
                      </w:rPr>
                      <w:t>312</w:t>
                    </w:r>
                    <w:r>
                      <w:rPr>
                        <w:rFonts w:ascii="Calibri"/>
                        <w:color w:val="404040"/>
                        <w:spacing w:val="25"/>
                        <w:position w:val="1"/>
                        <w:sz w:val="18"/>
                      </w:rPr>
                      <w:t> </w:t>
                    </w:r>
                    <w:r>
                      <w:rPr>
                        <w:rFonts w:ascii="Calibri"/>
                        <w:color w:val="404040"/>
                        <w:sz w:val="18"/>
                      </w:rPr>
                      <w:t>304</w:t>
                    </w:r>
                    <w:r>
                      <w:rPr>
                        <w:rFonts w:ascii="Calibri"/>
                        <w:color w:val="404040"/>
                        <w:spacing w:val="54"/>
                        <w:sz w:val="18"/>
                      </w:rPr>
                      <w:t> </w:t>
                    </w:r>
                    <w:r>
                      <w:rPr>
                        <w:rFonts w:ascii="Calibri"/>
                        <w:color w:val="404040"/>
                        <w:spacing w:val="-5"/>
                        <w:position w:val="2"/>
                        <w:sz w:val="18"/>
                      </w:rPr>
                      <w:t>306</w:t>
                    </w:r>
                  </w:p>
                </w:txbxContent>
              </v:textbox>
              <w10:wrap type="none"/>
            </v:shape>
            <v:shape style="position:absolute;left:2302;top:3261;width:294;height:180" type="#_x0000_t202" id="docshape23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500</w:t>
                    </w:r>
                  </w:p>
                </w:txbxContent>
              </v:textbox>
              <w10:wrap type="none"/>
            </v:shape>
            <v:shape style="position:absolute;left:4731;top:3282;width:1366;height:259" type="#_x0000_t202" id="docshape233" filled="false" stroked="false">
              <v:textbox inset="0,0,0,0">
                <w:txbxContent>
                  <w:p>
                    <w:pPr>
                      <w:spacing w:line="240" w:lineRule="auto" w:before="0"/>
                      <w:ind w:left="0" w:right="0" w:firstLine="0"/>
                      <w:jc w:val="left"/>
                      <w:rPr>
                        <w:rFonts w:ascii="Calibri"/>
                        <w:sz w:val="18"/>
                      </w:rPr>
                    </w:pPr>
                    <w:r>
                      <w:rPr>
                        <w:rFonts w:ascii="Calibri"/>
                        <w:color w:val="404040"/>
                        <w:position w:val="4"/>
                        <w:sz w:val="18"/>
                      </w:rPr>
                      <w:t>127</w:t>
                    </w:r>
                    <w:r>
                      <w:rPr>
                        <w:rFonts w:ascii="Calibri"/>
                        <w:color w:val="404040"/>
                        <w:spacing w:val="68"/>
                        <w:position w:val="4"/>
                        <w:sz w:val="18"/>
                      </w:rPr>
                      <w:t> </w:t>
                    </w:r>
                    <w:r>
                      <w:rPr>
                        <w:rFonts w:ascii="Calibri"/>
                        <w:color w:val="404040"/>
                        <w:position w:val="1"/>
                        <w:sz w:val="18"/>
                      </w:rPr>
                      <w:t>130</w:t>
                    </w:r>
                    <w:r>
                      <w:rPr>
                        <w:rFonts w:ascii="Calibri"/>
                        <w:color w:val="404040"/>
                        <w:spacing w:val="-2"/>
                        <w:position w:val="1"/>
                        <w:sz w:val="18"/>
                      </w:rPr>
                      <w:t> </w:t>
                    </w:r>
                    <w:r>
                      <w:rPr>
                        <w:rFonts w:ascii="Calibri"/>
                        <w:color w:val="404040"/>
                        <w:sz w:val="18"/>
                      </w:rPr>
                      <w:t>135</w:t>
                    </w:r>
                    <w:r>
                      <w:rPr>
                        <w:rFonts w:ascii="Calibri"/>
                        <w:color w:val="404040"/>
                        <w:spacing w:val="54"/>
                        <w:sz w:val="18"/>
                      </w:rPr>
                      <w:t> </w:t>
                    </w:r>
                    <w:r>
                      <w:rPr>
                        <w:rFonts w:ascii="Calibri"/>
                        <w:color w:val="404040"/>
                        <w:spacing w:val="-5"/>
                        <w:position w:val="-2"/>
                        <w:sz w:val="18"/>
                      </w:rPr>
                      <w:t>130</w:t>
                    </w:r>
                  </w:p>
                </w:txbxContent>
              </v:textbox>
              <w10:wrap type="none"/>
            </v:shape>
            <v:shape style="position:absolute;left:2484;top:3858;width:112;height:180" type="#_x0000_t202" id="docshape234"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2969;top:4083;width:1293;height:180" type="#_x0000_t202" id="docshape235" filled="false" stroked="false">
              <v:textbox inset="0,0,0,0">
                <w:txbxContent>
                  <w:p>
                    <w:pPr>
                      <w:spacing w:line="180" w:lineRule="exact" w:before="0"/>
                      <w:ind w:left="0" w:right="0" w:firstLine="0"/>
                      <w:jc w:val="left"/>
                      <w:rPr>
                        <w:rFonts w:ascii="Calibri" w:hAnsi="Calibri"/>
                        <w:sz w:val="18"/>
                      </w:rPr>
                    </w:pPr>
                    <w:r>
                      <w:rPr>
                        <w:rFonts w:ascii="Calibri" w:hAnsi="Calibri"/>
                        <w:sz w:val="18"/>
                      </w:rPr>
                      <w:t>Numri</w:t>
                    </w:r>
                    <w:r>
                      <w:rPr>
                        <w:rFonts w:ascii="Calibri" w:hAnsi="Calibri"/>
                        <w:spacing w:val="-2"/>
                        <w:sz w:val="18"/>
                      </w:rPr>
                      <w:t> </w:t>
                    </w:r>
                    <w:r>
                      <w:rPr>
                        <w:rFonts w:ascii="Calibri" w:hAnsi="Calibri"/>
                        <w:sz w:val="18"/>
                      </w:rPr>
                      <w:t>I </w:t>
                    </w:r>
                    <w:r>
                      <w:rPr>
                        <w:rFonts w:ascii="Calibri" w:hAnsi="Calibri"/>
                        <w:spacing w:val="-2"/>
                        <w:sz w:val="18"/>
                      </w:rPr>
                      <w:t>nxënseve</w:t>
                    </w:r>
                  </w:p>
                </w:txbxContent>
              </v:textbox>
              <w10:wrap type="none"/>
            </v:shape>
            <v:shape style="position:absolute;left:4978;top:4083;width:686;height:180" type="#_x0000_t202" id="docshape236" filled="false" stroked="false">
              <v:textbox inset="0,0,0,0">
                <w:txbxContent>
                  <w:p>
                    <w:pPr>
                      <w:spacing w:line="180" w:lineRule="exact" w:before="0"/>
                      <w:ind w:left="0" w:right="0" w:firstLine="0"/>
                      <w:jc w:val="left"/>
                      <w:rPr>
                        <w:rFonts w:ascii="Calibri"/>
                        <w:sz w:val="18"/>
                      </w:rPr>
                    </w:pPr>
                    <w:r>
                      <w:rPr>
                        <w:rFonts w:ascii="Calibri"/>
                        <w:spacing w:val="-2"/>
                        <w:sz w:val="18"/>
                      </w:rPr>
                      <w:t>Parafillor</w:t>
                    </w:r>
                  </w:p>
                </w:txbxContent>
              </v:textbox>
              <w10:wrap type="none"/>
            </v:shape>
            <v:shape style="position:absolute;left:6782;top:4083;width:568;height:180" type="#_x0000_t202" id="docshape237" filled="false" stroked="false">
              <v:textbox inset="0,0,0,0">
                <w:txbxContent>
                  <w:p>
                    <w:pPr>
                      <w:spacing w:line="180" w:lineRule="exact" w:before="0"/>
                      <w:ind w:left="0" w:right="0" w:firstLine="0"/>
                      <w:jc w:val="left"/>
                      <w:rPr>
                        <w:rFonts w:ascii="Calibri"/>
                        <w:sz w:val="18"/>
                      </w:rPr>
                    </w:pPr>
                    <w:r>
                      <w:rPr>
                        <w:rFonts w:ascii="Calibri"/>
                        <w:spacing w:val="-2"/>
                        <w:sz w:val="18"/>
                      </w:rPr>
                      <w:t>SHFMU</w:t>
                    </w:r>
                  </w:p>
                </w:txbxContent>
              </v:textbox>
              <w10:wrap type="none"/>
            </v:shape>
            <v:shape style="position:absolute;left:8568;top:4083;width:445;height:180" type="#_x0000_t202" id="docshape238" filled="false" stroked="false">
              <v:textbox inset="0,0,0,0">
                <w:txbxContent>
                  <w:p>
                    <w:pPr>
                      <w:spacing w:line="180" w:lineRule="exact" w:before="0"/>
                      <w:ind w:left="0" w:right="0" w:firstLine="0"/>
                      <w:jc w:val="left"/>
                      <w:rPr>
                        <w:rFonts w:ascii="Calibri"/>
                        <w:sz w:val="18"/>
                      </w:rPr>
                    </w:pPr>
                    <w:r>
                      <w:rPr>
                        <w:rFonts w:ascii="Calibri"/>
                        <w:spacing w:val="-4"/>
                        <w:sz w:val="18"/>
                      </w:rPr>
                      <w:t>SHML</w:t>
                    </w:r>
                  </w:p>
                </w:txbxContent>
              </v:textbox>
              <w10:wrap type="none"/>
            </v:shape>
            <v:shape style="position:absolute;left:4092;top:4517;width:4289;height:180" type="#_x0000_t202" id="docshape239" filled="false" stroked="false">
              <v:textbox inset="0,0,0,0">
                <w:txbxContent>
                  <w:p>
                    <w:pPr>
                      <w:tabs>
                        <w:tab w:pos="1156" w:val="left" w:leader="none"/>
                        <w:tab w:pos="2312" w:val="left" w:leader="none"/>
                        <w:tab w:pos="3469" w:val="left" w:leader="none"/>
                      </w:tabs>
                      <w:spacing w:line="180" w:lineRule="exact" w:before="0"/>
                      <w:ind w:left="0" w:right="0" w:firstLine="0"/>
                      <w:jc w:val="left"/>
                      <w:rPr>
                        <w:rFonts w:ascii="Calibri"/>
                        <w:sz w:val="18"/>
                      </w:rPr>
                    </w:pPr>
                    <w:r>
                      <w:rPr>
                        <w:rFonts w:ascii="Calibri"/>
                        <w:spacing w:val="-2"/>
                        <w:sz w:val="18"/>
                      </w:rPr>
                      <w:t>2018/2019</w:t>
                    </w:r>
                    <w:r>
                      <w:rPr>
                        <w:rFonts w:ascii="Calibri"/>
                        <w:sz w:val="18"/>
                      </w:rPr>
                      <w:tab/>
                    </w:r>
                    <w:r>
                      <w:rPr>
                        <w:rFonts w:ascii="Calibri"/>
                        <w:spacing w:val="-2"/>
                        <w:sz w:val="18"/>
                      </w:rPr>
                      <w:t>2019/2020</w:t>
                    </w:r>
                    <w:r>
                      <w:rPr>
                        <w:rFonts w:ascii="Calibri"/>
                        <w:sz w:val="18"/>
                      </w:rPr>
                      <w:tab/>
                    </w:r>
                    <w:r>
                      <w:rPr>
                        <w:rFonts w:ascii="Calibri"/>
                        <w:spacing w:val="-2"/>
                        <w:sz w:val="18"/>
                      </w:rPr>
                      <w:t>2020/2021</w:t>
                    </w:r>
                    <w:r>
                      <w:rPr>
                        <w:rFonts w:ascii="Calibri"/>
                        <w:sz w:val="18"/>
                      </w:rPr>
                      <w:tab/>
                    </w:r>
                    <w:r>
                      <w:rPr>
                        <w:rFonts w:ascii="Calibri"/>
                        <w:spacing w:val="-2"/>
                        <w:sz w:val="18"/>
                      </w:rPr>
                      <w:t>2021/2022</w:t>
                    </w:r>
                  </w:p>
                </w:txbxContent>
              </v:textbox>
              <w10:wrap type="none"/>
            </v:shape>
            <w10:wrap type="topAndBottom"/>
          </v:group>
        </w:pict>
      </w:r>
    </w:p>
    <w:p>
      <w:pPr>
        <w:spacing w:before="45"/>
        <w:ind w:left="1654" w:right="0" w:firstLine="0"/>
        <w:jc w:val="left"/>
        <w:rPr>
          <w:rFonts w:ascii="Cambria" w:hAnsi="Cambria"/>
          <w:sz w:val="21"/>
        </w:rPr>
      </w:pPr>
      <w:r>
        <w:rPr>
          <w:rFonts w:ascii="Cambria" w:hAnsi="Cambria"/>
          <w:b/>
          <w:sz w:val="24"/>
        </w:rPr>
        <w:t>Grafiku</w:t>
      </w:r>
      <w:r>
        <w:rPr>
          <w:rFonts w:ascii="Cambria" w:hAnsi="Cambria"/>
          <w:b/>
          <w:spacing w:val="-5"/>
          <w:sz w:val="24"/>
        </w:rPr>
        <w:t> </w:t>
      </w:r>
      <w:r>
        <w:rPr>
          <w:rFonts w:ascii="Cambria" w:hAnsi="Cambria"/>
          <w:b/>
          <w:sz w:val="24"/>
        </w:rPr>
        <w:t>9:</w:t>
      </w:r>
      <w:r>
        <w:rPr>
          <w:rFonts w:ascii="Cambria" w:hAnsi="Cambria"/>
          <w:b/>
          <w:spacing w:val="-2"/>
          <w:sz w:val="24"/>
        </w:rPr>
        <w:t> </w:t>
      </w:r>
      <w:r>
        <w:rPr>
          <w:rFonts w:ascii="Cambria" w:hAnsi="Cambria"/>
          <w:sz w:val="21"/>
        </w:rPr>
        <w:t>Numri</w:t>
      </w:r>
      <w:r>
        <w:rPr>
          <w:rFonts w:ascii="Cambria" w:hAnsi="Cambria"/>
          <w:spacing w:val="-3"/>
          <w:sz w:val="21"/>
        </w:rPr>
        <w:t> </w:t>
      </w:r>
      <w:r>
        <w:rPr>
          <w:rFonts w:ascii="Cambria" w:hAnsi="Cambria"/>
          <w:sz w:val="21"/>
        </w:rPr>
        <w:t>i</w:t>
      </w:r>
      <w:r>
        <w:rPr>
          <w:rFonts w:ascii="Cambria" w:hAnsi="Cambria"/>
          <w:spacing w:val="-3"/>
          <w:sz w:val="21"/>
        </w:rPr>
        <w:t> </w:t>
      </w:r>
      <w:r>
        <w:rPr>
          <w:rFonts w:ascii="Cambria" w:hAnsi="Cambria"/>
          <w:sz w:val="21"/>
        </w:rPr>
        <w:t>nxënësve</w:t>
      </w:r>
      <w:r>
        <w:rPr>
          <w:rFonts w:ascii="Cambria" w:hAnsi="Cambria"/>
          <w:spacing w:val="-3"/>
          <w:sz w:val="21"/>
        </w:rPr>
        <w:t> </w:t>
      </w:r>
      <w:r>
        <w:rPr>
          <w:rFonts w:ascii="Cambria" w:hAnsi="Cambria"/>
          <w:sz w:val="21"/>
        </w:rPr>
        <w:t>në</w:t>
      </w:r>
      <w:r>
        <w:rPr>
          <w:rFonts w:ascii="Cambria" w:hAnsi="Cambria"/>
          <w:spacing w:val="-2"/>
          <w:sz w:val="21"/>
        </w:rPr>
        <w:t> </w:t>
      </w:r>
      <w:r>
        <w:rPr>
          <w:rFonts w:ascii="Cambria" w:hAnsi="Cambria"/>
          <w:sz w:val="21"/>
        </w:rPr>
        <w:t>institucionet</w:t>
      </w:r>
      <w:r>
        <w:rPr>
          <w:rFonts w:ascii="Cambria" w:hAnsi="Cambria"/>
          <w:spacing w:val="-4"/>
          <w:sz w:val="21"/>
        </w:rPr>
        <w:t> </w:t>
      </w:r>
      <w:r>
        <w:rPr>
          <w:rFonts w:ascii="Cambria" w:hAnsi="Cambria"/>
          <w:sz w:val="21"/>
        </w:rPr>
        <w:t>publike</w:t>
      </w:r>
      <w:r>
        <w:rPr>
          <w:rFonts w:ascii="Cambria" w:hAnsi="Cambria"/>
          <w:spacing w:val="-1"/>
          <w:sz w:val="21"/>
        </w:rPr>
        <w:t> </w:t>
      </w:r>
      <w:r>
        <w:rPr>
          <w:rFonts w:ascii="Cambria" w:hAnsi="Cambria"/>
          <w:sz w:val="21"/>
        </w:rPr>
        <w:t>parauniversitare,</w:t>
      </w:r>
      <w:r>
        <w:rPr>
          <w:rFonts w:ascii="Cambria" w:hAnsi="Cambria"/>
          <w:spacing w:val="-2"/>
          <w:sz w:val="21"/>
        </w:rPr>
        <w:t> </w:t>
      </w:r>
      <w:r>
        <w:rPr>
          <w:rFonts w:ascii="Cambria" w:hAnsi="Cambria"/>
          <w:sz w:val="21"/>
        </w:rPr>
        <w:t>2018-</w:t>
      </w:r>
      <w:r>
        <w:rPr>
          <w:rFonts w:ascii="Cambria" w:hAnsi="Cambria"/>
          <w:spacing w:val="-4"/>
          <w:sz w:val="21"/>
        </w:rPr>
        <w:t>2022</w:t>
      </w:r>
    </w:p>
    <w:p>
      <w:pPr>
        <w:spacing w:after="0"/>
        <w:jc w:val="left"/>
        <w:rPr>
          <w:rFonts w:ascii="Cambria" w:hAnsi="Cambria"/>
          <w:sz w:val="21"/>
        </w:rPr>
        <w:sectPr>
          <w:pgSz w:w="12240" w:h="15840"/>
          <w:pgMar w:header="0" w:footer="990" w:top="1440" w:bottom="1180" w:left="700" w:right="0"/>
        </w:sectPr>
      </w:pPr>
    </w:p>
    <w:p>
      <w:pPr>
        <w:pStyle w:val="BodyText"/>
        <w:ind w:left="1903"/>
        <w:rPr>
          <w:rFonts w:ascii="Cambria"/>
          <w:sz w:val="20"/>
        </w:rPr>
      </w:pPr>
      <w:r>
        <w:rPr>
          <w:rFonts w:ascii="Cambria"/>
          <w:sz w:val="20"/>
        </w:rPr>
        <w:drawing>
          <wp:inline distT="0" distB="0" distL="0" distR="0">
            <wp:extent cx="4433895" cy="3526440"/>
            <wp:effectExtent l="0" t="0" r="0" b="0"/>
            <wp:docPr id="21" name="image44.jpeg" descr="Map  Description automatically generated"/>
            <wp:cNvGraphicFramePr>
              <a:graphicFrameLocks noChangeAspect="1"/>
            </wp:cNvGraphicFramePr>
            <a:graphic>
              <a:graphicData uri="http://schemas.openxmlformats.org/drawingml/2006/picture">
                <pic:pic>
                  <pic:nvPicPr>
                    <pic:cNvPr id="22" name="image44.jpeg"/>
                    <pic:cNvPicPr/>
                  </pic:nvPicPr>
                  <pic:blipFill>
                    <a:blip r:embed="rId58" cstate="print"/>
                    <a:stretch>
                      <a:fillRect/>
                    </a:stretch>
                  </pic:blipFill>
                  <pic:spPr>
                    <a:xfrm>
                      <a:off x="0" y="0"/>
                      <a:ext cx="4433895" cy="3526440"/>
                    </a:xfrm>
                    <a:prstGeom prst="rect">
                      <a:avLst/>
                    </a:prstGeom>
                  </pic:spPr>
                </pic:pic>
              </a:graphicData>
            </a:graphic>
          </wp:inline>
        </w:drawing>
      </w:r>
      <w:r>
        <w:rPr>
          <w:rFonts w:ascii="Cambria"/>
          <w:sz w:val="20"/>
        </w:rPr>
      </w:r>
    </w:p>
    <w:p>
      <w:pPr>
        <w:pStyle w:val="BodyText"/>
        <w:spacing w:before="92"/>
        <w:ind w:right="700"/>
        <w:jc w:val="center"/>
      </w:pPr>
      <w:r>
        <w:rPr>
          <w:b/>
        </w:rPr>
        <w:t>Figura</w:t>
      </w:r>
      <w:r>
        <w:rPr>
          <w:b/>
          <w:spacing w:val="-6"/>
        </w:rPr>
        <w:t> </w:t>
      </w:r>
      <w:r>
        <w:rPr>
          <w:b/>
        </w:rPr>
        <w:t>6:</w:t>
      </w:r>
      <w:r>
        <w:rPr>
          <w:b/>
          <w:spacing w:val="-5"/>
        </w:rPr>
        <w:t> </w:t>
      </w:r>
      <w:r>
        <w:rPr/>
        <w:t>Harta</w:t>
      </w:r>
      <w:r>
        <w:rPr>
          <w:spacing w:val="-6"/>
        </w:rPr>
        <w:t> </w:t>
      </w:r>
      <w:r>
        <w:rPr/>
        <w:t>e</w:t>
      </w:r>
      <w:r>
        <w:rPr>
          <w:spacing w:val="-6"/>
        </w:rPr>
        <w:t> </w:t>
      </w:r>
      <w:r>
        <w:rPr/>
        <w:t>objekteve</w:t>
      </w:r>
      <w:r>
        <w:rPr>
          <w:spacing w:val="-6"/>
        </w:rPr>
        <w:t> </w:t>
      </w:r>
      <w:r>
        <w:rPr/>
        <w:t>shkollore</w:t>
      </w:r>
      <w:r>
        <w:rPr>
          <w:spacing w:val="-5"/>
        </w:rPr>
        <w:t> </w:t>
      </w:r>
      <w:r>
        <w:rPr/>
        <w:t>dhe</w:t>
      </w:r>
      <w:r>
        <w:rPr>
          <w:spacing w:val="-6"/>
        </w:rPr>
        <w:t> </w:t>
      </w:r>
      <w:r>
        <w:rPr/>
        <w:t>shëndetësore</w:t>
      </w:r>
      <w:r>
        <w:rPr>
          <w:spacing w:val="-6"/>
        </w:rPr>
        <w:t> </w:t>
      </w:r>
      <w:r>
        <w:rPr/>
        <w:t>të</w:t>
      </w:r>
      <w:r>
        <w:rPr>
          <w:spacing w:val="-5"/>
        </w:rPr>
        <w:t> </w:t>
      </w:r>
      <w:r>
        <w:rPr/>
        <w:t>Komunës</w:t>
      </w:r>
      <w:r>
        <w:rPr>
          <w:spacing w:val="-5"/>
        </w:rPr>
        <w:t> </w:t>
      </w:r>
      <w:r>
        <w:rPr/>
        <w:t>së</w:t>
      </w:r>
      <w:r>
        <w:rPr>
          <w:spacing w:val="-5"/>
        </w:rPr>
        <w:t> </w:t>
      </w:r>
      <w:r>
        <w:rPr/>
        <w:t>Hanit</w:t>
      </w:r>
      <w:r>
        <w:rPr>
          <w:spacing w:val="-5"/>
        </w:rPr>
        <w:t> </w:t>
      </w:r>
      <w:r>
        <w:rPr/>
        <w:t>të</w:t>
      </w:r>
      <w:r>
        <w:rPr>
          <w:spacing w:val="-5"/>
        </w:rPr>
        <w:t> </w:t>
      </w:r>
      <w:r>
        <w:rPr>
          <w:spacing w:val="-2"/>
        </w:rPr>
        <w:t>Elezit</w:t>
      </w:r>
    </w:p>
    <w:p>
      <w:pPr>
        <w:pStyle w:val="BodyText"/>
        <w:spacing w:before="3"/>
        <w:rPr>
          <w:sz w:val="22"/>
        </w:rPr>
      </w:pPr>
    </w:p>
    <w:p>
      <w:pPr>
        <w:pStyle w:val="Heading2"/>
        <w:ind w:left="704"/>
        <w:jc w:val="both"/>
      </w:pPr>
      <w:r>
        <w:rPr/>
        <w:t>6.2 Niveli</w:t>
      </w:r>
      <w:r>
        <w:rPr>
          <w:spacing w:val="-1"/>
        </w:rPr>
        <w:t> </w:t>
      </w:r>
      <w:r>
        <w:rPr/>
        <w:t>i</w:t>
      </w:r>
      <w:r>
        <w:rPr>
          <w:spacing w:val="-1"/>
        </w:rPr>
        <w:t> </w:t>
      </w:r>
      <w:r>
        <w:rPr>
          <w:spacing w:val="-2"/>
        </w:rPr>
        <w:t>arsimimit</w:t>
      </w:r>
    </w:p>
    <w:p>
      <w:pPr>
        <w:pStyle w:val="BodyText"/>
        <w:spacing w:before="121"/>
        <w:ind w:left="704" w:right="1462"/>
        <w:jc w:val="both"/>
        <w:rPr>
          <w:rFonts w:ascii="Calibri" w:hAnsi="Calibri"/>
          <w:sz w:val="22"/>
        </w:rPr>
      </w:pPr>
      <w:r>
        <w:rPr/>
        <w:t>Sipas</w:t>
      </w:r>
      <w:r>
        <w:rPr>
          <w:spacing w:val="-6"/>
        </w:rPr>
        <w:t> </w:t>
      </w:r>
      <w:r>
        <w:rPr/>
        <w:t>regjistrimit</w:t>
      </w:r>
      <w:r>
        <w:rPr>
          <w:spacing w:val="-7"/>
        </w:rPr>
        <w:t> </w:t>
      </w:r>
      <w:r>
        <w:rPr/>
        <w:t>të</w:t>
      </w:r>
      <w:r>
        <w:rPr>
          <w:spacing w:val="-7"/>
        </w:rPr>
        <w:t> </w:t>
      </w:r>
      <w:r>
        <w:rPr/>
        <w:t>fundit</w:t>
      </w:r>
      <w:r>
        <w:rPr>
          <w:spacing w:val="-7"/>
        </w:rPr>
        <w:t> </w:t>
      </w:r>
      <w:r>
        <w:rPr/>
        <w:t>(2011)</w:t>
      </w:r>
      <w:r>
        <w:rPr>
          <w:vertAlign w:val="superscript"/>
        </w:rPr>
        <w:t>9</w:t>
      </w:r>
      <w:r>
        <w:rPr>
          <w:spacing w:val="-5"/>
          <w:vertAlign w:val="baseline"/>
        </w:rPr>
        <w:t> </w:t>
      </w:r>
      <w:r>
        <w:rPr>
          <w:vertAlign w:val="baseline"/>
        </w:rPr>
        <w:t>për</w:t>
      </w:r>
      <w:r>
        <w:rPr>
          <w:spacing w:val="-7"/>
          <w:vertAlign w:val="baseline"/>
        </w:rPr>
        <w:t> </w:t>
      </w:r>
      <w:r>
        <w:rPr>
          <w:vertAlign w:val="baseline"/>
        </w:rPr>
        <w:t>nivelin</w:t>
      </w:r>
      <w:r>
        <w:rPr>
          <w:spacing w:val="-6"/>
          <w:vertAlign w:val="baseline"/>
        </w:rPr>
        <w:t> </w:t>
      </w:r>
      <w:r>
        <w:rPr>
          <w:vertAlign w:val="baseline"/>
        </w:rPr>
        <w:t>e</w:t>
      </w:r>
      <w:r>
        <w:rPr>
          <w:spacing w:val="-7"/>
          <w:vertAlign w:val="baseline"/>
        </w:rPr>
        <w:t> </w:t>
      </w:r>
      <w:r>
        <w:rPr>
          <w:vertAlign w:val="baseline"/>
        </w:rPr>
        <w:t>arsimit</w:t>
      </w:r>
      <w:r>
        <w:rPr>
          <w:spacing w:val="-7"/>
          <w:vertAlign w:val="baseline"/>
        </w:rPr>
        <w:t> </w:t>
      </w:r>
      <w:r>
        <w:rPr>
          <w:vertAlign w:val="baseline"/>
        </w:rPr>
        <w:t>mbi</w:t>
      </w:r>
      <w:r>
        <w:rPr>
          <w:spacing w:val="-5"/>
          <w:vertAlign w:val="baseline"/>
        </w:rPr>
        <w:t> </w:t>
      </w:r>
      <w:r>
        <w:rPr>
          <w:vertAlign w:val="baseline"/>
        </w:rPr>
        <w:t>10</w:t>
      </w:r>
      <w:r>
        <w:rPr>
          <w:spacing w:val="-8"/>
          <w:vertAlign w:val="baseline"/>
        </w:rPr>
        <w:t> </w:t>
      </w:r>
      <w:r>
        <w:rPr>
          <w:vertAlign w:val="baseline"/>
        </w:rPr>
        <w:t>vjet,</w:t>
      </w:r>
      <w:r>
        <w:rPr>
          <w:spacing w:val="-6"/>
          <w:vertAlign w:val="baseline"/>
        </w:rPr>
        <w:t> </w:t>
      </w:r>
      <w:r>
        <w:rPr>
          <w:vertAlign w:val="baseline"/>
        </w:rPr>
        <w:t>Komuna</w:t>
      </w:r>
      <w:r>
        <w:rPr>
          <w:spacing w:val="-6"/>
          <w:vertAlign w:val="baseline"/>
        </w:rPr>
        <w:t> </w:t>
      </w:r>
      <w:r>
        <w:rPr>
          <w:vertAlign w:val="baseline"/>
        </w:rPr>
        <w:t>e</w:t>
      </w:r>
      <w:r>
        <w:rPr>
          <w:spacing w:val="-6"/>
          <w:vertAlign w:val="baseline"/>
        </w:rPr>
        <w:t> </w:t>
      </w:r>
      <w:r>
        <w:rPr>
          <w:vertAlign w:val="baseline"/>
        </w:rPr>
        <w:t>Hanit</w:t>
      </w:r>
      <w:r>
        <w:rPr>
          <w:spacing w:val="-7"/>
          <w:vertAlign w:val="baseline"/>
        </w:rPr>
        <w:t> </w:t>
      </w:r>
      <w:r>
        <w:rPr>
          <w:vertAlign w:val="baseline"/>
        </w:rPr>
        <w:t>të</w:t>
      </w:r>
      <w:r>
        <w:rPr>
          <w:spacing w:val="-7"/>
          <w:vertAlign w:val="baseline"/>
        </w:rPr>
        <w:t> </w:t>
      </w:r>
      <w:r>
        <w:rPr>
          <w:vertAlign w:val="baseline"/>
        </w:rPr>
        <w:t>Elezit</w:t>
      </w:r>
      <w:r>
        <w:rPr>
          <w:vertAlign w:val="superscript"/>
        </w:rPr>
        <w:t>10</w:t>
      </w:r>
      <w:r>
        <w:rPr>
          <w:spacing w:val="-5"/>
          <w:vertAlign w:val="baseline"/>
        </w:rPr>
        <w:t> </w:t>
      </w:r>
      <w:r>
        <w:rPr>
          <w:vertAlign w:val="baseline"/>
        </w:rPr>
        <w:t>ka një nivel me ndryshime të vogla krahasuar me normën mesatare të nivelit të Kosovës. Përderisa, përqindja arsimimit mbi</w:t>
      </w:r>
      <w:r>
        <w:rPr>
          <w:spacing w:val="-1"/>
          <w:vertAlign w:val="baseline"/>
        </w:rPr>
        <w:t> </w:t>
      </w:r>
      <w:r>
        <w:rPr>
          <w:vertAlign w:val="baseline"/>
        </w:rPr>
        <w:t>12 klasë</w:t>
      </w:r>
      <w:r>
        <w:rPr>
          <w:spacing w:val="-1"/>
          <w:vertAlign w:val="baseline"/>
        </w:rPr>
        <w:t> </w:t>
      </w:r>
      <w:r>
        <w:rPr>
          <w:vertAlign w:val="baseline"/>
        </w:rPr>
        <w:t>është më</w:t>
      </w:r>
      <w:r>
        <w:rPr>
          <w:spacing w:val="-1"/>
          <w:vertAlign w:val="baseline"/>
        </w:rPr>
        <w:t> </w:t>
      </w:r>
      <w:r>
        <w:rPr>
          <w:vertAlign w:val="baseline"/>
        </w:rPr>
        <w:t>e lartë se ajo</w:t>
      </w:r>
      <w:r>
        <w:rPr>
          <w:spacing w:val="-1"/>
          <w:vertAlign w:val="baseline"/>
        </w:rPr>
        <w:t> </w:t>
      </w:r>
      <w:r>
        <w:rPr>
          <w:vertAlign w:val="baseline"/>
        </w:rPr>
        <w:t>e Kosovës, përqindja për nivelet kolegj e mbi janë më të ulta se e mesatares së Kosovës</w:t>
      </w:r>
      <w:r>
        <w:rPr>
          <w:rFonts w:ascii="Calibri" w:hAnsi="Calibri"/>
          <w:sz w:val="22"/>
          <w:vertAlign w:val="baseline"/>
        </w:rPr>
        <w:t>.</w:t>
      </w:r>
    </w:p>
    <w:p>
      <w:pPr>
        <w:pStyle w:val="BodyText"/>
        <w:spacing w:before="11"/>
        <w:rPr>
          <w:rFonts w:ascii="Calibri"/>
          <w:sz w:val="20"/>
        </w:rPr>
      </w:pPr>
    </w:p>
    <w:tbl>
      <w:tblPr>
        <w:tblW w:w="0" w:type="auto"/>
        <w:jc w:val="left"/>
        <w:tblInd w:w="47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1005"/>
        <w:gridCol w:w="541"/>
        <w:gridCol w:w="541"/>
        <w:gridCol w:w="541"/>
        <w:gridCol w:w="541"/>
        <w:gridCol w:w="631"/>
        <w:gridCol w:w="541"/>
        <w:gridCol w:w="541"/>
        <w:gridCol w:w="631"/>
        <w:gridCol w:w="541"/>
        <w:gridCol w:w="541"/>
        <w:gridCol w:w="451"/>
        <w:gridCol w:w="451"/>
        <w:gridCol w:w="1801"/>
      </w:tblGrid>
      <w:tr>
        <w:trPr>
          <w:trHeight w:val="340" w:hRule="atLeast"/>
        </w:trPr>
        <w:tc>
          <w:tcPr>
            <w:tcW w:w="9298" w:type="dxa"/>
            <w:gridSpan w:val="14"/>
            <w:tcBorders>
              <w:bottom w:val="single" w:sz="6" w:space="0" w:color="000000"/>
            </w:tcBorders>
            <w:shd w:val="clear" w:color="auto" w:fill="EAB8A3"/>
          </w:tcPr>
          <w:p>
            <w:pPr>
              <w:pStyle w:val="TableParagraph"/>
              <w:spacing w:line="199" w:lineRule="exact" w:before="121"/>
              <w:ind w:left="53"/>
              <w:rPr>
                <w:rFonts w:ascii="Calibri"/>
                <w:b/>
                <w:sz w:val="18"/>
              </w:rPr>
            </w:pPr>
            <w:r>
              <w:rPr>
                <w:rFonts w:ascii="Calibri"/>
                <w:b/>
                <w:sz w:val="18"/>
              </w:rPr>
              <w:t>Niveli</w:t>
            </w:r>
            <w:r>
              <w:rPr>
                <w:rFonts w:ascii="Calibri"/>
                <w:b/>
                <w:spacing w:val="-1"/>
                <w:sz w:val="18"/>
              </w:rPr>
              <w:t> </w:t>
            </w:r>
            <w:r>
              <w:rPr>
                <w:rFonts w:ascii="Calibri"/>
                <w:b/>
                <w:sz w:val="18"/>
              </w:rPr>
              <w:t>i </w:t>
            </w:r>
            <w:r>
              <w:rPr>
                <w:rFonts w:ascii="Calibri"/>
                <w:b/>
                <w:spacing w:val="-2"/>
                <w:sz w:val="18"/>
              </w:rPr>
              <w:t>arsimimit</w:t>
            </w:r>
          </w:p>
        </w:tc>
      </w:tr>
      <w:tr>
        <w:trPr>
          <w:trHeight w:val="659" w:hRule="atLeast"/>
        </w:trPr>
        <w:tc>
          <w:tcPr>
            <w:tcW w:w="1005" w:type="dxa"/>
            <w:vMerge w:val="restart"/>
            <w:tcBorders>
              <w:top w:val="single" w:sz="6" w:space="0" w:color="000000"/>
              <w:bottom w:val="single" w:sz="6" w:space="0" w:color="000000"/>
              <w:right w:val="single" w:sz="6" w:space="0" w:color="000000"/>
            </w:tcBorders>
            <w:shd w:val="clear" w:color="auto" w:fill="EAB8A3"/>
          </w:tcPr>
          <w:p>
            <w:pPr>
              <w:pStyle w:val="TableParagraph"/>
              <w:rPr>
                <w:sz w:val="20"/>
              </w:rPr>
            </w:pPr>
          </w:p>
        </w:tc>
        <w:tc>
          <w:tcPr>
            <w:tcW w:w="1082" w:type="dxa"/>
            <w:gridSpan w:val="2"/>
            <w:tcBorders>
              <w:top w:val="single" w:sz="6" w:space="0" w:color="000000"/>
              <w:left w:val="single" w:sz="6" w:space="0" w:color="000000"/>
              <w:bottom w:val="single" w:sz="6" w:space="0" w:color="000000"/>
              <w:right w:val="single" w:sz="6" w:space="0" w:color="000000"/>
            </w:tcBorders>
            <w:shd w:val="clear" w:color="auto" w:fill="EAB8A3"/>
          </w:tcPr>
          <w:p>
            <w:pPr>
              <w:pStyle w:val="TableParagraph"/>
              <w:spacing w:line="220" w:lineRule="atLeast"/>
              <w:ind w:left="93" w:right="447"/>
              <w:rPr>
                <w:rFonts w:ascii="Calibri"/>
                <w:b/>
                <w:sz w:val="18"/>
              </w:rPr>
            </w:pPr>
            <w:r>
              <w:rPr>
                <w:rFonts w:ascii="Calibri"/>
                <w:b/>
                <w:sz w:val="18"/>
              </w:rPr>
              <w:t>Nuk</w:t>
            </w:r>
            <w:r>
              <w:rPr>
                <w:rFonts w:ascii="Calibri"/>
                <w:b/>
                <w:spacing w:val="-11"/>
                <w:sz w:val="18"/>
              </w:rPr>
              <w:t> </w:t>
            </w:r>
            <w:r>
              <w:rPr>
                <w:rFonts w:ascii="Calibri"/>
                <w:b/>
                <w:sz w:val="18"/>
              </w:rPr>
              <w:t>ka </w:t>
            </w:r>
            <w:r>
              <w:rPr>
                <w:rFonts w:ascii="Calibri"/>
                <w:b/>
                <w:spacing w:val="-2"/>
                <w:sz w:val="18"/>
              </w:rPr>
              <w:t>arsim</w:t>
            </w:r>
            <w:r>
              <w:rPr>
                <w:rFonts w:ascii="Calibri"/>
                <w:b/>
                <w:sz w:val="18"/>
              </w:rPr>
              <w:t> </w:t>
            </w:r>
            <w:r>
              <w:rPr>
                <w:rFonts w:ascii="Calibri"/>
                <w:b/>
                <w:spacing w:val="-2"/>
                <w:sz w:val="18"/>
              </w:rPr>
              <w:t>formal</w:t>
            </w:r>
          </w:p>
        </w:tc>
        <w:tc>
          <w:tcPr>
            <w:tcW w:w="1082" w:type="dxa"/>
            <w:gridSpan w:val="2"/>
            <w:tcBorders>
              <w:top w:val="single" w:sz="6" w:space="0" w:color="000000"/>
              <w:left w:val="single" w:sz="6" w:space="0" w:color="000000"/>
              <w:bottom w:val="single" w:sz="6" w:space="0" w:color="000000"/>
              <w:right w:val="single" w:sz="6" w:space="0" w:color="000000"/>
            </w:tcBorders>
            <w:shd w:val="clear" w:color="auto" w:fill="EAB8A3"/>
          </w:tcPr>
          <w:p>
            <w:pPr>
              <w:pStyle w:val="TableParagraph"/>
              <w:spacing w:before="1"/>
              <w:ind w:left="91"/>
              <w:rPr>
                <w:rFonts w:ascii="Calibri"/>
                <w:b/>
                <w:sz w:val="18"/>
              </w:rPr>
            </w:pPr>
            <w:r>
              <w:rPr>
                <w:rFonts w:ascii="Calibri"/>
                <w:b/>
                <w:spacing w:val="-2"/>
                <w:sz w:val="18"/>
              </w:rPr>
              <w:t>Fillor</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EAB8A3"/>
          </w:tcPr>
          <w:p>
            <w:pPr>
              <w:pStyle w:val="TableParagraph"/>
              <w:spacing w:before="1"/>
              <w:ind w:left="89" w:right="25"/>
              <w:rPr>
                <w:rFonts w:ascii="Calibri" w:hAnsi="Calibri"/>
                <w:b/>
                <w:sz w:val="18"/>
              </w:rPr>
            </w:pPr>
            <w:r>
              <w:rPr>
                <w:rFonts w:ascii="Calibri" w:hAnsi="Calibri"/>
                <w:b/>
                <w:sz w:val="18"/>
              </w:rPr>
              <w:t>E</w:t>
            </w:r>
            <w:r>
              <w:rPr>
                <w:rFonts w:ascii="Calibri" w:hAnsi="Calibri"/>
                <w:b/>
                <w:spacing w:val="-11"/>
                <w:sz w:val="18"/>
              </w:rPr>
              <w:t> </w:t>
            </w:r>
            <w:r>
              <w:rPr>
                <w:rFonts w:ascii="Calibri" w:hAnsi="Calibri"/>
                <w:b/>
                <w:sz w:val="18"/>
              </w:rPr>
              <w:t>mesme</w:t>
            </w:r>
            <w:r>
              <w:rPr>
                <w:rFonts w:ascii="Calibri" w:hAnsi="Calibri"/>
                <w:b/>
                <w:spacing w:val="-10"/>
                <w:sz w:val="18"/>
              </w:rPr>
              <w:t> </w:t>
            </w:r>
            <w:r>
              <w:rPr>
                <w:rFonts w:ascii="Calibri" w:hAnsi="Calibri"/>
                <w:b/>
                <w:sz w:val="18"/>
              </w:rPr>
              <w:t>e </w:t>
            </w:r>
            <w:r>
              <w:rPr>
                <w:rFonts w:ascii="Calibri" w:hAnsi="Calibri"/>
                <w:b/>
                <w:spacing w:val="-4"/>
                <w:sz w:val="18"/>
              </w:rPr>
              <w:t>ulët</w:t>
            </w:r>
          </w:p>
        </w:tc>
        <w:tc>
          <w:tcPr>
            <w:tcW w:w="1172" w:type="dxa"/>
            <w:gridSpan w:val="2"/>
            <w:tcBorders>
              <w:top w:val="single" w:sz="6" w:space="0" w:color="000000"/>
              <w:left w:val="single" w:sz="6" w:space="0" w:color="000000"/>
              <w:bottom w:val="single" w:sz="6" w:space="0" w:color="000000"/>
              <w:right w:val="single" w:sz="6" w:space="0" w:color="000000"/>
            </w:tcBorders>
            <w:shd w:val="clear" w:color="auto" w:fill="EAB8A3"/>
          </w:tcPr>
          <w:p>
            <w:pPr>
              <w:pStyle w:val="TableParagraph"/>
              <w:spacing w:before="1"/>
              <w:ind w:left="87"/>
              <w:rPr>
                <w:rFonts w:ascii="Calibri" w:hAnsi="Calibri"/>
                <w:b/>
                <w:sz w:val="18"/>
              </w:rPr>
            </w:pPr>
            <w:r>
              <w:rPr>
                <w:rFonts w:ascii="Calibri" w:hAnsi="Calibri"/>
                <w:b/>
                <w:sz w:val="18"/>
              </w:rPr>
              <w:t>E</w:t>
            </w:r>
            <w:r>
              <w:rPr>
                <w:rFonts w:ascii="Calibri" w:hAnsi="Calibri"/>
                <w:b/>
                <w:spacing w:val="-11"/>
                <w:sz w:val="18"/>
              </w:rPr>
              <w:t> </w:t>
            </w:r>
            <w:r>
              <w:rPr>
                <w:rFonts w:ascii="Calibri" w:hAnsi="Calibri"/>
                <w:b/>
                <w:sz w:val="18"/>
              </w:rPr>
              <w:t>mesme</w:t>
            </w:r>
            <w:r>
              <w:rPr>
                <w:rFonts w:ascii="Calibri" w:hAnsi="Calibri"/>
                <w:b/>
                <w:spacing w:val="-10"/>
                <w:sz w:val="18"/>
              </w:rPr>
              <w:t> </w:t>
            </w:r>
            <w:r>
              <w:rPr>
                <w:rFonts w:ascii="Calibri" w:hAnsi="Calibri"/>
                <w:b/>
                <w:sz w:val="18"/>
              </w:rPr>
              <w:t>e </w:t>
            </w:r>
            <w:r>
              <w:rPr>
                <w:rFonts w:ascii="Calibri" w:hAnsi="Calibri"/>
                <w:b/>
                <w:spacing w:val="-2"/>
                <w:sz w:val="18"/>
              </w:rPr>
              <w:t>lartë</w:t>
            </w:r>
          </w:p>
        </w:tc>
        <w:tc>
          <w:tcPr>
            <w:tcW w:w="541" w:type="dxa"/>
            <w:tcBorders>
              <w:top w:val="single" w:sz="6" w:space="0" w:color="000000"/>
              <w:left w:val="single" w:sz="6" w:space="0" w:color="000000"/>
              <w:bottom w:val="single" w:sz="6" w:space="0" w:color="000000"/>
              <w:right w:val="single" w:sz="6" w:space="0" w:color="000000"/>
            </w:tcBorders>
            <w:shd w:val="clear" w:color="auto" w:fill="EAB8A3"/>
          </w:tcPr>
          <w:p>
            <w:pPr>
              <w:pStyle w:val="TableParagraph"/>
              <w:rPr>
                <w:sz w:val="20"/>
              </w:rPr>
            </w:pPr>
          </w:p>
        </w:tc>
        <w:tc>
          <w:tcPr>
            <w:tcW w:w="541" w:type="dxa"/>
            <w:vMerge w:val="restart"/>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ind w:left="244"/>
              <w:rPr>
                <w:rFonts w:ascii="Calibri"/>
                <w:sz w:val="18"/>
              </w:rPr>
            </w:pPr>
            <w:r>
              <w:rPr>
                <w:rFonts w:ascii="Calibri"/>
                <w:sz w:val="18"/>
              </w:rPr>
              <w:t>Fakulteti</w:t>
            </w:r>
            <w:r>
              <w:rPr>
                <w:rFonts w:ascii="Calibri"/>
                <w:spacing w:val="-6"/>
                <w:sz w:val="18"/>
              </w:rPr>
              <w:t> </w:t>
            </w:r>
            <w:r>
              <w:rPr>
                <w:rFonts w:ascii="Calibri"/>
                <w:spacing w:val="-2"/>
                <w:sz w:val="18"/>
              </w:rPr>
              <w:t>(bachelor)</w:t>
            </w:r>
          </w:p>
        </w:tc>
        <w:tc>
          <w:tcPr>
            <w:tcW w:w="451" w:type="dxa"/>
            <w:vMerge w:val="restart"/>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line="219" w:lineRule="exact"/>
              <w:ind w:left="110"/>
              <w:rPr>
                <w:rFonts w:ascii="Calibri"/>
                <w:sz w:val="18"/>
              </w:rPr>
            </w:pPr>
            <w:r>
              <w:rPr>
                <w:rFonts w:ascii="Calibri"/>
                <w:sz w:val="18"/>
              </w:rPr>
              <w:t>Pasuniversitar</w:t>
            </w:r>
            <w:r>
              <w:rPr>
                <w:rFonts w:ascii="Calibri"/>
                <w:spacing w:val="-5"/>
                <w:sz w:val="18"/>
              </w:rPr>
              <w:t> </w:t>
            </w:r>
            <w:r>
              <w:rPr>
                <w:rFonts w:ascii="Calibri"/>
                <w:spacing w:val="-2"/>
                <w:sz w:val="18"/>
              </w:rPr>
              <w:t>(master)</w:t>
            </w:r>
          </w:p>
        </w:tc>
        <w:tc>
          <w:tcPr>
            <w:tcW w:w="451" w:type="dxa"/>
            <w:vMerge w:val="restart"/>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line="218" w:lineRule="exact"/>
              <w:ind w:left="509"/>
              <w:rPr>
                <w:rFonts w:ascii="Calibri" w:hAnsi="Calibri"/>
                <w:sz w:val="18"/>
              </w:rPr>
            </w:pPr>
            <w:r>
              <w:rPr>
                <w:rFonts w:ascii="Calibri" w:hAnsi="Calibri"/>
                <w:spacing w:val="-2"/>
                <w:sz w:val="18"/>
              </w:rPr>
              <w:t>Doktoraturë</w:t>
            </w:r>
          </w:p>
        </w:tc>
        <w:tc>
          <w:tcPr>
            <w:tcW w:w="1801" w:type="dxa"/>
            <w:vMerge w:val="restart"/>
            <w:tcBorders>
              <w:top w:val="single" w:sz="6" w:space="0" w:color="000000"/>
              <w:left w:val="single" w:sz="6" w:space="0" w:color="000000"/>
              <w:bottom w:val="single" w:sz="6" w:space="0" w:color="000000"/>
            </w:tcBorders>
            <w:shd w:val="clear" w:color="auto" w:fill="EAB8A3"/>
            <w:textDirection w:val="btLr"/>
          </w:tcPr>
          <w:p>
            <w:pPr>
              <w:pStyle w:val="TableParagraph"/>
              <w:spacing w:line="202" w:lineRule="exact"/>
              <w:ind w:left="670" w:right="730"/>
              <w:jc w:val="center"/>
              <w:rPr>
                <w:rFonts w:ascii="Calibri"/>
                <w:sz w:val="18"/>
              </w:rPr>
            </w:pPr>
            <w:r>
              <w:rPr>
                <w:rFonts w:ascii="Calibri"/>
                <w:spacing w:val="-2"/>
                <w:sz w:val="18"/>
              </w:rPr>
              <w:t>Gjithsej</w:t>
            </w:r>
          </w:p>
        </w:tc>
      </w:tr>
      <w:tr>
        <w:trPr>
          <w:trHeight w:val="1306" w:hRule="atLeast"/>
        </w:trPr>
        <w:tc>
          <w:tcPr>
            <w:tcW w:w="1005" w:type="dxa"/>
            <w:vMerge/>
            <w:tcBorders>
              <w:top w:val="nil"/>
              <w:bottom w:val="single" w:sz="6" w:space="0" w:color="000000"/>
              <w:right w:val="single" w:sz="6" w:space="0" w:color="000000"/>
            </w:tcBorders>
            <w:shd w:val="clear" w:color="auto" w:fill="EAB8A3"/>
          </w:tcPr>
          <w:p>
            <w:pPr>
              <w:rPr>
                <w:sz w:val="2"/>
                <w:szCs w:val="2"/>
              </w:rPr>
            </w:pP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tabs>
                <w:tab w:pos="753" w:val="left" w:leader="none"/>
              </w:tabs>
              <w:spacing w:line="244" w:lineRule="auto" w:before="9"/>
              <w:ind w:left="266" w:right="57" w:hanging="269"/>
              <w:rPr>
                <w:rFonts w:ascii="Calibri" w:hAnsi="Calibri"/>
                <w:sz w:val="18"/>
              </w:rPr>
            </w:pPr>
            <w:r>
              <w:rPr>
                <w:rFonts w:ascii="Calibri" w:hAnsi="Calibri"/>
                <w:spacing w:val="-4"/>
                <w:sz w:val="18"/>
              </w:rPr>
              <w:t>Dinë</w:t>
            </w:r>
            <w:r>
              <w:rPr>
                <w:rFonts w:ascii="Calibri" w:hAnsi="Calibri"/>
                <w:sz w:val="18"/>
              </w:rPr>
              <w:tab/>
            </w:r>
            <w:r>
              <w:rPr>
                <w:rFonts w:ascii="Calibri" w:hAnsi="Calibri"/>
                <w:spacing w:val="-2"/>
                <w:sz w:val="18"/>
              </w:rPr>
              <w:t>shkrim</w:t>
            </w:r>
            <w:r>
              <w:rPr>
                <w:rFonts w:ascii="Calibri" w:hAnsi="Calibri"/>
                <w:sz w:val="18"/>
              </w:rPr>
              <w:t> dhe lexim</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tabs>
                <w:tab w:pos="839" w:val="left" w:leader="none"/>
              </w:tabs>
              <w:spacing w:before="8"/>
              <w:ind w:left="83"/>
              <w:rPr>
                <w:rFonts w:ascii="Calibri" w:hAnsi="Calibri"/>
                <w:sz w:val="18"/>
              </w:rPr>
            </w:pPr>
            <w:r>
              <w:rPr>
                <w:rFonts w:ascii="Calibri" w:hAnsi="Calibri"/>
                <w:spacing w:val="-5"/>
                <w:sz w:val="18"/>
              </w:rPr>
              <w:t>Nuk</w:t>
            </w:r>
            <w:r>
              <w:rPr>
                <w:rFonts w:ascii="Calibri" w:hAnsi="Calibri"/>
                <w:sz w:val="18"/>
              </w:rPr>
              <w:tab/>
            </w:r>
            <w:r>
              <w:rPr>
                <w:rFonts w:ascii="Calibri" w:hAnsi="Calibri"/>
                <w:spacing w:val="-4"/>
                <w:sz w:val="18"/>
              </w:rPr>
              <w:t>dinë</w:t>
            </w:r>
          </w:p>
          <w:p>
            <w:pPr>
              <w:pStyle w:val="TableParagraph"/>
              <w:tabs>
                <w:tab w:pos="861" w:val="left" w:leader="none"/>
              </w:tabs>
              <w:spacing w:before="5"/>
              <w:ind w:left="105"/>
              <w:rPr>
                <w:rFonts w:ascii="Calibri"/>
                <w:sz w:val="18"/>
              </w:rPr>
            </w:pPr>
            <w:r>
              <w:rPr>
                <w:rFonts w:ascii="Calibri"/>
                <w:spacing w:val="-2"/>
                <w:sz w:val="18"/>
              </w:rPr>
              <w:t>shkrim</w:t>
            </w:r>
            <w:r>
              <w:rPr>
                <w:rFonts w:ascii="Calibri"/>
                <w:sz w:val="18"/>
              </w:rPr>
              <w:tab/>
            </w:r>
            <w:r>
              <w:rPr>
                <w:rFonts w:ascii="Calibri"/>
                <w:spacing w:val="-5"/>
                <w:sz w:val="18"/>
              </w:rPr>
              <w:t>dhe</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7"/>
              <w:ind w:left="454" w:hanging="383"/>
              <w:rPr>
                <w:rFonts w:ascii="Calibri"/>
                <w:sz w:val="18"/>
              </w:rPr>
            </w:pPr>
            <w:r>
              <w:rPr>
                <w:rFonts w:ascii="Calibri"/>
                <w:sz w:val="18"/>
              </w:rPr>
              <w:t>4</w:t>
            </w:r>
            <w:r>
              <w:rPr>
                <w:rFonts w:ascii="Calibri"/>
                <w:spacing w:val="-11"/>
                <w:sz w:val="18"/>
              </w:rPr>
              <w:t> </w:t>
            </w:r>
            <w:r>
              <w:rPr>
                <w:rFonts w:ascii="Calibri"/>
                <w:sz w:val="18"/>
              </w:rPr>
              <w:t>klasa,</w:t>
            </w:r>
            <w:r>
              <w:rPr>
                <w:rFonts w:ascii="Calibri"/>
                <w:spacing w:val="-10"/>
                <w:sz w:val="18"/>
              </w:rPr>
              <w:t> </w:t>
            </w:r>
            <w:r>
              <w:rPr>
                <w:rFonts w:ascii="Calibri"/>
                <w:sz w:val="18"/>
              </w:rPr>
              <w:t>sistemi </w:t>
            </w:r>
            <w:r>
              <w:rPr>
                <w:rFonts w:ascii="Calibri"/>
                <w:spacing w:val="-2"/>
                <w:sz w:val="18"/>
              </w:rPr>
              <w:t>fillor</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6"/>
              <w:ind w:left="402" w:hanging="225"/>
              <w:rPr>
                <w:rFonts w:ascii="Calibri"/>
                <w:sz w:val="18"/>
              </w:rPr>
            </w:pPr>
            <w:r>
              <w:rPr>
                <w:rFonts w:ascii="Calibri"/>
                <w:sz w:val="18"/>
              </w:rPr>
              <w:t>Sistemi</w:t>
            </w:r>
            <w:r>
              <w:rPr>
                <w:rFonts w:ascii="Calibri"/>
                <w:spacing w:val="-11"/>
                <w:sz w:val="18"/>
              </w:rPr>
              <w:t> </w:t>
            </w:r>
            <w:r>
              <w:rPr>
                <w:rFonts w:ascii="Calibri"/>
                <w:sz w:val="18"/>
              </w:rPr>
              <w:t>i</w:t>
            </w:r>
            <w:r>
              <w:rPr>
                <w:rFonts w:ascii="Calibri"/>
                <w:spacing w:val="-10"/>
                <w:sz w:val="18"/>
              </w:rPr>
              <w:t> </w:t>
            </w:r>
            <w:r>
              <w:rPr>
                <w:rFonts w:ascii="Calibri"/>
                <w:sz w:val="18"/>
              </w:rPr>
              <w:t>ri</w:t>
            </w:r>
            <w:r>
              <w:rPr>
                <w:rFonts w:ascii="Calibri"/>
                <w:spacing w:val="-10"/>
                <w:sz w:val="18"/>
              </w:rPr>
              <w:t> </w:t>
            </w:r>
            <w:r>
              <w:rPr>
                <w:rFonts w:ascii="Calibri"/>
                <w:sz w:val="18"/>
              </w:rPr>
              <w:t>5 </w:t>
            </w:r>
            <w:r>
              <w:rPr>
                <w:rFonts w:ascii="Calibri"/>
                <w:spacing w:val="-2"/>
                <w:sz w:val="18"/>
              </w:rPr>
              <w:t>klasor</w:t>
            </w:r>
          </w:p>
        </w:tc>
        <w:tc>
          <w:tcPr>
            <w:tcW w:w="63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line="244" w:lineRule="auto" w:before="5"/>
              <w:ind w:left="408" w:hanging="378"/>
              <w:rPr>
                <w:rFonts w:ascii="Calibri" w:hAnsi="Calibri"/>
                <w:sz w:val="18"/>
              </w:rPr>
            </w:pPr>
            <w:r>
              <w:rPr>
                <w:rFonts w:ascii="Calibri" w:hAnsi="Calibri"/>
                <w:sz w:val="18"/>
              </w:rPr>
              <w:t>8</w:t>
            </w:r>
            <w:r>
              <w:rPr>
                <w:rFonts w:ascii="Calibri" w:hAnsi="Calibri"/>
                <w:spacing w:val="-11"/>
                <w:sz w:val="18"/>
              </w:rPr>
              <w:t> </w:t>
            </w:r>
            <w:r>
              <w:rPr>
                <w:rFonts w:ascii="Calibri" w:hAnsi="Calibri"/>
                <w:sz w:val="18"/>
              </w:rPr>
              <w:t>klasa,</w:t>
            </w:r>
            <w:r>
              <w:rPr>
                <w:rFonts w:ascii="Calibri" w:hAnsi="Calibri"/>
                <w:spacing w:val="-10"/>
                <w:sz w:val="18"/>
              </w:rPr>
              <w:t> </w:t>
            </w:r>
            <w:r>
              <w:rPr>
                <w:rFonts w:ascii="Calibri" w:hAnsi="Calibri"/>
                <w:sz w:val="18"/>
              </w:rPr>
              <w:t>sistemi</w:t>
            </w:r>
            <w:r>
              <w:rPr>
                <w:rFonts w:ascii="Calibri" w:hAnsi="Calibri"/>
                <w:spacing w:val="-10"/>
                <w:sz w:val="18"/>
              </w:rPr>
              <w:t> </w:t>
            </w:r>
            <w:r>
              <w:rPr>
                <w:rFonts w:ascii="Calibri" w:hAnsi="Calibri"/>
                <w:sz w:val="18"/>
              </w:rPr>
              <w:t>i </w:t>
            </w:r>
            <w:r>
              <w:rPr>
                <w:rFonts w:ascii="Calibri" w:hAnsi="Calibri"/>
                <w:spacing w:val="-2"/>
                <w:sz w:val="18"/>
              </w:rPr>
              <w:t>vjetër</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before="4"/>
              <w:ind w:left="-21"/>
              <w:rPr>
                <w:rFonts w:ascii="Calibri"/>
                <w:sz w:val="18"/>
              </w:rPr>
            </w:pPr>
            <w:r>
              <w:rPr>
                <w:rFonts w:ascii="Calibri"/>
                <w:sz w:val="18"/>
              </w:rPr>
              <w:t>9</w:t>
            </w:r>
            <w:r>
              <w:rPr>
                <w:rFonts w:ascii="Calibri"/>
                <w:spacing w:val="-2"/>
                <w:sz w:val="18"/>
              </w:rPr>
              <w:t> </w:t>
            </w:r>
            <w:r>
              <w:rPr>
                <w:rFonts w:ascii="Calibri"/>
                <w:sz w:val="18"/>
              </w:rPr>
              <w:t>klasa,</w:t>
            </w:r>
            <w:r>
              <w:rPr>
                <w:rFonts w:ascii="Calibri"/>
                <w:spacing w:val="-2"/>
                <w:sz w:val="18"/>
              </w:rPr>
              <w:t> </w:t>
            </w:r>
            <w:r>
              <w:rPr>
                <w:rFonts w:ascii="Calibri"/>
                <w:sz w:val="18"/>
              </w:rPr>
              <w:t>sistem</w:t>
            </w:r>
            <w:r>
              <w:rPr>
                <w:rFonts w:ascii="Calibri"/>
                <w:spacing w:val="-3"/>
                <w:sz w:val="18"/>
              </w:rPr>
              <w:t> </w:t>
            </w:r>
            <w:r>
              <w:rPr>
                <w:rFonts w:ascii="Calibri"/>
                <w:sz w:val="18"/>
              </w:rPr>
              <w:t>i</w:t>
            </w:r>
            <w:r>
              <w:rPr>
                <w:rFonts w:ascii="Calibri"/>
                <w:spacing w:val="-1"/>
                <w:sz w:val="18"/>
              </w:rPr>
              <w:t> </w:t>
            </w:r>
            <w:r>
              <w:rPr>
                <w:rFonts w:ascii="Calibri"/>
                <w:spacing w:val="-5"/>
                <w:sz w:val="18"/>
              </w:rPr>
              <w:t>ri</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tabs>
                <w:tab w:pos="816" w:val="left" w:leader="none"/>
              </w:tabs>
              <w:spacing w:before="3"/>
              <w:ind w:left="60"/>
              <w:rPr>
                <w:rFonts w:ascii="Calibri"/>
                <w:sz w:val="18"/>
              </w:rPr>
            </w:pPr>
            <w:r>
              <w:rPr>
                <w:rFonts w:ascii="Calibri"/>
                <w:spacing w:val="-5"/>
                <w:sz w:val="18"/>
              </w:rPr>
              <w:t>12</w:t>
            </w:r>
            <w:r>
              <w:rPr>
                <w:rFonts w:ascii="Calibri"/>
                <w:sz w:val="18"/>
              </w:rPr>
              <w:tab/>
            </w:r>
            <w:r>
              <w:rPr>
                <w:rFonts w:ascii="Calibri"/>
                <w:spacing w:val="-2"/>
                <w:sz w:val="18"/>
              </w:rPr>
              <w:t>klasa</w:t>
            </w:r>
          </w:p>
          <w:p>
            <w:pPr>
              <w:pStyle w:val="TableParagraph"/>
              <w:spacing w:before="5"/>
              <w:ind w:left="88"/>
              <w:rPr>
                <w:rFonts w:ascii="Calibri" w:hAnsi="Calibri"/>
                <w:sz w:val="18"/>
              </w:rPr>
            </w:pPr>
            <w:r>
              <w:rPr>
                <w:rFonts w:ascii="Calibri" w:hAnsi="Calibri"/>
                <w:sz w:val="18"/>
              </w:rPr>
              <w:t>sistemi</w:t>
            </w:r>
            <w:r>
              <w:rPr>
                <w:rFonts w:ascii="Calibri" w:hAnsi="Calibri"/>
                <w:spacing w:val="-4"/>
                <w:sz w:val="18"/>
              </w:rPr>
              <w:t> </w:t>
            </w:r>
            <w:r>
              <w:rPr>
                <w:rFonts w:ascii="Calibri" w:hAnsi="Calibri"/>
                <w:sz w:val="18"/>
              </w:rPr>
              <w:t>i</w:t>
            </w:r>
            <w:r>
              <w:rPr>
                <w:rFonts w:ascii="Calibri" w:hAnsi="Calibri"/>
                <w:spacing w:val="-4"/>
                <w:sz w:val="18"/>
              </w:rPr>
              <w:t> </w:t>
            </w:r>
            <w:r>
              <w:rPr>
                <w:rFonts w:ascii="Calibri" w:hAnsi="Calibri"/>
                <w:spacing w:val="-2"/>
                <w:sz w:val="18"/>
              </w:rPr>
              <w:t>vjetër</w:t>
            </w:r>
          </w:p>
        </w:tc>
        <w:tc>
          <w:tcPr>
            <w:tcW w:w="63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tabs>
                <w:tab w:pos="795" w:val="left" w:leader="none"/>
              </w:tabs>
              <w:spacing w:line="244" w:lineRule="auto" w:before="2"/>
              <w:ind w:left="270" w:right="99" w:hanging="232"/>
              <w:rPr>
                <w:rFonts w:ascii="Calibri"/>
                <w:sz w:val="18"/>
              </w:rPr>
            </w:pPr>
            <w:r>
              <w:rPr>
                <w:rFonts w:ascii="Calibri"/>
                <w:spacing w:val="-6"/>
                <w:sz w:val="18"/>
              </w:rPr>
              <w:t>12</w:t>
            </w:r>
            <w:r>
              <w:rPr>
                <w:rFonts w:ascii="Calibri"/>
                <w:sz w:val="18"/>
              </w:rPr>
              <w:tab/>
              <w:tab/>
            </w:r>
            <w:r>
              <w:rPr>
                <w:rFonts w:ascii="Calibri"/>
                <w:spacing w:val="-2"/>
                <w:sz w:val="18"/>
              </w:rPr>
              <w:t>klasa,</w:t>
            </w:r>
            <w:r>
              <w:rPr>
                <w:rFonts w:ascii="Calibri"/>
                <w:sz w:val="18"/>
              </w:rPr>
              <w:t> sistem i ri</w:t>
            </w:r>
          </w:p>
        </w:tc>
        <w:tc>
          <w:tcPr>
            <w:tcW w:w="541" w:type="dxa"/>
            <w:tcBorders>
              <w:top w:val="single" w:sz="6" w:space="0" w:color="000000"/>
              <w:left w:val="single" w:sz="6" w:space="0" w:color="000000"/>
              <w:bottom w:val="single" w:sz="6" w:space="0" w:color="000000"/>
              <w:right w:val="single" w:sz="6" w:space="0" w:color="000000"/>
            </w:tcBorders>
            <w:shd w:val="clear" w:color="auto" w:fill="EAB8A3"/>
            <w:textDirection w:val="btLr"/>
          </w:tcPr>
          <w:p>
            <w:pPr>
              <w:pStyle w:val="TableParagraph"/>
              <w:spacing w:before="1"/>
              <w:ind w:left="398"/>
              <w:rPr>
                <w:rFonts w:ascii="Calibri"/>
                <w:sz w:val="18"/>
              </w:rPr>
            </w:pPr>
            <w:r>
              <w:rPr>
                <w:rFonts w:ascii="Calibri"/>
                <w:spacing w:val="-2"/>
                <w:sz w:val="18"/>
              </w:rPr>
              <w:t>Kolegj</w:t>
            </w:r>
          </w:p>
        </w:tc>
        <w:tc>
          <w:tcPr>
            <w:tcW w:w="541" w:type="dxa"/>
            <w:vMerge/>
            <w:tcBorders>
              <w:top w:val="nil"/>
              <w:left w:val="single" w:sz="6" w:space="0" w:color="000000"/>
              <w:bottom w:val="single" w:sz="6" w:space="0" w:color="000000"/>
              <w:right w:val="single" w:sz="6" w:space="0" w:color="000000"/>
            </w:tcBorders>
            <w:shd w:val="clear" w:color="auto" w:fill="EAB8A3"/>
            <w:textDirection w:val="btLr"/>
          </w:tcPr>
          <w:p>
            <w:pPr>
              <w:rPr>
                <w:sz w:val="2"/>
                <w:szCs w:val="2"/>
              </w:rPr>
            </w:pPr>
          </w:p>
        </w:tc>
        <w:tc>
          <w:tcPr>
            <w:tcW w:w="451" w:type="dxa"/>
            <w:vMerge/>
            <w:tcBorders>
              <w:top w:val="nil"/>
              <w:left w:val="single" w:sz="6" w:space="0" w:color="000000"/>
              <w:bottom w:val="single" w:sz="6" w:space="0" w:color="000000"/>
              <w:right w:val="single" w:sz="6" w:space="0" w:color="000000"/>
            </w:tcBorders>
            <w:shd w:val="clear" w:color="auto" w:fill="EAB8A3"/>
            <w:textDirection w:val="btLr"/>
          </w:tcPr>
          <w:p>
            <w:pPr>
              <w:rPr>
                <w:sz w:val="2"/>
                <w:szCs w:val="2"/>
              </w:rPr>
            </w:pPr>
          </w:p>
        </w:tc>
        <w:tc>
          <w:tcPr>
            <w:tcW w:w="451" w:type="dxa"/>
            <w:vMerge/>
            <w:tcBorders>
              <w:top w:val="nil"/>
              <w:left w:val="single" w:sz="6" w:space="0" w:color="000000"/>
              <w:bottom w:val="single" w:sz="6" w:space="0" w:color="000000"/>
              <w:right w:val="single" w:sz="6" w:space="0" w:color="000000"/>
            </w:tcBorders>
            <w:shd w:val="clear" w:color="auto" w:fill="EAB8A3"/>
            <w:textDirection w:val="btLr"/>
          </w:tcPr>
          <w:p>
            <w:pPr>
              <w:rPr>
                <w:sz w:val="2"/>
                <w:szCs w:val="2"/>
              </w:rPr>
            </w:pPr>
          </w:p>
        </w:tc>
        <w:tc>
          <w:tcPr>
            <w:tcW w:w="1801" w:type="dxa"/>
            <w:vMerge/>
            <w:tcBorders>
              <w:top w:val="nil"/>
              <w:left w:val="single" w:sz="6" w:space="0" w:color="000000"/>
              <w:bottom w:val="single" w:sz="6" w:space="0" w:color="000000"/>
            </w:tcBorders>
            <w:shd w:val="clear" w:color="auto" w:fill="EAB8A3"/>
            <w:textDirection w:val="btLr"/>
          </w:tcPr>
          <w:p>
            <w:pPr>
              <w:rPr>
                <w:sz w:val="2"/>
                <w:szCs w:val="2"/>
              </w:rPr>
            </w:pPr>
          </w:p>
        </w:tc>
      </w:tr>
      <w:tr>
        <w:trPr>
          <w:trHeight w:val="336" w:hRule="atLeast"/>
        </w:trPr>
        <w:tc>
          <w:tcPr>
            <w:tcW w:w="1005" w:type="dxa"/>
            <w:tcBorders>
              <w:top w:val="single" w:sz="6" w:space="0" w:color="000000"/>
              <w:bottom w:val="single" w:sz="6" w:space="0" w:color="000000"/>
              <w:right w:val="single" w:sz="6" w:space="0" w:color="000000"/>
            </w:tcBorders>
          </w:tcPr>
          <w:p>
            <w:pPr>
              <w:pStyle w:val="TableParagraph"/>
              <w:ind w:left="101"/>
              <w:jc w:val="center"/>
              <w:rPr>
                <w:rFonts w:ascii="Calibri"/>
                <w:sz w:val="18"/>
              </w:rPr>
            </w:pPr>
            <w:r>
              <w:rPr>
                <w:rFonts w:ascii="Calibri"/>
                <w:sz w:val="18"/>
              </w:rPr>
              <w:t>Hani</w:t>
            </w:r>
            <w:r>
              <w:rPr>
                <w:rFonts w:ascii="Calibri"/>
                <w:spacing w:val="-2"/>
                <w:sz w:val="18"/>
              </w:rPr>
              <w:t> </w:t>
            </w:r>
            <w:r>
              <w:rPr>
                <w:rFonts w:ascii="Calibri"/>
                <w:sz w:val="18"/>
              </w:rPr>
              <w:t>i</w:t>
            </w:r>
            <w:r>
              <w:rPr>
                <w:rFonts w:ascii="Calibri"/>
                <w:spacing w:val="-1"/>
                <w:sz w:val="18"/>
              </w:rPr>
              <w:t> </w:t>
            </w:r>
            <w:r>
              <w:rPr>
                <w:rFonts w:ascii="Calibri"/>
                <w:spacing w:val="-2"/>
                <w:sz w:val="18"/>
              </w:rPr>
              <w:t>Elezit</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11" w:right="24"/>
              <w:jc w:val="center"/>
              <w:rPr>
                <w:rFonts w:ascii="Calibri"/>
                <w:sz w:val="18"/>
              </w:rPr>
            </w:pPr>
            <w:r>
              <w:rPr>
                <w:rFonts w:ascii="Calibri"/>
                <w:spacing w:val="-5"/>
                <w:sz w:val="18"/>
              </w:rPr>
              <w:t>402</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68"/>
              <w:rPr>
                <w:rFonts w:ascii="Calibri"/>
                <w:sz w:val="18"/>
              </w:rPr>
            </w:pPr>
            <w:r>
              <w:rPr>
                <w:rFonts w:ascii="Calibri"/>
                <w:spacing w:val="-5"/>
                <w:sz w:val="18"/>
              </w:rPr>
              <w:t>299</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32" w:right="49"/>
              <w:jc w:val="center"/>
              <w:rPr>
                <w:rFonts w:ascii="Calibri"/>
                <w:sz w:val="18"/>
              </w:rPr>
            </w:pPr>
            <w:r>
              <w:rPr>
                <w:rFonts w:ascii="Calibri"/>
                <w:spacing w:val="-5"/>
                <w:sz w:val="18"/>
              </w:rPr>
              <w:t>762</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66"/>
              <w:rPr>
                <w:rFonts w:ascii="Calibri"/>
                <w:sz w:val="18"/>
              </w:rPr>
            </w:pPr>
            <w:r>
              <w:rPr>
                <w:rFonts w:ascii="Calibri"/>
                <w:spacing w:val="-5"/>
                <w:sz w:val="18"/>
              </w:rPr>
              <w:t>750</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100" w:right="22"/>
              <w:jc w:val="center"/>
              <w:rPr>
                <w:rFonts w:ascii="Calibri"/>
                <w:sz w:val="18"/>
              </w:rPr>
            </w:pPr>
            <w:r>
              <w:rPr>
                <w:rFonts w:ascii="Calibri"/>
                <w:spacing w:val="-4"/>
                <w:sz w:val="18"/>
              </w:rPr>
              <w:t>2076</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64"/>
              <w:rPr>
                <w:rFonts w:ascii="Calibri"/>
                <w:sz w:val="18"/>
              </w:rPr>
            </w:pPr>
            <w:r>
              <w:rPr>
                <w:rFonts w:ascii="Calibri"/>
                <w:spacing w:val="-5"/>
                <w:sz w:val="18"/>
              </w:rPr>
              <w:t>773</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18"/>
              <w:rPr>
                <w:rFonts w:ascii="Calibri"/>
                <w:sz w:val="18"/>
              </w:rPr>
            </w:pPr>
            <w:r>
              <w:rPr>
                <w:rFonts w:ascii="Calibri"/>
                <w:spacing w:val="-4"/>
                <w:sz w:val="18"/>
              </w:rPr>
              <w:t>1537</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100" w:right="28"/>
              <w:jc w:val="center"/>
              <w:rPr>
                <w:rFonts w:ascii="Calibri"/>
                <w:sz w:val="18"/>
              </w:rPr>
            </w:pPr>
            <w:r>
              <w:rPr>
                <w:rFonts w:ascii="Calibri"/>
                <w:spacing w:val="-5"/>
                <w:sz w:val="18"/>
              </w:rPr>
              <w:t>662</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207"/>
              <w:rPr>
                <w:rFonts w:ascii="Calibri"/>
                <w:sz w:val="18"/>
              </w:rPr>
            </w:pPr>
            <w:r>
              <w:rPr>
                <w:rFonts w:ascii="Calibri"/>
                <w:spacing w:val="-5"/>
                <w:sz w:val="18"/>
              </w:rPr>
              <w:t>78</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11" w:right="41"/>
              <w:jc w:val="center"/>
              <w:rPr>
                <w:rFonts w:ascii="Calibri"/>
                <w:sz w:val="18"/>
              </w:rPr>
            </w:pPr>
            <w:r>
              <w:rPr>
                <w:rFonts w:ascii="Calibri"/>
                <w:spacing w:val="-5"/>
                <w:sz w:val="18"/>
              </w:rPr>
              <w:t>205</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160"/>
              <w:rPr>
                <w:rFonts w:ascii="Calibri"/>
                <w:sz w:val="18"/>
              </w:rPr>
            </w:pPr>
            <w:r>
              <w:rPr>
                <w:rFonts w:ascii="Calibri"/>
                <w:spacing w:val="-5"/>
                <w:sz w:val="18"/>
              </w:rPr>
              <w:t>13</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204"/>
              <w:rPr>
                <w:rFonts w:ascii="Calibri"/>
                <w:sz w:val="18"/>
              </w:rPr>
            </w:pPr>
            <w:r>
              <w:rPr>
                <w:rFonts w:ascii="Calibri"/>
                <w:sz w:val="18"/>
              </w:rPr>
              <w:t>1</w:t>
            </w:r>
          </w:p>
        </w:tc>
        <w:tc>
          <w:tcPr>
            <w:tcW w:w="1801" w:type="dxa"/>
            <w:tcBorders>
              <w:top w:val="single" w:sz="6" w:space="0" w:color="000000"/>
              <w:left w:val="single" w:sz="6" w:space="0" w:color="000000"/>
              <w:bottom w:val="single" w:sz="6" w:space="0" w:color="000000"/>
            </w:tcBorders>
          </w:tcPr>
          <w:p>
            <w:pPr>
              <w:pStyle w:val="TableParagraph"/>
              <w:ind w:left="643" w:right="597"/>
              <w:jc w:val="center"/>
              <w:rPr>
                <w:rFonts w:ascii="Calibri"/>
                <w:sz w:val="18"/>
              </w:rPr>
            </w:pPr>
            <w:r>
              <w:rPr>
                <w:rFonts w:ascii="Calibri"/>
                <w:spacing w:val="-2"/>
                <w:sz w:val="18"/>
              </w:rPr>
              <w:t>7,5585</w:t>
            </w:r>
          </w:p>
        </w:tc>
      </w:tr>
      <w:tr>
        <w:trPr>
          <w:trHeight w:val="340" w:hRule="atLeast"/>
        </w:trPr>
        <w:tc>
          <w:tcPr>
            <w:tcW w:w="1005" w:type="dxa"/>
            <w:tcBorders>
              <w:top w:val="single" w:sz="6" w:space="0" w:color="000000"/>
              <w:bottom w:val="single" w:sz="6" w:space="0" w:color="000000"/>
              <w:right w:val="single" w:sz="6" w:space="0" w:color="000000"/>
            </w:tcBorders>
          </w:tcPr>
          <w:p>
            <w:pPr>
              <w:pStyle w:val="TableParagraph"/>
              <w:ind w:left="102"/>
              <w:jc w:val="center"/>
              <w:rPr>
                <w:rFonts w:ascii="Calibri"/>
                <w:sz w:val="18"/>
              </w:rPr>
            </w:pPr>
            <w:r>
              <w:rPr>
                <w:rFonts w:ascii="Calibri"/>
                <w:sz w:val="18"/>
              </w:rPr>
              <w:t>%</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11" w:right="24"/>
              <w:jc w:val="center"/>
              <w:rPr>
                <w:rFonts w:ascii="Calibri"/>
                <w:sz w:val="18"/>
              </w:rPr>
            </w:pPr>
            <w:r>
              <w:rPr>
                <w:rFonts w:ascii="Calibri"/>
                <w:spacing w:val="-5"/>
                <w:sz w:val="18"/>
              </w:rPr>
              <w:t>5.3</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91"/>
              <w:rPr>
                <w:rFonts w:ascii="Calibri"/>
                <w:sz w:val="18"/>
              </w:rPr>
            </w:pPr>
            <w:r>
              <w:rPr>
                <w:rFonts w:ascii="Calibri"/>
                <w:spacing w:val="-5"/>
                <w:sz w:val="18"/>
              </w:rPr>
              <w:t>4.0</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32" w:right="49"/>
              <w:jc w:val="center"/>
              <w:rPr>
                <w:rFonts w:ascii="Calibri"/>
                <w:sz w:val="18"/>
              </w:rPr>
            </w:pPr>
            <w:r>
              <w:rPr>
                <w:rFonts w:ascii="Calibri"/>
                <w:spacing w:val="-4"/>
                <w:sz w:val="18"/>
              </w:rPr>
              <w:t>10.1</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89"/>
              <w:rPr>
                <w:rFonts w:ascii="Calibri"/>
                <w:sz w:val="18"/>
              </w:rPr>
            </w:pPr>
            <w:r>
              <w:rPr>
                <w:rFonts w:ascii="Calibri"/>
                <w:spacing w:val="-5"/>
                <w:sz w:val="18"/>
              </w:rPr>
              <w:t>9,9</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100" w:right="22"/>
              <w:jc w:val="center"/>
              <w:rPr>
                <w:rFonts w:ascii="Calibri"/>
                <w:sz w:val="18"/>
              </w:rPr>
            </w:pPr>
            <w:r>
              <w:rPr>
                <w:rFonts w:ascii="Calibri"/>
                <w:spacing w:val="-2"/>
                <w:sz w:val="18"/>
              </w:rPr>
              <w:t>27.47</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42"/>
              <w:rPr>
                <w:rFonts w:ascii="Calibri"/>
                <w:sz w:val="18"/>
              </w:rPr>
            </w:pPr>
            <w:r>
              <w:rPr>
                <w:rFonts w:ascii="Calibri"/>
                <w:spacing w:val="-4"/>
                <w:sz w:val="18"/>
              </w:rPr>
              <w:t>10.2</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41"/>
              <w:rPr>
                <w:rFonts w:ascii="Calibri"/>
                <w:sz w:val="18"/>
              </w:rPr>
            </w:pPr>
            <w:r>
              <w:rPr>
                <w:rFonts w:ascii="Calibri"/>
                <w:spacing w:val="-4"/>
                <w:sz w:val="18"/>
              </w:rPr>
              <w:t>20.3</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100" w:right="28"/>
              <w:jc w:val="center"/>
              <w:rPr>
                <w:rFonts w:ascii="Calibri"/>
                <w:sz w:val="18"/>
              </w:rPr>
            </w:pPr>
            <w:r>
              <w:rPr>
                <w:rFonts w:ascii="Calibri"/>
                <w:spacing w:val="-5"/>
                <w:sz w:val="18"/>
              </w:rPr>
              <w:t>8.8</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85"/>
              <w:rPr>
                <w:rFonts w:ascii="Calibri"/>
                <w:sz w:val="18"/>
              </w:rPr>
            </w:pPr>
            <w:r>
              <w:rPr>
                <w:rFonts w:ascii="Calibri"/>
                <w:spacing w:val="-5"/>
                <w:sz w:val="18"/>
              </w:rPr>
              <w:t>1.0</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111" w:right="41"/>
              <w:jc w:val="center"/>
              <w:rPr>
                <w:rFonts w:ascii="Calibri"/>
                <w:sz w:val="18"/>
              </w:rPr>
            </w:pPr>
            <w:r>
              <w:rPr>
                <w:rFonts w:ascii="Calibri"/>
                <w:spacing w:val="-5"/>
                <w:sz w:val="18"/>
              </w:rPr>
              <w:t>2.7</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137"/>
              <w:rPr>
                <w:rFonts w:ascii="Calibri"/>
                <w:sz w:val="18"/>
              </w:rPr>
            </w:pPr>
            <w:r>
              <w:rPr>
                <w:rFonts w:ascii="Calibri"/>
                <w:spacing w:val="-5"/>
                <w:sz w:val="18"/>
              </w:rPr>
              <w:t>0.2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204"/>
              <w:rPr>
                <w:rFonts w:ascii="Calibri"/>
                <w:sz w:val="18"/>
              </w:rPr>
            </w:pPr>
            <w:r>
              <w:rPr>
                <w:rFonts w:ascii="Calibri"/>
                <w:sz w:val="18"/>
              </w:rPr>
              <w:t>0</w:t>
            </w:r>
          </w:p>
        </w:tc>
        <w:tc>
          <w:tcPr>
            <w:tcW w:w="1801" w:type="dxa"/>
            <w:tcBorders>
              <w:top w:val="single" w:sz="6" w:space="0" w:color="000000"/>
              <w:left w:val="single" w:sz="6" w:space="0" w:color="000000"/>
              <w:bottom w:val="single" w:sz="6" w:space="0" w:color="000000"/>
            </w:tcBorders>
          </w:tcPr>
          <w:p>
            <w:pPr>
              <w:pStyle w:val="TableParagraph"/>
              <w:ind w:left="643" w:right="596"/>
              <w:jc w:val="center"/>
              <w:rPr>
                <w:rFonts w:ascii="Calibri"/>
                <w:sz w:val="18"/>
              </w:rPr>
            </w:pPr>
            <w:r>
              <w:rPr>
                <w:rFonts w:ascii="Calibri"/>
                <w:spacing w:val="-5"/>
                <w:sz w:val="18"/>
              </w:rPr>
              <w:t>100</w:t>
            </w:r>
          </w:p>
        </w:tc>
      </w:tr>
      <w:tr>
        <w:trPr>
          <w:trHeight w:val="340" w:hRule="atLeast"/>
        </w:trPr>
        <w:tc>
          <w:tcPr>
            <w:tcW w:w="1005" w:type="dxa"/>
            <w:tcBorders>
              <w:top w:val="single" w:sz="6" w:space="0" w:color="000000"/>
              <w:bottom w:val="single" w:sz="6" w:space="0" w:color="000000"/>
              <w:right w:val="single" w:sz="6" w:space="0" w:color="000000"/>
            </w:tcBorders>
          </w:tcPr>
          <w:p>
            <w:pPr>
              <w:pStyle w:val="TableParagraph"/>
              <w:ind w:left="103"/>
              <w:jc w:val="center"/>
              <w:rPr>
                <w:rFonts w:ascii="Calibri" w:hAnsi="Calibri"/>
                <w:sz w:val="18"/>
              </w:rPr>
            </w:pPr>
            <w:r>
              <w:rPr>
                <w:rFonts w:ascii="Calibri" w:hAnsi="Calibri"/>
                <w:spacing w:val="-2"/>
                <w:sz w:val="18"/>
              </w:rPr>
              <w:t>Kosovë</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8" w:right="-15"/>
              <w:jc w:val="center"/>
              <w:rPr>
                <w:rFonts w:ascii="Calibri"/>
                <w:sz w:val="18"/>
              </w:rPr>
            </w:pPr>
            <w:r>
              <w:rPr>
                <w:rFonts w:ascii="Calibri"/>
                <w:spacing w:val="-2"/>
                <w:sz w:val="18"/>
              </w:rPr>
              <w:t>43702</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7" w:right="-15"/>
              <w:rPr>
                <w:rFonts w:ascii="Calibri"/>
                <w:sz w:val="18"/>
              </w:rPr>
            </w:pPr>
            <w:r>
              <w:rPr>
                <w:rFonts w:ascii="Calibri"/>
                <w:spacing w:val="-2"/>
                <w:sz w:val="18"/>
              </w:rPr>
              <w:t>43827</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6" w:right="-15"/>
              <w:jc w:val="center"/>
              <w:rPr>
                <w:rFonts w:ascii="Calibri"/>
                <w:sz w:val="18"/>
              </w:rPr>
            </w:pPr>
            <w:r>
              <w:rPr>
                <w:rFonts w:ascii="Calibri"/>
                <w:spacing w:val="-2"/>
                <w:sz w:val="18"/>
              </w:rPr>
              <w:t>71623</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5" w:right="-15"/>
              <w:rPr>
                <w:rFonts w:ascii="Calibri"/>
                <w:sz w:val="18"/>
              </w:rPr>
            </w:pPr>
            <w:r>
              <w:rPr>
                <w:rFonts w:ascii="Calibri"/>
                <w:spacing w:val="-2"/>
                <w:sz w:val="18"/>
              </w:rPr>
              <w:t>70948</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73" w:right="-15"/>
              <w:jc w:val="center"/>
              <w:rPr>
                <w:rFonts w:ascii="Calibri"/>
                <w:sz w:val="18"/>
              </w:rPr>
            </w:pPr>
            <w:r>
              <w:rPr>
                <w:rFonts w:ascii="Calibri"/>
                <w:spacing w:val="-2"/>
                <w:sz w:val="18"/>
              </w:rPr>
              <w:t>210138</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3" w:right="-15"/>
              <w:rPr>
                <w:rFonts w:ascii="Calibri"/>
                <w:sz w:val="18"/>
              </w:rPr>
            </w:pPr>
            <w:r>
              <w:rPr>
                <w:rFonts w:ascii="Calibri"/>
                <w:spacing w:val="-2"/>
                <w:sz w:val="18"/>
              </w:rPr>
              <w:t>77631</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2" w:right="-15"/>
              <w:rPr>
                <w:rFonts w:ascii="Calibri"/>
                <w:sz w:val="18"/>
              </w:rPr>
            </w:pPr>
            <w:r>
              <w:rPr>
                <w:rFonts w:ascii="Calibri"/>
                <w:spacing w:val="-2"/>
                <w:sz w:val="18"/>
              </w:rPr>
              <w:t>98748</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ind w:left="100" w:right="28"/>
              <w:jc w:val="center"/>
              <w:rPr>
                <w:rFonts w:ascii="Calibri"/>
                <w:sz w:val="18"/>
              </w:rPr>
            </w:pPr>
            <w:r>
              <w:rPr>
                <w:rFonts w:ascii="Calibri"/>
                <w:spacing w:val="-2"/>
                <w:sz w:val="18"/>
              </w:rPr>
              <w:t>54395</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1" w:right="-15"/>
              <w:rPr>
                <w:rFonts w:ascii="Calibri"/>
                <w:sz w:val="18"/>
              </w:rPr>
            </w:pPr>
            <w:r>
              <w:rPr>
                <w:rFonts w:ascii="Calibri"/>
                <w:spacing w:val="-2"/>
                <w:sz w:val="18"/>
              </w:rPr>
              <w:t>10640</w:t>
            </w:r>
          </w:p>
        </w:tc>
        <w:tc>
          <w:tcPr>
            <w:tcW w:w="541" w:type="dxa"/>
            <w:tcBorders>
              <w:top w:val="single" w:sz="6" w:space="0" w:color="000000"/>
              <w:left w:val="single" w:sz="6" w:space="0" w:color="000000"/>
              <w:bottom w:val="single" w:sz="6" w:space="0" w:color="000000"/>
              <w:right w:val="single" w:sz="6" w:space="0" w:color="000000"/>
            </w:tcBorders>
          </w:tcPr>
          <w:p>
            <w:pPr>
              <w:pStyle w:val="TableParagraph"/>
              <w:ind w:left="70" w:right="-15"/>
              <w:jc w:val="center"/>
              <w:rPr>
                <w:rFonts w:ascii="Calibri"/>
                <w:sz w:val="18"/>
              </w:rPr>
            </w:pPr>
            <w:r>
              <w:rPr>
                <w:rFonts w:ascii="Calibri"/>
                <w:spacing w:val="-2"/>
                <w:sz w:val="18"/>
              </w:rPr>
              <w:t>29424</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69"/>
              <w:rPr>
                <w:rFonts w:ascii="Calibri"/>
                <w:sz w:val="18"/>
              </w:rPr>
            </w:pPr>
            <w:r>
              <w:rPr>
                <w:rFonts w:ascii="Calibri"/>
                <w:spacing w:val="-4"/>
                <w:sz w:val="18"/>
              </w:rPr>
              <w:t>2811</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ind w:left="113"/>
              <w:rPr>
                <w:rFonts w:ascii="Calibri"/>
                <w:sz w:val="18"/>
              </w:rPr>
            </w:pPr>
            <w:r>
              <w:rPr>
                <w:rFonts w:ascii="Calibri"/>
                <w:spacing w:val="-5"/>
                <w:sz w:val="18"/>
              </w:rPr>
              <w:t>228</w:t>
            </w:r>
          </w:p>
        </w:tc>
        <w:tc>
          <w:tcPr>
            <w:tcW w:w="1801" w:type="dxa"/>
            <w:tcBorders>
              <w:top w:val="single" w:sz="6" w:space="0" w:color="000000"/>
              <w:left w:val="single" w:sz="6" w:space="0" w:color="000000"/>
              <w:bottom w:val="single" w:sz="6" w:space="0" w:color="000000"/>
            </w:tcBorders>
          </w:tcPr>
          <w:p>
            <w:pPr>
              <w:pStyle w:val="TableParagraph"/>
              <w:ind w:left="492"/>
              <w:rPr>
                <w:rFonts w:ascii="Calibri"/>
                <w:sz w:val="18"/>
              </w:rPr>
            </w:pPr>
            <w:r>
              <w:rPr>
                <w:rFonts w:ascii="Calibri"/>
                <w:spacing w:val="-2"/>
                <w:sz w:val="18"/>
              </w:rPr>
              <w:t>1,429,1755</w:t>
            </w:r>
          </w:p>
        </w:tc>
      </w:tr>
      <w:tr>
        <w:trPr>
          <w:trHeight w:val="339" w:hRule="atLeast"/>
        </w:trPr>
        <w:tc>
          <w:tcPr>
            <w:tcW w:w="1005" w:type="dxa"/>
            <w:tcBorders>
              <w:top w:val="single" w:sz="6" w:space="0" w:color="000000"/>
              <w:right w:val="single" w:sz="6" w:space="0" w:color="000000"/>
            </w:tcBorders>
          </w:tcPr>
          <w:p>
            <w:pPr>
              <w:pStyle w:val="TableParagraph"/>
              <w:ind w:right="15"/>
              <w:jc w:val="center"/>
              <w:rPr>
                <w:rFonts w:ascii="Calibri"/>
                <w:sz w:val="18"/>
              </w:rPr>
            </w:pPr>
            <w:r>
              <w:rPr>
                <w:rFonts w:ascii="Calibri"/>
                <w:sz w:val="18"/>
              </w:rPr>
              <w:t>%</w:t>
            </w:r>
          </w:p>
        </w:tc>
        <w:tc>
          <w:tcPr>
            <w:tcW w:w="541" w:type="dxa"/>
            <w:tcBorders>
              <w:top w:val="single" w:sz="6" w:space="0" w:color="000000"/>
              <w:left w:val="single" w:sz="6" w:space="0" w:color="000000"/>
              <w:right w:val="single" w:sz="6" w:space="0" w:color="000000"/>
            </w:tcBorders>
          </w:tcPr>
          <w:p>
            <w:pPr>
              <w:pStyle w:val="TableParagraph"/>
              <w:ind w:left="37" w:right="70"/>
              <w:jc w:val="center"/>
              <w:rPr>
                <w:rFonts w:ascii="Calibri"/>
                <w:sz w:val="18"/>
              </w:rPr>
            </w:pPr>
            <w:r>
              <w:rPr>
                <w:rFonts w:ascii="Calibri"/>
                <w:spacing w:val="-5"/>
                <w:sz w:val="18"/>
              </w:rPr>
              <w:t>6.1</w:t>
            </w:r>
          </w:p>
        </w:tc>
        <w:tc>
          <w:tcPr>
            <w:tcW w:w="541" w:type="dxa"/>
            <w:tcBorders>
              <w:top w:val="single" w:sz="6" w:space="0" w:color="000000"/>
              <w:left w:val="single" w:sz="6" w:space="0" w:color="000000"/>
              <w:right w:val="single" w:sz="6" w:space="0" w:color="000000"/>
            </w:tcBorders>
          </w:tcPr>
          <w:p>
            <w:pPr>
              <w:pStyle w:val="TableParagraph"/>
              <w:ind w:left="130"/>
              <w:rPr>
                <w:rFonts w:ascii="Calibri"/>
                <w:sz w:val="18"/>
              </w:rPr>
            </w:pPr>
            <w:r>
              <w:rPr>
                <w:rFonts w:ascii="Calibri"/>
                <w:spacing w:val="-5"/>
                <w:sz w:val="18"/>
              </w:rPr>
              <w:t>6.1</w:t>
            </w:r>
          </w:p>
        </w:tc>
        <w:tc>
          <w:tcPr>
            <w:tcW w:w="541" w:type="dxa"/>
            <w:tcBorders>
              <w:top w:val="single" w:sz="6" w:space="0" w:color="000000"/>
              <w:left w:val="single" w:sz="6" w:space="0" w:color="000000"/>
              <w:right w:val="single" w:sz="6" w:space="0" w:color="000000"/>
            </w:tcBorders>
          </w:tcPr>
          <w:p>
            <w:pPr>
              <w:pStyle w:val="TableParagraph"/>
              <w:ind w:left="32" w:right="70"/>
              <w:jc w:val="center"/>
              <w:rPr>
                <w:rFonts w:ascii="Calibri"/>
                <w:sz w:val="18"/>
              </w:rPr>
            </w:pPr>
            <w:r>
              <w:rPr>
                <w:rFonts w:ascii="Calibri"/>
                <w:spacing w:val="-5"/>
                <w:sz w:val="18"/>
              </w:rPr>
              <w:t>10</w:t>
            </w:r>
          </w:p>
        </w:tc>
        <w:tc>
          <w:tcPr>
            <w:tcW w:w="541" w:type="dxa"/>
            <w:tcBorders>
              <w:top w:val="single" w:sz="6" w:space="0" w:color="000000"/>
              <w:left w:val="single" w:sz="6" w:space="0" w:color="000000"/>
              <w:right w:val="single" w:sz="6" w:space="0" w:color="000000"/>
            </w:tcBorders>
          </w:tcPr>
          <w:p>
            <w:pPr>
              <w:pStyle w:val="TableParagraph"/>
              <w:ind w:left="128"/>
              <w:rPr>
                <w:rFonts w:ascii="Calibri"/>
                <w:sz w:val="18"/>
              </w:rPr>
            </w:pPr>
            <w:r>
              <w:rPr>
                <w:rFonts w:ascii="Calibri"/>
                <w:spacing w:val="-5"/>
                <w:sz w:val="18"/>
              </w:rPr>
              <w:t>9.9</w:t>
            </w:r>
          </w:p>
        </w:tc>
        <w:tc>
          <w:tcPr>
            <w:tcW w:w="631" w:type="dxa"/>
            <w:tcBorders>
              <w:top w:val="single" w:sz="6" w:space="0" w:color="000000"/>
              <w:left w:val="single" w:sz="6" w:space="0" w:color="000000"/>
              <w:right w:val="single" w:sz="6" w:space="0" w:color="000000"/>
            </w:tcBorders>
          </w:tcPr>
          <w:p>
            <w:pPr>
              <w:pStyle w:val="TableParagraph"/>
              <w:ind w:left="100" w:right="139"/>
              <w:jc w:val="center"/>
              <w:rPr>
                <w:rFonts w:ascii="Calibri"/>
                <w:sz w:val="18"/>
              </w:rPr>
            </w:pPr>
            <w:r>
              <w:rPr>
                <w:rFonts w:ascii="Calibri"/>
                <w:spacing w:val="-4"/>
                <w:sz w:val="18"/>
              </w:rPr>
              <w:t>29.5</w:t>
            </w:r>
          </w:p>
        </w:tc>
        <w:tc>
          <w:tcPr>
            <w:tcW w:w="541" w:type="dxa"/>
            <w:tcBorders>
              <w:top w:val="single" w:sz="6" w:space="0" w:color="000000"/>
              <w:left w:val="single" w:sz="6" w:space="0" w:color="000000"/>
              <w:right w:val="single" w:sz="6" w:space="0" w:color="000000"/>
            </w:tcBorders>
          </w:tcPr>
          <w:p>
            <w:pPr>
              <w:pStyle w:val="TableParagraph"/>
              <w:ind w:left="80"/>
              <w:rPr>
                <w:rFonts w:ascii="Calibri"/>
                <w:sz w:val="18"/>
              </w:rPr>
            </w:pPr>
            <w:r>
              <w:rPr>
                <w:rFonts w:ascii="Calibri"/>
                <w:spacing w:val="-4"/>
                <w:sz w:val="18"/>
              </w:rPr>
              <w:t>10.9</w:t>
            </w:r>
          </w:p>
        </w:tc>
        <w:tc>
          <w:tcPr>
            <w:tcW w:w="541" w:type="dxa"/>
            <w:tcBorders>
              <w:top w:val="single" w:sz="6" w:space="0" w:color="000000"/>
              <w:left w:val="single" w:sz="6" w:space="0" w:color="000000"/>
              <w:right w:val="single" w:sz="6" w:space="0" w:color="000000"/>
            </w:tcBorders>
          </w:tcPr>
          <w:p>
            <w:pPr>
              <w:pStyle w:val="TableParagraph"/>
              <w:ind w:left="79"/>
              <w:rPr>
                <w:rFonts w:ascii="Calibri"/>
                <w:sz w:val="18"/>
              </w:rPr>
            </w:pPr>
            <w:r>
              <w:rPr>
                <w:rFonts w:ascii="Calibri"/>
                <w:spacing w:val="-4"/>
                <w:sz w:val="18"/>
              </w:rPr>
              <w:t>13.8</w:t>
            </w:r>
          </w:p>
        </w:tc>
        <w:tc>
          <w:tcPr>
            <w:tcW w:w="631" w:type="dxa"/>
            <w:tcBorders>
              <w:top w:val="single" w:sz="6" w:space="0" w:color="000000"/>
              <w:left w:val="single" w:sz="6" w:space="0" w:color="000000"/>
              <w:right w:val="single" w:sz="6" w:space="0" w:color="000000"/>
            </w:tcBorders>
          </w:tcPr>
          <w:p>
            <w:pPr>
              <w:pStyle w:val="TableParagraph"/>
              <w:ind w:left="100" w:right="145"/>
              <w:jc w:val="center"/>
              <w:rPr>
                <w:rFonts w:ascii="Calibri"/>
                <w:sz w:val="18"/>
              </w:rPr>
            </w:pPr>
            <w:r>
              <w:rPr>
                <w:rFonts w:ascii="Calibri"/>
                <w:spacing w:val="-5"/>
                <w:sz w:val="18"/>
              </w:rPr>
              <w:t>7.6</w:t>
            </w:r>
          </w:p>
        </w:tc>
        <w:tc>
          <w:tcPr>
            <w:tcW w:w="541" w:type="dxa"/>
            <w:tcBorders>
              <w:top w:val="single" w:sz="6" w:space="0" w:color="000000"/>
              <w:left w:val="single" w:sz="6" w:space="0" w:color="000000"/>
              <w:right w:val="single" w:sz="6" w:space="0" w:color="000000"/>
            </w:tcBorders>
          </w:tcPr>
          <w:p>
            <w:pPr>
              <w:pStyle w:val="TableParagraph"/>
              <w:ind w:left="123"/>
              <w:rPr>
                <w:rFonts w:ascii="Calibri"/>
                <w:sz w:val="18"/>
              </w:rPr>
            </w:pPr>
            <w:r>
              <w:rPr>
                <w:rFonts w:ascii="Calibri"/>
                <w:spacing w:val="-5"/>
                <w:sz w:val="18"/>
              </w:rPr>
              <w:t>1.5</w:t>
            </w:r>
          </w:p>
        </w:tc>
        <w:tc>
          <w:tcPr>
            <w:tcW w:w="541" w:type="dxa"/>
            <w:tcBorders>
              <w:top w:val="single" w:sz="6" w:space="0" w:color="000000"/>
              <w:left w:val="single" w:sz="6" w:space="0" w:color="000000"/>
              <w:right w:val="single" w:sz="6" w:space="0" w:color="000000"/>
            </w:tcBorders>
          </w:tcPr>
          <w:p>
            <w:pPr>
              <w:pStyle w:val="TableParagraph"/>
              <w:ind w:left="20" w:right="70"/>
              <w:jc w:val="center"/>
              <w:rPr>
                <w:rFonts w:ascii="Calibri"/>
                <w:sz w:val="18"/>
              </w:rPr>
            </w:pPr>
            <w:r>
              <w:rPr>
                <w:rFonts w:ascii="Calibri"/>
                <w:spacing w:val="-5"/>
                <w:sz w:val="18"/>
              </w:rPr>
              <w:t>4.1</w:t>
            </w:r>
          </w:p>
        </w:tc>
        <w:tc>
          <w:tcPr>
            <w:tcW w:w="451" w:type="dxa"/>
            <w:tcBorders>
              <w:top w:val="single" w:sz="6" w:space="0" w:color="000000"/>
              <w:left w:val="single" w:sz="6" w:space="0" w:color="000000"/>
              <w:right w:val="single" w:sz="6" w:space="0" w:color="000000"/>
            </w:tcBorders>
          </w:tcPr>
          <w:p>
            <w:pPr>
              <w:pStyle w:val="TableParagraph"/>
              <w:ind w:left="31"/>
              <w:rPr>
                <w:rFonts w:ascii="Calibri"/>
                <w:sz w:val="18"/>
              </w:rPr>
            </w:pPr>
            <w:r>
              <w:rPr>
                <w:rFonts w:ascii="Calibri"/>
                <w:spacing w:val="-4"/>
                <w:sz w:val="18"/>
              </w:rPr>
              <w:t>0.47</w:t>
            </w:r>
          </w:p>
        </w:tc>
        <w:tc>
          <w:tcPr>
            <w:tcW w:w="451" w:type="dxa"/>
            <w:tcBorders>
              <w:top w:val="single" w:sz="6" w:space="0" w:color="000000"/>
              <w:left w:val="single" w:sz="6" w:space="0" w:color="000000"/>
              <w:right w:val="single" w:sz="6" w:space="0" w:color="000000"/>
            </w:tcBorders>
          </w:tcPr>
          <w:p>
            <w:pPr>
              <w:pStyle w:val="TableParagraph"/>
              <w:ind w:left="30"/>
              <w:rPr>
                <w:rFonts w:ascii="Calibri"/>
                <w:sz w:val="18"/>
              </w:rPr>
            </w:pPr>
            <w:r>
              <w:rPr>
                <w:rFonts w:ascii="Calibri"/>
                <w:spacing w:val="-4"/>
                <w:sz w:val="18"/>
              </w:rPr>
              <w:t>0.03</w:t>
            </w:r>
          </w:p>
        </w:tc>
        <w:tc>
          <w:tcPr>
            <w:tcW w:w="1801" w:type="dxa"/>
            <w:tcBorders>
              <w:top w:val="single" w:sz="6" w:space="0" w:color="000000"/>
              <w:left w:val="single" w:sz="6" w:space="0" w:color="000000"/>
            </w:tcBorders>
          </w:tcPr>
          <w:p>
            <w:pPr>
              <w:pStyle w:val="TableParagraph"/>
              <w:ind w:left="527" w:right="597"/>
              <w:jc w:val="center"/>
              <w:rPr>
                <w:rFonts w:ascii="Calibri"/>
                <w:sz w:val="18"/>
              </w:rPr>
            </w:pPr>
            <w:r>
              <w:rPr>
                <w:rFonts w:ascii="Calibri"/>
                <w:spacing w:val="-5"/>
                <w:sz w:val="18"/>
              </w:rPr>
              <w:t>100</w:t>
            </w:r>
          </w:p>
        </w:tc>
      </w:tr>
    </w:tbl>
    <w:p>
      <w:pPr>
        <w:pStyle w:val="BodyText"/>
        <w:ind w:right="725"/>
        <w:jc w:val="center"/>
      </w:pPr>
      <w:r>
        <w:rPr>
          <w:b/>
        </w:rPr>
        <w:t>Tabela</w:t>
      </w:r>
      <w:r>
        <w:rPr>
          <w:b/>
          <w:spacing w:val="-4"/>
        </w:rPr>
        <w:t> </w:t>
      </w:r>
      <w:r>
        <w:rPr>
          <w:b/>
        </w:rPr>
        <w:t>12</w:t>
      </w:r>
      <w:r>
        <w:rPr>
          <w:b/>
          <w:spacing w:val="-3"/>
        </w:rPr>
        <w:t> </w:t>
      </w:r>
      <w:r>
        <w:rPr/>
        <w:t>Niveli</w:t>
      </w:r>
      <w:r>
        <w:rPr>
          <w:spacing w:val="-5"/>
        </w:rPr>
        <w:t> </w:t>
      </w:r>
      <w:r>
        <w:rPr/>
        <w:t>i</w:t>
      </w:r>
      <w:r>
        <w:rPr>
          <w:spacing w:val="-3"/>
        </w:rPr>
        <w:t> </w:t>
      </w:r>
      <w:r>
        <w:rPr/>
        <w:t>arsimimit</w:t>
      </w:r>
      <w:r>
        <w:rPr>
          <w:spacing w:val="-3"/>
        </w:rPr>
        <w:t> </w:t>
      </w:r>
      <w:r>
        <w:rPr/>
        <w:t>në</w:t>
      </w:r>
      <w:r>
        <w:rPr>
          <w:spacing w:val="-3"/>
        </w:rPr>
        <w:t> </w:t>
      </w:r>
      <w:r>
        <w:rPr/>
        <w:t>Han</w:t>
      </w:r>
      <w:r>
        <w:rPr>
          <w:spacing w:val="-3"/>
        </w:rPr>
        <w:t> </w:t>
      </w:r>
      <w:r>
        <w:rPr/>
        <w:t>të</w:t>
      </w:r>
      <w:r>
        <w:rPr>
          <w:spacing w:val="-3"/>
        </w:rPr>
        <w:t> </w:t>
      </w:r>
      <w:r>
        <w:rPr/>
        <w:t>Elezit</w:t>
      </w:r>
      <w:r>
        <w:rPr>
          <w:spacing w:val="-3"/>
        </w:rPr>
        <w:t> </w:t>
      </w:r>
      <w:r>
        <w:rPr/>
        <w:t>dhe</w:t>
      </w:r>
      <w:r>
        <w:rPr>
          <w:spacing w:val="-3"/>
        </w:rPr>
        <w:t> </w:t>
      </w:r>
      <w:r>
        <w:rPr>
          <w:spacing w:val="-2"/>
        </w:rPr>
        <w:t>Kosovë</w:t>
      </w:r>
    </w:p>
    <w:p>
      <w:pPr>
        <w:pStyle w:val="BodyText"/>
        <w:spacing w:before="1"/>
        <w:rPr>
          <w:sz w:val="20"/>
        </w:rPr>
      </w:pPr>
      <w:r>
        <w:rPr/>
        <w:pict>
          <v:rect style="position:absolute;margin-left:72pt;margin-top:12.791202pt;width:144.020pt;height:.65997pt;mso-position-horizontal-relative:page;mso-position-vertical-relative:paragraph;z-index:-15706624;mso-wrap-distance-left:0;mso-wrap-distance-right:0" id="docshape240"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9</w:t>
      </w:r>
      <w:r>
        <w:rPr>
          <w:rFonts w:ascii="Calibri" w:hAnsi="Calibri"/>
          <w:spacing w:val="-2"/>
          <w:sz w:val="20"/>
          <w:vertAlign w:val="baseline"/>
        </w:rPr>
        <w:t> </w:t>
      </w:r>
      <w:r>
        <w:rPr>
          <w:rFonts w:ascii="Calibri" w:hAnsi="Calibri"/>
          <w:sz w:val="20"/>
          <w:vertAlign w:val="baseline"/>
        </w:rPr>
        <w:t>Agjencinë</w:t>
      </w:r>
      <w:r>
        <w:rPr>
          <w:rFonts w:ascii="Calibri" w:hAnsi="Calibri"/>
          <w:spacing w:val="-1"/>
          <w:sz w:val="20"/>
          <w:vertAlign w:val="baseline"/>
        </w:rPr>
        <w:t> </w:t>
      </w:r>
      <w:r>
        <w:rPr>
          <w:rFonts w:ascii="Calibri" w:hAnsi="Calibri"/>
          <w:sz w:val="20"/>
          <w:vertAlign w:val="baseline"/>
        </w:rPr>
        <w:t>e</w:t>
      </w:r>
      <w:r>
        <w:rPr>
          <w:rFonts w:ascii="Calibri" w:hAnsi="Calibri"/>
          <w:spacing w:val="-2"/>
          <w:sz w:val="20"/>
          <w:vertAlign w:val="baseline"/>
        </w:rPr>
        <w:t> </w:t>
      </w:r>
      <w:r>
        <w:rPr>
          <w:rFonts w:ascii="Calibri" w:hAnsi="Calibri"/>
          <w:sz w:val="20"/>
          <w:vertAlign w:val="baseline"/>
        </w:rPr>
        <w:t>Statistikave</w:t>
      </w:r>
      <w:r>
        <w:rPr>
          <w:rFonts w:ascii="Calibri" w:hAnsi="Calibri"/>
          <w:spacing w:val="-2"/>
          <w:sz w:val="20"/>
          <w:vertAlign w:val="baseline"/>
        </w:rPr>
        <w:t> </w:t>
      </w:r>
      <w:r>
        <w:rPr>
          <w:rFonts w:ascii="Calibri" w:hAnsi="Calibri"/>
          <w:sz w:val="20"/>
          <w:vertAlign w:val="baseline"/>
        </w:rPr>
        <w:t>të</w:t>
      </w:r>
      <w:r>
        <w:rPr>
          <w:rFonts w:ascii="Calibri" w:hAnsi="Calibri"/>
          <w:spacing w:val="-1"/>
          <w:sz w:val="20"/>
          <w:vertAlign w:val="baseline"/>
        </w:rPr>
        <w:t> </w:t>
      </w:r>
      <w:r>
        <w:rPr>
          <w:rFonts w:ascii="Calibri" w:hAnsi="Calibri"/>
          <w:spacing w:val="-2"/>
          <w:sz w:val="20"/>
          <w:vertAlign w:val="baseline"/>
        </w:rPr>
        <w:t>Kosovës</w:t>
      </w:r>
    </w:p>
    <w:p>
      <w:pPr>
        <w:spacing w:before="1"/>
        <w:ind w:left="740" w:right="0" w:firstLine="0"/>
        <w:jc w:val="left"/>
        <w:rPr>
          <w:rFonts w:ascii="Calibri" w:hAnsi="Calibri"/>
          <w:sz w:val="20"/>
        </w:rPr>
      </w:pPr>
      <w:r>
        <w:rPr>
          <w:rFonts w:ascii="Calibri" w:hAnsi="Calibri"/>
          <w:sz w:val="20"/>
          <w:vertAlign w:val="superscript"/>
        </w:rPr>
        <w:t>10</w:t>
      </w:r>
      <w:r>
        <w:rPr>
          <w:rFonts w:ascii="Calibri" w:hAnsi="Calibri"/>
          <w:spacing w:val="-3"/>
          <w:sz w:val="20"/>
          <w:vertAlign w:val="baseline"/>
        </w:rPr>
        <w:t> </w:t>
      </w:r>
      <w:r>
        <w:rPr>
          <w:rFonts w:ascii="Calibri" w:hAnsi="Calibri"/>
          <w:sz w:val="20"/>
          <w:vertAlign w:val="baseline"/>
        </w:rPr>
        <w:t>Drejtoria</w:t>
      </w:r>
      <w:r>
        <w:rPr>
          <w:rFonts w:ascii="Calibri" w:hAnsi="Calibri"/>
          <w:spacing w:val="-4"/>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Arsim,</w:t>
      </w:r>
      <w:r>
        <w:rPr>
          <w:rFonts w:ascii="Calibri" w:hAnsi="Calibri"/>
          <w:spacing w:val="-3"/>
          <w:sz w:val="20"/>
          <w:vertAlign w:val="baseline"/>
        </w:rPr>
        <w:t> </w:t>
      </w:r>
      <w:r>
        <w:rPr>
          <w:rFonts w:ascii="Calibri" w:hAnsi="Calibri"/>
          <w:sz w:val="20"/>
          <w:vertAlign w:val="baseline"/>
        </w:rPr>
        <w:t>Kultur,</w:t>
      </w:r>
      <w:r>
        <w:rPr>
          <w:rFonts w:ascii="Calibri" w:hAnsi="Calibri"/>
          <w:spacing w:val="-4"/>
          <w:sz w:val="20"/>
          <w:vertAlign w:val="baseline"/>
        </w:rPr>
        <w:t> </w:t>
      </w:r>
      <w:r>
        <w:rPr>
          <w:rFonts w:ascii="Calibri" w:hAnsi="Calibri"/>
          <w:sz w:val="20"/>
          <w:vertAlign w:val="baseline"/>
        </w:rPr>
        <w:t>Rini</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pacing w:val="-2"/>
          <w:sz w:val="20"/>
          <w:vertAlign w:val="baseline"/>
        </w:rPr>
        <w:t>Sport</w:t>
      </w:r>
    </w:p>
    <w:p>
      <w:pPr>
        <w:spacing w:after="0"/>
        <w:jc w:val="left"/>
        <w:rPr>
          <w:rFonts w:ascii="Calibri" w:hAnsi="Calibri"/>
          <w:sz w:val="20"/>
        </w:rPr>
        <w:sectPr>
          <w:pgSz w:w="12240" w:h="15840"/>
          <w:pgMar w:header="0" w:footer="990" w:top="1440" w:bottom="1180" w:left="700" w:right="0"/>
        </w:sectPr>
      </w:pPr>
    </w:p>
    <w:p>
      <w:pPr>
        <w:pStyle w:val="BodyText"/>
        <w:rPr>
          <w:rFonts w:ascii="Calibri"/>
          <w:sz w:val="20"/>
        </w:rPr>
      </w:pPr>
      <w:r>
        <w:rPr/>
        <w:pict>
          <v:rect style="position:absolute;margin-left:0pt;margin-top:0pt;width:612.0pt;height:791.24994pt;mso-position-horizontal-relative:page;mso-position-vertical-relative:page;z-index:-19973120" id="docshape241" filled="true" fillcolor="#ffefe4" stroked="false">
            <v:fill type="solid"/>
            <w10:wrap type="none"/>
          </v:rect>
        </w:pict>
      </w:r>
      <w:r>
        <w:rPr/>
        <w:pict>
          <v:group style="position:absolute;margin-left:258.260010pt;margin-top:77.230003pt;width:353.75pt;height:81.55pt;mso-position-horizontal-relative:page;mso-position-vertical-relative:page;z-index:15752192" id="docshapegroup242" coordorigin="5165,1545" coordsize="7075,1631">
            <v:rect style="position:absolute;left:5165;top:1544;width:7075;height:1631" id="docshape243" filled="true" fillcolor="#f9c297" stroked="false">
              <v:fill type="solid"/>
            </v:rect>
            <v:shape style="position:absolute;left:5165;top:1544;width:7075;height:1631" type="#_x0000_t202" id="docshape244" filled="false" stroked="false">
              <v:textbox inset="0,0,0,0">
                <w:txbxContent>
                  <w:p>
                    <w:pPr>
                      <w:spacing w:line="598" w:lineRule="exact" w:before="302"/>
                      <w:ind w:left="197" w:right="389" w:firstLine="0"/>
                      <w:jc w:val="center"/>
                      <w:rPr>
                        <w:b/>
                        <w:sz w:val="56"/>
                      </w:rPr>
                    </w:pPr>
                    <w:r>
                      <w:rPr>
                        <w:b/>
                        <w:sz w:val="56"/>
                      </w:rPr>
                      <w:t>Shëndetësia</w:t>
                    </w:r>
                    <w:r>
                      <w:rPr>
                        <w:b/>
                        <w:spacing w:val="-3"/>
                        <w:sz w:val="56"/>
                      </w:rPr>
                      <w:t> </w:t>
                    </w:r>
                    <w:r>
                      <w:rPr>
                        <w:b/>
                        <w:sz w:val="56"/>
                      </w:rPr>
                      <w:t>dhe</w:t>
                    </w:r>
                    <w:r>
                      <w:rPr>
                        <w:b/>
                        <w:spacing w:val="-2"/>
                        <w:sz w:val="56"/>
                      </w:rPr>
                      <w:t> Mirëqenia</w:t>
                    </w:r>
                  </w:p>
                  <w:p>
                    <w:pPr>
                      <w:spacing w:line="598" w:lineRule="exact" w:before="0"/>
                      <w:ind w:left="197" w:right="1138" w:firstLine="0"/>
                      <w:jc w:val="center"/>
                      <w:rPr>
                        <w:b/>
                        <w:sz w:val="56"/>
                      </w:rPr>
                    </w:pPr>
                    <w:r>
                      <w:rPr>
                        <w:b/>
                        <w:spacing w:val="-2"/>
                        <w:sz w:val="56"/>
                      </w:rPr>
                      <w:t>Sociale</w:t>
                    </w:r>
                  </w:p>
                </w:txbxContent>
              </v:textbox>
              <w10:wrap type="none"/>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after="1"/>
        <w:rPr>
          <w:rFonts w:ascii="Calibri"/>
          <w:sz w:val="15"/>
        </w:rPr>
      </w:pPr>
    </w:p>
    <w:p>
      <w:pPr>
        <w:pStyle w:val="BodyText"/>
        <w:ind w:left="353"/>
        <w:rPr>
          <w:rFonts w:ascii="Calibri"/>
          <w:sz w:val="20"/>
        </w:rPr>
      </w:pPr>
      <w:r>
        <w:rPr>
          <w:rFonts w:ascii="Calibri"/>
          <w:sz w:val="20"/>
        </w:rPr>
        <w:pict>
          <v:group style="width:206.85pt;height:205.5pt;mso-position-horizontal-relative:char;mso-position-vertical-relative:line" id="docshapegroup245" coordorigin="0,0" coordsize="4137,4110">
            <v:shape style="position:absolute;left:0;top:0;width:4137;height:4110" id="docshape246" coordorigin="0,0" coordsize="4137,4110" path="m748,877l744,858,735,843,720,833,703,830,370,830,353,833,338,843,329,858,325,877,329,895,338,910,353,920,370,924,703,924,720,920,735,910,744,895,748,877xm2960,457l2948,395,2915,343,2867,309,2808,296,1329,296,1270,309,1221,343,1189,395,1177,457,1177,877,1180,895,1190,910,1204,920,1221,924,1239,920,1253,910,1262,895,1266,877,1266,457,1271,431,1284,410,1304,396,1329,391,2808,391,2832,396,2852,410,2866,431,2871,457,2871,877,2874,895,2884,910,2898,920,2915,924,2933,920,2947,910,2957,895,2960,877,2960,457xm3053,2205l2964,2205,2964,2299,2964,2785,2298,2785,2298,2879,2298,3489,2068,3489,1839,3489,1839,2879,1839,2785,1173,2785,1173,2299,1839,2299,1839,2205,1839,1595,2068,1595,2298,1595,2298,2205,2298,2299,2964,2299,2964,2205,2387,2205,2387,1595,2387,1501,2068,1501,1750,1501,1750,1595,1750,2205,1083,2205,1083,2299,1083,2785,1083,2879,1750,2879,1750,3489,1750,3583,2068,3583,2387,3583,2387,3489,2387,2879,3053,2879,3053,2785,3053,2299,3053,2205xm3290,205l3275,125,3233,60,3171,16,3096,0,1041,0,965,16,904,60,862,125,847,205,847,877,850,895,860,910,874,920,891,924,909,920,923,910,933,895,936,877,936,205,944,162,967,127,1000,103,1041,94,3096,94,3137,103,3170,127,3192,162,3201,205,3201,877,3204,895,3214,910,3228,920,3245,924,3263,920,3277,910,3286,895,3290,877,3290,205xm3811,877l3808,858,3798,843,3784,833,3767,830,3434,830,3416,833,3402,843,3393,858,3389,877,3393,895,3402,910,3416,920,3434,924,3767,924,3784,920,3798,910,3808,895,3811,877xm4137,1179l4121,1100,4080,1035,4047,1011,4047,1179,4047,3905,4039,3948,4017,3983,3983,4007,3943,4016,2068,4016,194,4016,153,4007,120,3983,97,3948,89,3905,89,1179,97,1136,120,1101,153,1077,194,1069,2068,1069,3943,1069,3983,1077,4017,1101,4039,1136,4047,1179,4047,1011,4018,991,3943,974,2068,974,194,974,119,991,57,1035,15,1100,0,1179,0,3905,15,3985,57,4050,119,4094,194,4110,2068,4110,3943,4110,4018,4094,4080,4050,4121,3985,4137,3905,4137,1179xe" filled="true" fillcolor="#b86c31" stroked="false">
              <v:path arrowok="t"/>
              <v:fill type="solid"/>
            </v:shape>
          </v:group>
        </w:pict>
      </w:r>
      <w:r>
        <w:rPr>
          <w:rFonts w:ascii="Calibri"/>
          <w:sz w:val="20"/>
        </w:rPr>
      </w:r>
    </w:p>
    <w:p>
      <w:pPr>
        <w:spacing w:after="0"/>
        <w:rPr>
          <w:rFonts w:ascii="Calibri"/>
          <w:sz w:val="20"/>
        </w:rPr>
        <w:sectPr>
          <w:footerReference w:type="default" r:id="rId59"/>
          <w:pgSz w:w="12240" w:h="15840"/>
          <w:pgMar w:footer="0" w:header="0" w:top="1540" w:bottom="280" w:left="700" w:right="0"/>
        </w:sectPr>
      </w:pPr>
    </w:p>
    <w:p>
      <w:pPr>
        <w:pStyle w:val="Heading1"/>
        <w:numPr>
          <w:ilvl w:val="0"/>
          <w:numId w:val="10"/>
        </w:numPr>
        <w:tabs>
          <w:tab w:pos="869" w:val="left" w:leader="none"/>
        </w:tabs>
        <w:spacing w:line="240" w:lineRule="auto" w:before="102" w:after="0"/>
        <w:ind w:left="868" w:right="0" w:hanging="361"/>
        <w:jc w:val="left"/>
        <w:rPr>
          <w:color w:val="FFFFFF"/>
          <w:sz w:val="24"/>
        </w:rPr>
      </w:pPr>
      <w:r>
        <w:rPr/>
        <w:pict>
          <v:group style="position:absolute;margin-left:-.5pt;margin-top:.5pt;width:354.35pt;height:52.3pt;mso-position-horizontal-relative:page;mso-position-vertical-relative:page;z-index:-19972096" id="docshapegroup247" coordorigin="-10,10" coordsize="7087,1046">
            <v:rect style="position:absolute;left:0;top:20;width:7067;height:1026" id="docshape248" filled="true" fillcolor="#eab9a4" stroked="false">
              <v:fill type="solid"/>
            </v:rect>
            <v:rect style="position:absolute;left:0;top:20;width:7067;height:1026" id="docshape249" filled="false" stroked="true" strokeweight="1.0pt" strokecolor="#eab9a4">
              <v:stroke dashstyle="solid"/>
            </v:rect>
            <w10:wrap type="none"/>
          </v:group>
        </w:pict>
      </w:r>
      <w:r>
        <w:rPr/>
        <w:pict>
          <v:group style="position:absolute;margin-left:282.040009pt;margin-top:.501522pt;width:329.75pt;height:52.25pt;mso-position-horizontal-relative:page;mso-position-vertical-relative:paragraph;z-index:15753216" id="docshapegroup250" coordorigin="5641,10" coordsize="6595,1045">
            <v:rect style="position:absolute;left:7078;top:20;width:5147;height:547" id="docshape251" filled="true" fillcolor="#eab9a4" stroked="false">
              <v:fill type="solid"/>
            </v:rect>
            <v:rect style="position:absolute;left:7078;top:20;width:5147;height:547" id="docshape252" filled="false" stroked="true" strokeweight="1pt" strokecolor="#eab9a4">
              <v:stroke dashstyle="solid"/>
            </v:rect>
            <v:shape style="position:absolute;left:5650;top:31;width:2820;height:1013" id="docshape253" coordorigin="5651,32" coordsize="2820,1013" path="m8471,32l6766,32,5651,1044,7356,1044,8471,32xe" filled="true" fillcolor="#eab9a4" stroked="false">
              <v:path arrowok="t"/>
              <v:fill type="solid"/>
            </v:shape>
            <v:shape style="position:absolute;left:5650;top:31;width:2820;height:1013" id="docshape254" coordorigin="5651,32" coordsize="2820,1013" path="m5651,1044l6766,32,8471,32,7356,1044,5651,1044xe" filled="false" stroked="true" strokeweight="1pt" strokecolor="#eab9a4">
              <v:path arrowok="t"/>
              <v:stroke dashstyle="solid"/>
            </v:shape>
            <w10:wrap type="none"/>
          </v:group>
        </w:pict>
      </w:r>
      <w:r>
        <w:rPr>
          <w:color w:val="FFFFFF"/>
        </w:rPr>
        <w:t>Shëndetësia</w:t>
      </w:r>
      <w:r>
        <w:rPr>
          <w:color w:val="FFFFFF"/>
          <w:spacing w:val="-1"/>
        </w:rPr>
        <w:t> </w:t>
      </w:r>
      <w:r>
        <w:rPr>
          <w:color w:val="FFFFFF"/>
        </w:rPr>
        <w:t>dhe</w:t>
      </w:r>
      <w:r>
        <w:rPr>
          <w:color w:val="FFFFFF"/>
          <w:spacing w:val="-3"/>
        </w:rPr>
        <w:t> </w:t>
      </w:r>
      <w:r>
        <w:rPr>
          <w:color w:val="FFFFFF"/>
        </w:rPr>
        <w:t>mirëqenia</w:t>
      </w:r>
      <w:r>
        <w:rPr>
          <w:color w:val="FFFFFF"/>
          <w:spacing w:val="-1"/>
        </w:rPr>
        <w:t> </w:t>
      </w:r>
      <w:r>
        <w:rPr>
          <w:color w:val="FFFFFF"/>
          <w:spacing w:val="-2"/>
        </w:rPr>
        <w:t>sociale</w:t>
      </w:r>
    </w:p>
    <w:p>
      <w:pPr>
        <w:pStyle w:val="BodyText"/>
        <w:rPr>
          <w:b/>
          <w:sz w:val="20"/>
        </w:rPr>
      </w:pPr>
    </w:p>
    <w:p>
      <w:pPr>
        <w:pStyle w:val="BodyText"/>
        <w:rPr>
          <w:b/>
          <w:sz w:val="20"/>
        </w:rPr>
      </w:pPr>
    </w:p>
    <w:p>
      <w:pPr>
        <w:pStyle w:val="BodyText"/>
        <w:rPr>
          <w:b/>
          <w:sz w:val="20"/>
        </w:rPr>
      </w:pPr>
    </w:p>
    <w:p>
      <w:pPr>
        <w:pStyle w:val="BodyText"/>
        <w:spacing w:before="6"/>
        <w:rPr>
          <w:b/>
          <w:sz w:val="16"/>
        </w:rPr>
      </w:pPr>
    </w:p>
    <w:p>
      <w:pPr>
        <w:pStyle w:val="BodyText"/>
        <w:spacing w:before="90"/>
        <w:ind w:left="704" w:right="1464"/>
        <w:jc w:val="both"/>
      </w:pPr>
      <w:r>
        <w:rPr/>
        <w:t>Shërbimet</w:t>
      </w:r>
      <w:r>
        <w:rPr>
          <w:spacing w:val="-6"/>
        </w:rPr>
        <w:t> </w:t>
      </w:r>
      <w:r>
        <w:rPr/>
        <w:t>e</w:t>
      </w:r>
      <w:r>
        <w:rPr>
          <w:spacing w:val="-7"/>
        </w:rPr>
        <w:t> </w:t>
      </w:r>
      <w:r>
        <w:rPr/>
        <w:t>shëndetësore</w:t>
      </w:r>
      <w:r>
        <w:rPr>
          <w:spacing w:val="-7"/>
        </w:rPr>
        <w:t> </w:t>
      </w:r>
      <w:r>
        <w:rPr/>
        <w:t>në</w:t>
      </w:r>
      <w:r>
        <w:rPr>
          <w:spacing w:val="-7"/>
        </w:rPr>
        <w:t> </w:t>
      </w:r>
      <w:r>
        <w:rPr/>
        <w:t>komunë</w:t>
      </w:r>
      <w:r>
        <w:rPr>
          <w:spacing w:val="-7"/>
        </w:rPr>
        <w:t> </w:t>
      </w:r>
      <w:r>
        <w:rPr/>
        <w:t>kryhen</w:t>
      </w:r>
      <w:r>
        <w:rPr>
          <w:spacing w:val="-7"/>
        </w:rPr>
        <w:t> </w:t>
      </w:r>
      <w:r>
        <w:rPr/>
        <w:t>në</w:t>
      </w:r>
      <w:r>
        <w:rPr>
          <w:spacing w:val="-7"/>
        </w:rPr>
        <w:t> </w:t>
      </w:r>
      <w:r>
        <w:rPr/>
        <w:t>nivelin</w:t>
      </w:r>
      <w:r>
        <w:rPr>
          <w:spacing w:val="-7"/>
        </w:rPr>
        <w:t> </w:t>
      </w:r>
      <w:r>
        <w:rPr/>
        <w:t>parësor,</w:t>
      </w:r>
      <w:r>
        <w:rPr>
          <w:spacing w:val="-7"/>
        </w:rPr>
        <w:t> </w:t>
      </w:r>
      <w:r>
        <w:rPr/>
        <w:t>i</w:t>
      </w:r>
      <w:r>
        <w:rPr>
          <w:spacing w:val="-7"/>
        </w:rPr>
        <w:t> </w:t>
      </w:r>
      <w:r>
        <w:rPr/>
        <w:t>cili</w:t>
      </w:r>
      <w:r>
        <w:rPr>
          <w:spacing w:val="-7"/>
        </w:rPr>
        <w:t> </w:t>
      </w:r>
      <w:r>
        <w:rPr/>
        <w:t>përfshinë</w:t>
      </w:r>
      <w:r>
        <w:rPr>
          <w:spacing w:val="-7"/>
        </w:rPr>
        <w:t> </w:t>
      </w:r>
      <w:r>
        <w:rPr/>
        <w:t>Qendrën</w:t>
      </w:r>
      <w:r>
        <w:rPr>
          <w:spacing w:val="-7"/>
        </w:rPr>
        <w:t> </w:t>
      </w:r>
      <w:r>
        <w:rPr/>
        <w:t>Kryesore të Mjekësisë Familjare (QKMF) në Qytezë dhe Ambulancën e Mjekësisë Familjare (AMF) në Gorancë. QKMF ofron shërbim për të gjithë qytetarët e komunës ndërsa AMF për qytetarët e Gorancës dhe Rezhancës (shih Aneksin</w:t>
      </w:r>
      <w:r>
        <w:rPr>
          <w:spacing w:val="40"/>
        </w:rPr>
        <w:t> </w:t>
      </w:r>
      <w:r>
        <w:rPr/>
        <w:t>Hartën Institucionet shëndetësore).</w:t>
      </w:r>
    </w:p>
    <w:p>
      <w:pPr>
        <w:pStyle w:val="BodyText"/>
        <w:spacing w:before="10"/>
        <w:rPr>
          <w:sz w:val="20"/>
        </w:rPr>
      </w:pPr>
    </w:p>
    <w:p>
      <w:pPr>
        <w:spacing w:before="1"/>
        <w:ind w:left="740" w:right="0" w:firstLine="0"/>
        <w:jc w:val="both"/>
        <w:rPr>
          <w:i/>
          <w:sz w:val="24"/>
        </w:rPr>
      </w:pPr>
      <w:r>
        <w:rPr>
          <w:i/>
          <w:sz w:val="24"/>
        </w:rPr>
        <w:t>Harta</w:t>
      </w:r>
      <w:r>
        <w:rPr>
          <w:i/>
          <w:spacing w:val="-3"/>
          <w:sz w:val="24"/>
        </w:rPr>
        <w:t> </w:t>
      </w:r>
      <w:r>
        <w:rPr>
          <w:i/>
          <w:sz w:val="24"/>
        </w:rPr>
        <w:t>10</w:t>
      </w:r>
      <w:r>
        <w:rPr>
          <w:i/>
          <w:spacing w:val="-2"/>
          <w:sz w:val="24"/>
        </w:rPr>
        <w:t> </w:t>
      </w:r>
      <w:r>
        <w:rPr>
          <w:i/>
          <w:sz w:val="24"/>
        </w:rPr>
        <w:t>Institucionet</w:t>
      </w:r>
      <w:r>
        <w:rPr>
          <w:i/>
          <w:spacing w:val="-2"/>
          <w:sz w:val="24"/>
        </w:rPr>
        <w:t> shëndetësore</w:t>
      </w:r>
    </w:p>
    <w:p>
      <w:pPr>
        <w:pStyle w:val="BodyText"/>
        <w:spacing w:before="10"/>
        <w:rPr>
          <w:i/>
          <w:sz w:val="20"/>
        </w:rPr>
      </w:pPr>
    </w:p>
    <w:p>
      <w:pPr>
        <w:pStyle w:val="BodyText"/>
        <w:ind w:left="740" w:right="1437"/>
        <w:jc w:val="both"/>
      </w:pPr>
      <w:r>
        <w:rPr/>
        <w:t>QKMF</w:t>
      </w:r>
      <w:r>
        <w:rPr>
          <w:spacing w:val="-1"/>
        </w:rPr>
        <w:t> </w:t>
      </w:r>
      <w:r>
        <w:rPr/>
        <w:t>funksionon</w:t>
      </w:r>
      <w:r>
        <w:rPr>
          <w:spacing w:val="-1"/>
        </w:rPr>
        <w:t> </w:t>
      </w:r>
      <w:r>
        <w:rPr/>
        <w:t>në</w:t>
      </w:r>
      <w:r>
        <w:rPr>
          <w:spacing w:val="-1"/>
        </w:rPr>
        <w:t> </w:t>
      </w:r>
      <w:r>
        <w:rPr/>
        <w:t>objektin</w:t>
      </w:r>
      <w:r>
        <w:rPr>
          <w:spacing w:val="-1"/>
        </w:rPr>
        <w:t> </w:t>
      </w:r>
      <w:r>
        <w:rPr/>
        <w:t>e</w:t>
      </w:r>
      <w:r>
        <w:rPr>
          <w:spacing w:val="-1"/>
        </w:rPr>
        <w:t> </w:t>
      </w:r>
      <w:r>
        <w:rPr/>
        <w:t>ndërtuar</w:t>
      </w:r>
      <w:r>
        <w:rPr>
          <w:spacing w:val="-1"/>
        </w:rPr>
        <w:t> </w:t>
      </w:r>
      <w:r>
        <w:rPr/>
        <w:t>gjatë</w:t>
      </w:r>
      <w:r>
        <w:rPr>
          <w:spacing w:val="-2"/>
        </w:rPr>
        <w:t> </w:t>
      </w:r>
      <w:r>
        <w:rPr/>
        <w:t>viteve ’80-ta</w:t>
      </w:r>
      <w:r>
        <w:rPr>
          <w:spacing w:val="-2"/>
        </w:rPr>
        <w:t> </w:t>
      </w:r>
      <w:r>
        <w:rPr/>
        <w:t>dhe</w:t>
      </w:r>
      <w:r>
        <w:rPr>
          <w:spacing w:val="-1"/>
        </w:rPr>
        <w:t> </w:t>
      </w:r>
      <w:r>
        <w:rPr/>
        <w:t>të</w:t>
      </w:r>
      <w:r>
        <w:rPr>
          <w:spacing w:val="-1"/>
        </w:rPr>
        <w:t> </w:t>
      </w:r>
      <w:r>
        <w:rPr/>
        <w:t>shtuar/</w:t>
      </w:r>
      <w:r>
        <w:rPr>
          <w:spacing w:val="-1"/>
        </w:rPr>
        <w:t> </w:t>
      </w:r>
      <w:r>
        <w:rPr/>
        <w:t>rinovuar</w:t>
      </w:r>
      <w:r>
        <w:rPr>
          <w:spacing w:val="-1"/>
        </w:rPr>
        <w:t> </w:t>
      </w:r>
      <w:r>
        <w:rPr/>
        <w:t>disa</w:t>
      </w:r>
      <w:r>
        <w:rPr>
          <w:spacing w:val="-1"/>
        </w:rPr>
        <w:t> </w:t>
      </w:r>
      <w:r>
        <w:rPr/>
        <w:t>herë</w:t>
      </w:r>
      <w:r>
        <w:rPr>
          <w:spacing w:val="-2"/>
        </w:rPr>
        <w:t> </w:t>
      </w:r>
      <w:r>
        <w:rPr/>
        <w:t>pas vitit 2008. Përderisa hapësira e objektit dhe parcelës nuk janë të mjaftueshme, gjendja fizike e objektit është shumë e mirë dhe institucioni ofron shërbime për qytetarët 24 orë në ditë. Aty ofrohen këto shërbime: ekzaminim i përgjithshëm, shërbime infermierie, analiza laboratorike, trajtim urgjent, rreze rëntgen,</w:t>
      </w:r>
      <w:r>
        <w:rPr>
          <w:spacing w:val="40"/>
        </w:rPr>
        <w:t> </w:t>
      </w:r>
      <w:r>
        <w:rPr/>
        <w:t>stomatologji dhe shërbimi i farmacisë. AMF ofron shërbimin e ekzaminimit</w:t>
      </w:r>
      <w:r>
        <w:rPr>
          <w:spacing w:val="-6"/>
        </w:rPr>
        <w:t> </w:t>
      </w:r>
      <w:r>
        <w:rPr/>
        <w:t>të</w:t>
      </w:r>
      <w:r>
        <w:rPr>
          <w:spacing w:val="-5"/>
        </w:rPr>
        <w:t> </w:t>
      </w:r>
      <w:r>
        <w:rPr/>
        <w:t>përgjithshëm</w:t>
      </w:r>
      <w:r>
        <w:rPr>
          <w:spacing w:val="-5"/>
        </w:rPr>
        <w:t> </w:t>
      </w:r>
      <w:r>
        <w:rPr/>
        <w:t>me</w:t>
      </w:r>
      <w:r>
        <w:rPr>
          <w:spacing w:val="-6"/>
        </w:rPr>
        <w:t> </w:t>
      </w:r>
      <w:r>
        <w:rPr/>
        <w:t>mjekun</w:t>
      </w:r>
      <w:r>
        <w:rPr>
          <w:spacing w:val="-6"/>
        </w:rPr>
        <w:t> </w:t>
      </w:r>
      <w:r>
        <w:rPr/>
        <w:t>3</w:t>
      </w:r>
      <w:r>
        <w:rPr>
          <w:spacing w:val="-6"/>
        </w:rPr>
        <w:t> </w:t>
      </w:r>
      <w:r>
        <w:rPr/>
        <w:t>ditë</w:t>
      </w:r>
      <w:r>
        <w:rPr>
          <w:spacing w:val="-7"/>
        </w:rPr>
        <w:t> </w:t>
      </w:r>
      <w:r>
        <w:rPr/>
        <w:t>/</w:t>
      </w:r>
      <w:r>
        <w:rPr>
          <w:spacing w:val="-5"/>
        </w:rPr>
        <w:t> </w:t>
      </w:r>
      <w:r>
        <w:rPr/>
        <w:t>javë</w:t>
      </w:r>
      <w:r>
        <w:rPr>
          <w:spacing w:val="-6"/>
        </w:rPr>
        <w:t> </w:t>
      </w:r>
      <w:r>
        <w:rPr/>
        <w:t>dhe</w:t>
      </w:r>
      <w:r>
        <w:rPr>
          <w:spacing w:val="-6"/>
        </w:rPr>
        <w:t> </w:t>
      </w:r>
      <w:r>
        <w:rPr/>
        <w:t>shërbim</w:t>
      </w:r>
      <w:r>
        <w:rPr>
          <w:spacing w:val="-5"/>
        </w:rPr>
        <w:t> </w:t>
      </w:r>
      <w:r>
        <w:rPr/>
        <w:t>infermierie</w:t>
      </w:r>
      <w:r>
        <w:rPr>
          <w:spacing w:val="-5"/>
        </w:rPr>
        <w:t> </w:t>
      </w:r>
      <w:r>
        <w:rPr/>
        <w:t>5</w:t>
      </w:r>
      <w:r>
        <w:rPr>
          <w:spacing w:val="-5"/>
        </w:rPr>
        <w:t> </w:t>
      </w:r>
      <w:r>
        <w:rPr/>
        <w:t>ditë/</w:t>
      </w:r>
      <w:r>
        <w:rPr>
          <w:spacing w:val="-6"/>
        </w:rPr>
        <w:t> </w:t>
      </w:r>
      <w:r>
        <w:rPr/>
        <w:t>javë.</w:t>
      </w:r>
      <w:r>
        <w:rPr>
          <w:spacing w:val="-3"/>
        </w:rPr>
        <w:t> </w:t>
      </w:r>
      <w:r>
        <w:rPr/>
        <w:t>Objekti është</w:t>
      </w:r>
      <w:r>
        <w:rPr>
          <w:spacing w:val="-2"/>
        </w:rPr>
        <w:t> </w:t>
      </w:r>
      <w:r>
        <w:rPr/>
        <w:t>relativisht</w:t>
      </w:r>
      <w:r>
        <w:rPr>
          <w:spacing w:val="-1"/>
        </w:rPr>
        <w:t> </w:t>
      </w:r>
      <w:r>
        <w:rPr/>
        <w:t>i</w:t>
      </w:r>
      <w:r>
        <w:rPr>
          <w:spacing w:val="-2"/>
        </w:rPr>
        <w:t> </w:t>
      </w:r>
      <w:r>
        <w:rPr/>
        <w:t>ri</w:t>
      </w:r>
      <w:r>
        <w:rPr>
          <w:spacing w:val="-1"/>
        </w:rPr>
        <w:t> </w:t>
      </w:r>
      <w:r>
        <w:rPr/>
        <w:t>dhe</w:t>
      </w:r>
      <w:r>
        <w:rPr>
          <w:spacing w:val="-2"/>
        </w:rPr>
        <w:t> </w:t>
      </w:r>
      <w:r>
        <w:rPr/>
        <w:t>në</w:t>
      </w:r>
      <w:r>
        <w:rPr>
          <w:spacing w:val="-1"/>
        </w:rPr>
        <w:t> </w:t>
      </w:r>
      <w:r>
        <w:rPr/>
        <w:t>gjendje</w:t>
      </w:r>
      <w:r>
        <w:rPr>
          <w:spacing w:val="-1"/>
        </w:rPr>
        <w:t> </w:t>
      </w:r>
      <w:r>
        <w:rPr/>
        <w:t>funksionale</w:t>
      </w:r>
      <w:r>
        <w:rPr>
          <w:spacing w:val="-1"/>
        </w:rPr>
        <w:t> </w:t>
      </w:r>
      <w:r>
        <w:rPr/>
        <w:t>ndërsa</w:t>
      </w:r>
      <w:r>
        <w:rPr>
          <w:spacing w:val="-1"/>
        </w:rPr>
        <w:t> </w:t>
      </w:r>
      <w:r>
        <w:rPr/>
        <w:t>parcela</w:t>
      </w:r>
      <w:r>
        <w:rPr>
          <w:spacing w:val="-1"/>
        </w:rPr>
        <w:t> </w:t>
      </w:r>
      <w:r>
        <w:rPr/>
        <w:t>ka</w:t>
      </w:r>
      <w:r>
        <w:rPr>
          <w:spacing w:val="-2"/>
        </w:rPr>
        <w:t> </w:t>
      </w:r>
      <w:r>
        <w:rPr/>
        <w:t>sipërfaqe</w:t>
      </w:r>
      <w:r>
        <w:rPr>
          <w:spacing w:val="-1"/>
        </w:rPr>
        <w:t> </w:t>
      </w:r>
      <w:r>
        <w:rPr/>
        <w:t>më</w:t>
      </w:r>
      <w:r>
        <w:rPr>
          <w:spacing w:val="-1"/>
        </w:rPr>
        <w:t> </w:t>
      </w:r>
      <w:r>
        <w:rPr/>
        <w:t>se</w:t>
      </w:r>
      <w:r>
        <w:rPr>
          <w:spacing w:val="-2"/>
        </w:rPr>
        <w:t> </w:t>
      </w:r>
      <w:r>
        <w:rPr/>
        <w:t>të</w:t>
      </w:r>
      <w:r>
        <w:rPr>
          <w:spacing w:val="-1"/>
        </w:rPr>
        <w:t> </w:t>
      </w:r>
      <w:r>
        <w:rPr>
          <w:spacing w:val="-2"/>
        </w:rPr>
        <w:t>mjaftueshme.</w:t>
      </w:r>
    </w:p>
    <w:p>
      <w:pPr>
        <w:pStyle w:val="BodyText"/>
        <w:spacing w:before="10"/>
        <w:rPr>
          <w:sz w:val="20"/>
        </w:rPr>
      </w:pPr>
    </w:p>
    <w:p>
      <w:pPr>
        <w:pStyle w:val="BodyText"/>
        <w:ind w:left="740"/>
        <w:jc w:val="both"/>
      </w:pPr>
      <w:r>
        <w:rPr/>
        <w:t>Stafi</w:t>
      </w:r>
      <w:r>
        <w:rPr>
          <w:spacing w:val="-5"/>
        </w:rPr>
        <w:t> </w:t>
      </w:r>
      <w:r>
        <w:rPr/>
        <w:t>shëndetësor</w:t>
      </w:r>
      <w:r>
        <w:rPr>
          <w:spacing w:val="-5"/>
        </w:rPr>
        <w:t> </w:t>
      </w:r>
      <w:r>
        <w:rPr/>
        <w:t>i</w:t>
      </w:r>
      <w:r>
        <w:rPr>
          <w:spacing w:val="-5"/>
        </w:rPr>
        <w:t> </w:t>
      </w:r>
      <w:r>
        <w:rPr/>
        <w:t>punësuar</w:t>
      </w:r>
      <w:r>
        <w:rPr>
          <w:spacing w:val="-4"/>
        </w:rPr>
        <w:t> </w:t>
      </w:r>
      <w:r>
        <w:rPr/>
        <w:t>për</w:t>
      </w:r>
      <w:r>
        <w:rPr>
          <w:spacing w:val="-5"/>
        </w:rPr>
        <w:t> </w:t>
      </w:r>
      <w:r>
        <w:rPr/>
        <w:t>ofrimin</w:t>
      </w:r>
      <w:r>
        <w:rPr>
          <w:spacing w:val="-5"/>
        </w:rPr>
        <w:t> </w:t>
      </w:r>
      <w:r>
        <w:rPr/>
        <w:t>e</w:t>
      </w:r>
      <w:r>
        <w:rPr>
          <w:spacing w:val="-5"/>
        </w:rPr>
        <w:t> </w:t>
      </w:r>
      <w:r>
        <w:rPr/>
        <w:t>shërbimit</w:t>
      </w:r>
      <w:r>
        <w:rPr>
          <w:spacing w:val="-5"/>
        </w:rPr>
        <w:t> </w:t>
      </w:r>
      <w:r>
        <w:rPr/>
        <w:t>shëndetësor</w:t>
      </w:r>
      <w:r>
        <w:rPr>
          <w:spacing w:val="-4"/>
        </w:rPr>
        <w:t> </w:t>
      </w:r>
      <w:r>
        <w:rPr/>
        <w:t>primar</w:t>
      </w:r>
      <w:r>
        <w:rPr>
          <w:spacing w:val="-5"/>
        </w:rPr>
        <w:t> </w:t>
      </w:r>
      <w:r>
        <w:rPr/>
        <w:t>është</w:t>
      </w:r>
      <w:r>
        <w:rPr>
          <w:spacing w:val="-5"/>
        </w:rPr>
        <w:t> </w:t>
      </w:r>
      <w:r>
        <w:rPr/>
        <w:t>si</w:t>
      </w:r>
      <w:r>
        <w:rPr>
          <w:spacing w:val="-4"/>
        </w:rPr>
        <w:t> </w:t>
      </w:r>
      <w:r>
        <w:rPr/>
        <w:t>në</w:t>
      </w:r>
      <w:r>
        <w:rPr>
          <w:spacing w:val="-4"/>
        </w:rPr>
        <w:t> </w:t>
      </w:r>
      <w:r>
        <w:rPr>
          <w:spacing w:val="-2"/>
        </w:rPr>
        <w:t>vijim:</w:t>
      </w:r>
    </w:p>
    <w:p>
      <w:pPr>
        <w:pStyle w:val="BodyText"/>
        <w:spacing w:before="9" w:after="1"/>
        <w:rPr>
          <w:sz w:val="20"/>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31"/>
        <w:gridCol w:w="2070"/>
      </w:tblGrid>
      <w:tr>
        <w:trPr>
          <w:trHeight w:val="244" w:hRule="atLeast"/>
        </w:trPr>
        <w:tc>
          <w:tcPr>
            <w:tcW w:w="9001" w:type="dxa"/>
            <w:gridSpan w:val="2"/>
            <w:shd w:val="clear" w:color="auto" w:fill="EAB8A3"/>
          </w:tcPr>
          <w:p>
            <w:pPr>
              <w:pStyle w:val="TableParagraph"/>
              <w:spacing w:line="224" w:lineRule="exact"/>
              <w:ind w:left="107"/>
              <w:rPr>
                <w:rFonts w:ascii="Calibri" w:hAnsi="Calibri"/>
                <w:sz w:val="20"/>
              </w:rPr>
            </w:pPr>
            <w:r>
              <w:rPr>
                <w:rFonts w:ascii="Calibri" w:hAnsi="Calibri"/>
                <w:sz w:val="20"/>
              </w:rPr>
              <w:t>Stafi</w:t>
            </w:r>
            <w:r>
              <w:rPr>
                <w:rFonts w:ascii="Calibri" w:hAnsi="Calibri"/>
                <w:spacing w:val="-4"/>
                <w:sz w:val="20"/>
              </w:rPr>
              <w:t> </w:t>
            </w:r>
            <w:r>
              <w:rPr>
                <w:rFonts w:ascii="Calibri" w:hAnsi="Calibri"/>
                <w:sz w:val="20"/>
              </w:rPr>
              <w:t>mjekësor</w:t>
            </w:r>
            <w:r>
              <w:rPr>
                <w:rFonts w:ascii="Calibri" w:hAnsi="Calibri"/>
                <w:spacing w:val="-4"/>
                <w:sz w:val="20"/>
              </w:rPr>
              <w:t> </w:t>
            </w:r>
            <w:r>
              <w:rPr>
                <w:rFonts w:ascii="Calibri" w:hAnsi="Calibri"/>
                <w:sz w:val="20"/>
              </w:rPr>
              <w:t>i</w:t>
            </w:r>
            <w:r>
              <w:rPr>
                <w:rFonts w:ascii="Calibri" w:hAnsi="Calibri"/>
                <w:spacing w:val="-3"/>
                <w:sz w:val="20"/>
              </w:rPr>
              <w:t> </w:t>
            </w:r>
            <w:r>
              <w:rPr>
                <w:rFonts w:ascii="Calibri" w:hAnsi="Calibri"/>
                <w:sz w:val="20"/>
              </w:rPr>
              <w:t>QKMF-së</w:t>
            </w:r>
            <w:r>
              <w:rPr>
                <w:rFonts w:ascii="Calibri" w:hAnsi="Calibri"/>
                <w:spacing w:val="-4"/>
                <w:sz w:val="20"/>
              </w:rPr>
              <w:t> </w:t>
            </w:r>
            <w:r>
              <w:rPr>
                <w:rFonts w:ascii="Calibri" w:hAnsi="Calibri"/>
                <w:sz w:val="20"/>
              </w:rPr>
              <w:t>dhe</w:t>
            </w:r>
            <w:r>
              <w:rPr>
                <w:rFonts w:ascii="Calibri" w:hAnsi="Calibri"/>
                <w:spacing w:val="-3"/>
                <w:sz w:val="20"/>
              </w:rPr>
              <w:t> </w:t>
            </w:r>
            <w:r>
              <w:rPr>
                <w:rFonts w:ascii="Calibri" w:hAnsi="Calibri"/>
                <w:sz w:val="20"/>
              </w:rPr>
              <w:t>AMF-</w:t>
            </w:r>
            <w:r>
              <w:rPr>
                <w:rFonts w:ascii="Calibri" w:hAnsi="Calibri"/>
                <w:spacing w:val="-5"/>
                <w:sz w:val="20"/>
              </w:rPr>
              <w:t>së</w:t>
            </w:r>
          </w:p>
        </w:tc>
      </w:tr>
      <w:tr>
        <w:trPr>
          <w:trHeight w:val="243" w:hRule="atLeast"/>
        </w:trPr>
        <w:tc>
          <w:tcPr>
            <w:tcW w:w="6931" w:type="dxa"/>
          </w:tcPr>
          <w:p>
            <w:pPr>
              <w:pStyle w:val="TableParagraph"/>
              <w:spacing w:line="223" w:lineRule="exact"/>
              <w:ind w:left="107"/>
              <w:rPr>
                <w:rFonts w:ascii="Calibri" w:hAnsi="Calibri"/>
                <w:sz w:val="20"/>
              </w:rPr>
            </w:pPr>
            <w:r>
              <w:rPr>
                <w:rFonts w:ascii="Calibri" w:hAnsi="Calibri"/>
                <w:sz w:val="20"/>
              </w:rPr>
              <w:t>Drejtor</w:t>
            </w:r>
            <w:r>
              <w:rPr>
                <w:rFonts w:ascii="Calibri" w:hAnsi="Calibri"/>
                <w:spacing w:val="-6"/>
                <w:sz w:val="20"/>
              </w:rPr>
              <w:t> </w:t>
            </w:r>
            <w:r>
              <w:rPr>
                <w:rFonts w:ascii="Calibri" w:hAnsi="Calibri"/>
                <w:sz w:val="20"/>
              </w:rPr>
              <w:t>i</w:t>
            </w:r>
            <w:r>
              <w:rPr>
                <w:rFonts w:ascii="Calibri" w:hAnsi="Calibri"/>
                <w:spacing w:val="-4"/>
                <w:sz w:val="20"/>
              </w:rPr>
              <w:t> </w:t>
            </w:r>
            <w:r>
              <w:rPr>
                <w:rFonts w:ascii="Calibri" w:hAnsi="Calibri"/>
                <w:sz w:val="20"/>
              </w:rPr>
              <w:t>QKMF-</w:t>
            </w:r>
            <w:r>
              <w:rPr>
                <w:rFonts w:ascii="Calibri" w:hAnsi="Calibri"/>
                <w:spacing w:val="-5"/>
                <w:sz w:val="20"/>
              </w:rPr>
              <w:t>së</w:t>
            </w:r>
          </w:p>
        </w:tc>
        <w:tc>
          <w:tcPr>
            <w:tcW w:w="2070" w:type="dxa"/>
          </w:tcPr>
          <w:p>
            <w:pPr>
              <w:pStyle w:val="TableParagraph"/>
              <w:spacing w:line="223" w:lineRule="exact"/>
              <w:ind w:left="107"/>
              <w:rPr>
                <w:rFonts w:ascii="Calibri"/>
                <w:sz w:val="20"/>
              </w:rPr>
            </w:pPr>
            <w:r>
              <w:rPr>
                <w:rFonts w:ascii="Calibri"/>
                <w:w w:val="100"/>
                <w:sz w:val="20"/>
              </w:rPr>
              <w:t>1</w:t>
            </w:r>
          </w:p>
        </w:tc>
      </w:tr>
      <w:tr>
        <w:trPr>
          <w:trHeight w:val="244" w:hRule="atLeast"/>
        </w:trPr>
        <w:tc>
          <w:tcPr>
            <w:tcW w:w="6931" w:type="dxa"/>
          </w:tcPr>
          <w:p>
            <w:pPr>
              <w:pStyle w:val="TableParagraph"/>
              <w:spacing w:line="224" w:lineRule="exact"/>
              <w:ind w:left="107"/>
              <w:rPr>
                <w:rFonts w:ascii="Calibri" w:hAnsi="Calibri"/>
                <w:sz w:val="20"/>
              </w:rPr>
            </w:pPr>
            <w:r>
              <w:rPr>
                <w:rFonts w:ascii="Calibri" w:hAnsi="Calibri"/>
                <w:sz w:val="20"/>
              </w:rPr>
              <w:t>Mjek i</w:t>
            </w:r>
            <w:r>
              <w:rPr>
                <w:rFonts w:ascii="Calibri" w:hAnsi="Calibri"/>
                <w:spacing w:val="-1"/>
                <w:sz w:val="20"/>
              </w:rPr>
              <w:t> </w:t>
            </w:r>
            <w:r>
              <w:rPr>
                <w:rFonts w:ascii="Calibri" w:hAnsi="Calibri"/>
                <w:spacing w:val="-2"/>
                <w:sz w:val="20"/>
              </w:rPr>
              <w:t>përgjithshëm</w:t>
            </w:r>
          </w:p>
        </w:tc>
        <w:tc>
          <w:tcPr>
            <w:tcW w:w="2070" w:type="dxa"/>
          </w:tcPr>
          <w:p>
            <w:pPr>
              <w:pStyle w:val="TableParagraph"/>
              <w:spacing w:line="224" w:lineRule="exact"/>
              <w:ind w:left="107"/>
              <w:rPr>
                <w:rFonts w:ascii="Calibri"/>
                <w:sz w:val="20"/>
              </w:rPr>
            </w:pPr>
            <w:r>
              <w:rPr>
                <w:rFonts w:ascii="Calibri"/>
                <w:w w:val="100"/>
                <w:sz w:val="20"/>
              </w:rPr>
              <w:t>6</w:t>
            </w:r>
          </w:p>
        </w:tc>
      </w:tr>
      <w:tr>
        <w:trPr>
          <w:trHeight w:val="244" w:hRule="atLeast"/>
        </w:trPr>
        <w:tc>
          <w:tcPr>
            <w:tcW w:w="6931" w:type="dxa"/>
          </w:tcPr>
          <w:p>
            <w:pPr>
              <w:pStyle w:val="TableParagraph"/>
              <w:spacing w:line="224" w:lineRule="exact"/>
              <w:ind w:left="107"/>
              <w:rPr>
                <w:rFonts w:ascii="Calibri"/>
                <w:sz w:val="20"/>
              </w:rPr>
            </w:pPr>
            <w:r>
              <w:rPr>
                <w:rFonts w:ascii="Calibri"/>
                <w:spacing w:val="-2"/>
                <w:sz w:val="20"/>
              </w:rPr>
              <w:t>Stomatolog</w:t>
            </w:r>
          </w:p>
        </w:tc>
        <w:tc>
          <w:tcPr>
            <w:tcW w:w="2070" w:type="dxa"/>
          </w:tcPr>
          <w:p>
            <w:pPr>
              <w:pStyle w:val="TableParagraph"/>
              <w:spacing w:line="224" w:lineRule="exact"/>
              <w:ind w:left="107"/>
              <w:rPr>
                <w:rFonts w:ascii="Calibri"/>
                <w:sz w:val="20"/>
              </w:rPr>
            </w:pPr>
            <w:r>
              <w:rPr>
                <w:rFonts w:ascii="Calibri"/>
                <w:w w:val="100"/>
                <w:sz w:val="20"/>
              </w:rPr>
              <w:t>1</w:t>
            </w:r>
          </w:p>
        </w:tc>
      </w:tr>
      <w:tr>
        <w:trPr>
          <w:trHeight w:val="244" w:hRule="atLeast"/>
        </w:trPr>
        <w:tc>
          <w:tcPr>
            <w:tcW w:w="6931" w:type="dxa"/>
          </w:tcPr>
          <w:p>
            <w:pPr>
              <w:pStyle w:val="TableParagraph"/>
              <w:spacing w:line="224" w:lineRule="exact"/>
              <w:ind w:left="107"/>
              <w:rPr>
                <w:rFonts w:ascii="Calibri"/>
                <w:sz w:val="20"/>
              </w:rPr>
            </w:pPr>
            <w:r>
              <w:rPr>
                <w:rFonts w:ascii="Calibri"/>
                <w:sz w:val="20"/>
              </w:rPr>
              <w:t>Teknik</w:t>
            </w:r>
            <w:r>
              <w:rPr>
                <w:rFonts w:ascii="Calibri"/>
                <w:spacing w:val="-5"/>
                <w:sz w:val="20"/>
              </w:rPr>
              <w:t> </w:t>
            </w:r>
            <w:r>
              <w:rPr>
                <w:rFonts w:ascii="Calibri"/>
                <w:spacing w:val="-2"/>
                <w:sz w:val="20"/>
              </w:rPr>
              <w:t>laborant</w:t>
            </w:r>
          </w:p>
        </w:tc>
        <w:tc>
          <w:tcPr>
            <w:tcW w:w="2070" w:type="dxa"/>
          </w:tcPr>
          <w:p>
            <w:pPr>
              <w:pStyle w:val="TableParagraph"/>
              <w:spacing w:line="224" w:lineRule="exact"/>
              <w:ind w:left="107"/>
              <w:rPr>
                <w:rFonts w:ascii="Calibri"/>
                <w:sz w:val="20"/>
              </w:rPr>
            </w:pPr>
            <w:r>
              <w:rPr>
                <w:rFonts w:ascii="Calibri"/>
                <w:w w:val="100"/>
                <w:sz w:val="20"/>
              </w:rPr>
              <w:t>1</w:t>
            </w:r>
          </w:p>
        </w:tc>
      </w:tr>
      <w:tr>
        <w:trPr>
          <w:trHeight w:val="243" w:hRule="atLeast"/>
        </w:trPr>
        <w:tc>
          <w:tcPr>
            <w:tcW w:w="6931" w:type="dxa"/>
          </w:tcPr>
          <w:p>
            <w:pPr>
              <w:pStyle w:val="TableParagraph"/>
              <w:spacing w:line="223" w:lineRule="exact"/>
              <w:ind w:left="107"/>
              <w:rPr>
                <w:rFonts w:ascii="Calibri" w:hAnsi="Calibri"/>
                <w:sz w:val="20"/>
              </w:rPr>
            </w:pPr>
            <w:r>
              <w:rPr>
                <w:rFonts w:ascii="Calibri" w:hAnsi="Calibri"/>
                <w:sz w:val="20"/>
              </w:rPr>
              <w:t>Teknik</w:t>
            </w:r>
            <w:r>
              <w:rPr>
                <w:rFonts w:ascii="Calibri" w:hAnsi="Calibri"/>
                <w:spacing w:val="-3"/>
                <w:sz w:val="20"/>
              </w:rPr>
              <w:t> </w:t>
            </w:r>
            <w:r>
              <w:rPr>
                <w:rFonts w:ascii="Calibri" w:hAnsi="Calibri"/>
                <w:sz w:val="20"/>
              </w:rPr>
              <w:t>i</w:t>
            </w:r>
            <w:r>
              <w:rPr>
                <w:rFonts w:ascii="Calibri" w:hAnsi="Calibri"/>
                <w:spacing w:val="-2"/>
                <w:sz w:val="20"/>
              </w:rPr>
              <w:t> radiologjisë</w:t>
            </w:r>
          </w:p>
        </w:tc>
        <w:tc>
          <w:tcPr>
            <w:tcW w:w="2070" w:type="dxa"/>
          </w:tcPr>
          <w:p>
            <w:pPr>
              <w:pStyle w:val="TableParagraph"/>
              <w:spacing w:line="223" w:lineRule="exact"/>
              <w:ind w:left="107"/>
              <w:rPr>
                <w:rFonts w:ascii="Calibri"/>
                <w:sz w:val="20"/>
              </w:rPr>
            </w:pPr>
            <w:r>
              <w:rPr>
                <w:rFonts w:ascii="Calibri"/>
                <w:w w:val="100"/>
                <w:sz w:val="20"/>
              </w:rPr>
              <w:t>1</w:t>
            </w:r>
          </w:p>
        </w:tc>
      </w:tr>
      <w:tr>
        <w:trPr>
          <w:trHeight w:val="244" w:hRule="atLeast"/>
        </w:trPr>
        <w:tc>
          <w:tcPr>
            <w:tcW w:w="6931" w:type="dxa"/>
          </w:tcPr>
          <w:p>
            <w:pPr>
              <w:pStyle w:val="TableParagraph"/>
              <w:spacing w:line="224" w:lineRule="exact"/>
              <w:ind w:left="107"/>
              <w:rPr>
                <w:rFonts w:ascii="Calibri" w:hAnsi="Calibri"/>
                <w:sz w:val="20"/>
              </w:rPr>
            </w:pPr>
            <w:r>
              <w:rPr>
                <w:rFonts w:ascii="Calibri" w:hAnsi="Calibri"/>
                <w:sz w:val="20"/>
              </w:rPr>
              <w:t>Teknik</w:t>
            </w:r>
            <w:r>
              <w:rPr>
                <w:rFonts w:ascii="Calibri" w:hAnsi="Calibri"/>
                <w:spacing w:val="-5"/>
                <w:sz w:val="20"/>
              </w:rPr>
              <w:t> </w:t>
            </w:r>
            <w:r>
              <w:rPr>
                <w:rFonts w:ascii="Calibri" w:hAnsi="Calibri"/>
                <w:sz w:val="20"/>
              </w:rPr>
              <w:t>mjekësor</w:t>
            </w:r>
            <w:r>
              <w:rPr>
                <w:rFonts w:ascii="Calibri" w:hAnsi="Calibri"/>
                <w:spacing w:val="-4"/>
                <w:sz w:val="20"/>
              </w:rPr>
              <w:t> </w:t>
            </w:r>
            <w:r>
              <w:rPr>
                <w:rFonts w:ascii="Calibri" w:hAnsi="Calibri"/>
                <w:spacing w:val="-2"/>
                <w:sz w:val="20"/>
              </w:rPr>
              <w:t>(infermier)</w:t>
            </w:r>
          </w:p>
        </w:tc>
        <w:tc>
          <w:tcPr>
            <w:tcW w:w="2070" w:type="dxa"/>
          </w:tcPr>
          <w:p>
            <w:pPr>
              <w:pStyle w:val="TableParagraph"/>
              <w:spacing w:line="224" w:lineRule="exact"/>
              <w:ind w:left="107"/>
              <w:rPr>
                <w:rFonts w:ascii="Calibri"/>
                <w:sz w:val="20"/>
              </w:rPr>
            </w:pPr>
            <w:r>
              <w:rPr>
                <w:rFonts w:ascii="Calibri"/>
                <w:spacing w:val="-5"/>
                <w:sz w:val="20"/>
              </w:rPr>
              <w:t>19</w:t>
            </w:r>
          </w:p>
        </w:tc>
      </w:tr>
      <w:tr>
        <w:trPr>
          <w:trHeight w:val="244" w:hRule="atLeast"/>
        </w:trPr>
        <w:tc>
          <w:tcPr>
            <w:tcW w:w="6931" w:type="dxa"/>
          </w:tcPr>
          <w:p>
            <w:pPr>
              <w:pStyle w:val="TableParagraph"/>
              <w:spacing w:line="224" w:lineRule="exact"/>
              <w:ind w:left="107"/>
              <w:rPr>
                <w:rFonts w:ascii="Calibri" w:hAnsi="Calibri"/>
                <w:sz w:val="20"/>
              </w:rPr>
            </w:pPr>
            <w:r>
              <w:rPr>
                <w:rFonts w:ascii="Calibri" w:hAnsi="Calibri"/>
                <w:sz w:val="20"/>
              </w:rPr>
              <w:t>Punëtor</w:t>
            </w:r>
            <w:r>
              <w:rPr>
                <w:rFonts w:ascii="Calibri" w:hAnsi="Calibri"/>
                <w:spacing w:val="-5"/>
                <w:sz w:val="20"/>
              </w:rPr>
              <w:t> </w:t>
            </w:r>
            <w:r>
              <w:rPr>
                <w:rFonts w:ascii="Calibri" w:hAnsi="Calibri"/>
                <w:sz w:val="20"/>
              </w:rPr>
              <w:t>teknik</w:t>
            </w:r>
            <w:r>
              <w:rPr>
                <w:rFonts w:ascii="Calibri" w:hAnsi="Calibri"/>
                <w:spacing w:val="-6"/>
                <w:sz w:val="20"/>
              </w:rPr>
              <w:t> </w:t>
            </w:r>
            <w:r>
              <w:rPr>
                <w:rFonts w:ascii="Calibri" w:hAnsi="Calibri"/>
                <w:sz w:val="20"/>
              </w:rPr>
              <w:t>(pastrues,</w:t>
            </w:r>
            <w:r>
              <w:rPr>
                <w:rFonts w:ascii="Calibri" w:hAnsi="Calibri"/>
                <w:spacing w:val="-5"/>
                <w:sz w:val="20"/>
              </w:rPr>
              <w:t> </w:t>
            </w:r>
            <w:r>
              <w:rPr>
                <w:rFonts w:ascii="Calibri" w:hAnsi="Calibri"/>
                <w:sz w:val="20"/>
              </w:rPr>
              <w:t>shofer,</w:t>
            </w:r>
            <w:r>
              <w:rPr>
                <w:rFonts w:ascii="Calibri" w:hAnsi="Calibri"/>
                <w:spacing w:val="-4"/>
                <w:sz w:val="20"/>
              </w:rPr>
              <w:t> </w:t>
            </w:r>
            <w:r>
              <w:rPr>
                <w:rFonts w:ascii="Calibri" w:hAnsi="Calibri"/>
                <w:spacing w:val="-2"/>
                <w:sz w:val="20"/>
              </w:rPr>
              <w:t>etj.)</w:t>
            </w:r>
          </w:p>
        </w:tc>
        <w:tc>
          <w:tcPr>
            <w:tcW w:w="2070" w:type="dxa"/>
          </w:tcPr>
          <w:p>
            <w:pPr>
              <w:pStyle w:val="TableParagraph"/>
              <w:spacing w:line="224" w:lineRule="exact"/>
              <w:ind w:left="107"/>
              <w:rPr>
                <w:rFonts w:ascii="Calibri"/>
                <w:sz w:val="20"/>
              </w:rPr>
            </w:pPr>
            <w:r>
              <w:rPr>
                <w:rFonts w:ascii="Calibri"/>
                <w:w w:val="100"/>
                <w:sz w:val="20"/>
              </w:rPr>
              <w:t>3</w:t>
            </w:r>
          </w:p>
        </w:tc>
      </w:tr>
      <w:tr>
        <w:trPr>
          <w:trHeight w:val="244" w:hRule="atLeast"/>
        </w:trPr>
        <w:tc>
          <w:tcPr>
            <w:tcW w:w="6931" w:type="dxa"/>
          </w:tcPr>
          <w:p>
            <w:pPr>
              <w:pStyle w:val="TableParagraph"/>
              <w:spacing w:line="224" w:lineRule="exact"/>
              <w:ind w:left="107"/>
              <w:rPr>
                <w:rFonts w:ascii="Calibri"/>
                <w:sz w:val="20"/>
              </w:rPr>
            </w:pPr>
            <w:r>
              <w:rPr>
                <w:rFonts w:ascii="Calibri"/>
                <w:spacing w:val="-2"/>
                <w:sz w:val="20"/>
              </w:rPr>
              <w:t>Gjithsej</w:t>
            </w:r>
          </w:p>
        </w:tc>
        <w:tc>
          <w:tcPr>
            <w:tcW w:w="2070" w:type="dxa"/>
          </w:tcPr>
          <w:p>
            <w:pPr>
              <w:pStyle w:val="TableParagraph"/>
              <w:spacing w:line="224" w:lineRule="exact"/>
              <w:ind w:left="107"/>
              <w:rPr>
                <w:rFonts w:ascii="Calibri"/>
                <w:sz w:val="20"/>
              </w:rPr>
            </w:pPr>
            <w:r>
              <w:rPr>
                <w:rFonts w:ascii="Calibri"/>
                <w:spacing w:val="-5"/>
                <w:sz w:val="20"/>
              </w:rPr>
              <w:t>32</w:t>
            </w:r>
          </w:p>
        </w:tc>
      </w:tr>
    </w:tbl>
    <w:p>
      <w:pPr>
        <w:pStyle w:val="BodyText"/>
        <w:spacing w:before="3"/>
        <w:ind w:left="1518"/>
      </w:pPr>
      <w:r>
        <w:rPr>
          <w:b/>
        </w:rPr>
        <w:t>Tabela</w:t>
      </w:r>
      <w:r>
        <w:rPr>
          <w:b/>
          <w:spacing w:val="-6"/>
        </w:rPr>
        <w:t> </w:t>
      </w:r>
      <w:r>
        <w:rPr>
          <w:b/>
        </w:rPr>
        <w:t>13:</w:t>
      </w:r>
      <w:r>
        <w:rPr>
          <w:b/>
          <w:spacing w:val="-4"/>
        </w:rPr>
        <w:t> </w:t>
      </w:r>
      <w:r>
        <w:rPr/>
        <w:t>Stafi</w:t>
      </w:r>
      <w:r>
        <w:rPr>
          <w:spacing w:val="-5"/>
        </w:rPr>
        <w:t> </w:t>
      </w:r>
      <w:r>
        <w:rPr/>
        <w:t>shëndetësor</w:t>
      </w:r>
      <w:r>
        <w:rPr>
          <w:spacing w:val="-5"/>
        </w:rPr>
        <w:t> </w:t>
      </w:r>
      <w:r>
        <w:rPr/>
        <w:t>në</w:t>
      </w:r>
      <w:r>
        <w:rPr>
          <w:spacing w:val="-5"/>
        </w:rPr>
        <w:t> </w:t>
      </w:r>
      <w:r>
        <w:rPr/>
        <w:t>Han</w:t>
      </w:r>
      <w:r>
        <w:rPr>
          <w:spacing w:val="-7"/>
        </w:rPr>
        <w:t> </w:t>
      </w:r>
      <w:r>
        <w:rPr/>
        <w:t>të</w:t>
      </w:r>
      <w:r>
        <w:rPr>
          <w:spacing w:val="-6"/>
        </w:rPr>
        <w:t> </w:t>
      </w:r>
      <w:r>
        <w:rPr/>
        <w:t>Elezit</w:t>
      </w:r>
      <w:r>
        <w:rPr>
          <w:spacing w:val="-6"/>
        </w:rPr>
        <w:t> </w:t>
      </w:r>
      <w:r>
        <w:rPr/>
        <w:t>i</w:t>
      </w:r>
      <w:r>
        <w:rPr>
          <w:spacing w:val="-5"/>
        </w:rPr>
        <w:t> </w:t>
      </w:r>
      <w:r>
        <w:rPr/>
        <w:t>ndarë</w:t>
      </w:r>
      <w:r>
        <w:rPr>
          <w:spacing w:val="-5"/>
        </w:rPr>
        <w:t> </w:t>
      </w:r>
      <w:r>
        <w:rPr/>
        <w:t>sipas</w:t>
      </w:r>
      <w:r>
        <w:rPr>
          <w:spacing w:val="-5"/>
        </w:rPr>
        <w:t> </w:t>
      </w:r>
      <w:r>
        <w:rPr/>
        <w:t>shërbimeve</w:t>
      </w:r>
      <w:r>
        <w:rPr>
          <w:spacing w:val="-4"/>
        </w:rPr>
        <w:t> </w:t>
      </w:r>
      <w:r>
        <w:rPr/>
        <w:t>të</w:t>
      </w:r>
      <w:r>
        <w:rPr>
          <w:spacing w:val="-7"/>
        </w:rPr>
        <w:t> </w:t>
      </w:r>
      <w:r>
        <w:rPr>
          <w:spacing w:val="-2"/>
        </w:rPr>
        <w:t>ofruara</w:t>
      </w:r>
    </w:p>
    <w:p>
      <w:pPr>
        <w:pStyle w:val="BodyText"/>
        <w:spacing w:before="10"/>
        <w:rPr>
          <w:sz w:val="20"/>
        </w:rPr>
      </w:pPr>
    </w:p>
    <w:p>
      <w:pPr>
        <w:pStyle w:val="BodyText"/>
        <w:ind w:left="740" w:right="1442"/>
        <w:jc w:val="both"/>
      </w:pPr>
      <w:r>
        <w:rPr/>
        <w:t>Marrë parasysh tabelën më lart dhe legjislacionin në fuqi (UA Nr. 08/2017), ka mungesë të mjekëve</w:t>
      </w:r>
      <w:r>
        <w:rPr>
          <w:spacing w:val="-2"/>
        </w:rPr>
        <w:t> </w:t>
      </w:r>
      <w:r>
        <w:rPr/>
        <w:t>dhe</w:t>
      </w:r>
      <w:r>
        <w:rPr>
          <w:spacing w:val="-3"/>
        </w:rPr>
        <w:t> </w:t>
      </w:r>
      <w:r>
        <w:rPr/>
        <w:t>teknikëve</w:t>
      </w:r>
      <w:r>
        <w:rPr>
          <w:spacing w:val="-2"/>
        </w:rPr>
        <w:t> </w:t>
      </w:r>
      <w:r>
        <w:rPr/>
        <w:t>familjarë,</w:t>
      </w:r>
      <w:r>
        <w:rPr>
          <w:spacing w:val="-2"/>
        </w:rPr>
        <w:t> </w:t>
      </w:r>
      <w:r>
        <w:rPr/>
        <w:t>pediatrit</w:t>
      </w:r>
      <w:r>
        <w:rPr>
          <w:spacing w:val="-2"/>
        </w:rPr>
        <w:t> </w:t>
      </w:r>
      <w:r>
        <w:rPr/>
        <w:t>dhe</w:t>
      </w:r>
      <w:r>
        <w:rPr>
          <w:spacing w:val="-2"/>
        </w:rPr>
        <w:t> </w:t>
      </w:r>
      <w:r>
        <w:rPr/>
        <w:t>stomatologut</w:t>
      </w:r>
      <w:r>
        <w:rPr>
          <w:spacing w:val="-3"/>
        </w:rPr>
        <w:t> </w:t>
      </w:r>
      <w:r>
        <w:rPr/>
        <w:t>si</w:t>
      </w:r>
      <w:r>
        <w:rPr>
          <w:spacing w:val="-2"/>
        </w:rPr>
        <w:t> </w:t>
      </w:r>
      <w:r>
        <w:rPr/>
        <w:t>për</w:t>
      </w:r>
      <w:r>
        <w:rPr>
          <w:spacing w:val="-2"/>
        </w:rPr>
        <w:t> </w:t>
      </w:r>
      <w:r>
        <w:rPr/>
        <w:t>nga</w:t>
      </w:r>
      <w:r>
        <w:rPr>
          <w:spacing w:val="-2"/>
        </w:rPr>
        <w:t> </w:t>
      </w:r>
      <w:r>
        <w:rPr/>
        <w:t>kualifikimi</w:t>
      </w:r>
      <w:r>
        <w:rPr>
          <w:spacing w:val="-2"/>
        </w:rPr>
        <w:t> </w:t>
      </w:r>
      <w:r>
        <w:rPr/>
        <w:t>ashtu</w:t>
      </w:r>
      <w:r>
        <w:rPr>
          <w:spacing w:val="-2"/>
        </w:rPr>
        <w:t> </w:t>
      </w:r>
      <w:r>
        <w:rPr/>
        <w:t>edhe</w:t>
      </w:r>
      <w:r>
        <w:rPr>
          <w:spacing w:val="-2"/>
        </w:rPr>
        <w:t> </w:t>
      </w:r>
      <w:r>
        <w:rPr/>
        <w:t>për nga numri i tyre. Ka edhe mungesa tjera të stafit.</w:t>
      </w:r>
    </w:p>
    <w:p>
      <w:pPr>
        <w:pStyle w:val="BodyText"/>
        <w:spacing w:before="10"/>
        <w:rPr>
          <w:sz w:val="20"/>
        </w:rPr>
      </w:pPr>
    </w:p>
    <w:p>
      <w:pPr>
        <w:pStyle w:val="BodyText"/>
        <w:ind w:left="740" w:right="1437"/>
        <w:jc w:val="both"/>
      </w:pPr>
      <w:r>
        <w:rPr/>
        <w:t>Në</w:t>
      </w:r>
      <w:r>
        <w:rPr>
          <w:spacing w:val="-4"/>
        </w:rPr>
        <w:t> </w:t>
      </w:r>
      <w:r>
        <w:rPr/>
        <w:t>lidhje</w:t>
      </w:r>
      <w:r>
        <w:rPr>
          <w:spacing w:val="-2"/>
        </w:rPr>
        <w:t> </w:t>
      </w:r>
      <w:r>
        <w:rPr/>
        <w:t>me</w:t>
      </w:r>
      <w:r>
        <w:rPr>
          <w:spacing w:val="-3"/>
        </w:rPr>
        <w:t> </w:t>
      </w:r>
      <w:r>
        <w:rPr/>
        <w:t>rrezen</w:t>
      </w:r>
      <w:r>
        <w:rPr>
          <w:spacing w:val="-2"/>
        </w:rPr>
        <w:t> </w:t>
      </w:r>
      <w:r>
        <w:rPr/>
        <w:t>e</w:t>
      </w:r>
      <w:r>
        <w:rPr>
          <w:spacing w:val="-4"/>
        </w:rPr>
        <w:t> </w:t>
      </w:r>
      <w:r>
        <w:rPr/>
        <w:t>mbulimit</w:t>
      </w:r>
      <w:r>
        <w:rPr>
          <w:spacing w:val="-3"/>
        </w:rPr>
        <w:t> </w:t>
      </w:r>
      <w:r>
        <w:rPr/>
        <w:t>gjeografik</w:t>
      </w:r>
      <w:r>
        <w:rPr>
          <w:spacing w:val="-4"/>
        </w:rPr>
        <w:t> </w:t>
      </w:r>
      <w:r>
        <w:rPr/>
        <w:t>të</w:t>
      </w:r>
      <w:r>
        <w:rPr>
          <w:spacing w:val="-4"/>
        </w:rPr>
        <w:t> </w:t>
      </w:r>
      <w:r>
        <w:rPr/>
        <w:t>territorit,</w:t>
      </w:r>
      <w:r>
        <w:rPr>
          <w:spacing w:val="-3"/>
        </w:rPr>
        <w:t> </w:t>
      </w:r>
      <w:r>
        <w:rPr/>
        <w:t>janë</w:t>
      </w:r>
      <w:r>
        <w:rPr>
          <w:spacing w:val="-4"/>
        </w:rPr>
        <w:t> </w:t>
      </w:r>
      <w:r>
        <w:rPr/>
        <w:t>banorët</w:t>
      </w:r>
      <w:r>
        <w:rPr>
          <w:spacing w:val="-2"/>
        </w:rPr>
        <w:t> </w:t>
      </w:r>
      <w:r>
        <w:rPr/>
        <w:t>e</w:t>
      </w:r>
      <w:r>
        <w:rPr>
          <w:spacing w:val="-4"/>
        </w:rPr>
        <w:t> </w:t>
      </w:r>
      <w:r>
        <w:rPr/>
        <w:t>Gorancës</w:t>
      </w:r>
      <w:r>
        <w:rPr>
          <w:spacing w:val="-3"/>
        </w:rPr>
        <w:t> </w:t>
      </w:r>
      <w:r>
        <w:rPr/>
        <w:t>dhe</w:t>
      </w:r>
      <w:r>
        <w:rPr>
          <w:spacing w:val="-3"/>
        </w:rPr>
        <w:t> </w:t>
      </w:r>
      <w:r>
        <w:rPr/>
        <w:t>Krivenikut</w:t>
      </w:r>
      <w:r>
        <w:rPr>
          <w:spacing w:val="-3"/>
        </w:rPr>
        <w:t> </w:t>
      </w:r>
      <w:r>
        <w:rPr/>
        <w:t>që duhet të udhëtojnë maksimum 7km’ deri në QKMF për të marrë shërbim. Përderisa të tjerët janë më</w:t>
      </w:r>
      <w:r>
        <w:rPr>
          <w:spacing w:val="-5"/>
        </w:rPr>
        <w:t> </w:t>
      </w:r>
      <w:r>
        <w:rPr/>
        <w:t>afër,</w:t>
      </w:r>
      <w:r>
        <w:rPr>
          <w:spacing w:val="-6"/>
        </w:rPr>
        <w:t> </w:t>
      </w:r>
      <w:r>
        <w:rPr/>
        <w:t>5548</w:t>
      </w:r>
      <w:r>
        <w:rPr>
          <w:spacing w:val="-6"/>
        </w:rPr>
        <w:t> </w:t>
      </w:r>
      <w:r>
        <w:rPr/>
        <w:t>banorët</w:t>
      </w:r>
      <w:r>
        <w:rPr>
          <w:spacing w:val="-5"/>
        </w:rPr>
        <w:t> </w:t>
      </w:r>
      <w:r>
        <w:rPr/>
        <w:t>e</w:t>
      </w:r>
      <w:r>
        <w:rPr>
          <w:spacing w:val="-6"/>
        </w:rPr>
        <w:t> </w:t>
      </w:r>
      <w:r>
        <w:rPr/>
        <w:t>Qytezës</w:t>
      </w:r>
      <w:r>
        <w:rPr>
          <w:spacing w:val="-5"/>
        </w:rPr>
        <w:t> </w:t>
      </w:r>
      <w:r>
        <w:rPr/>
        <w:t>dhe</w:t>
      </w:r>
      <w:r>
        <w:rPr>
          <w:spacing w:val="-7"/>
        </w:rPr>
        <w:t> </w:t>
      </w:r>
      <w:r>
        <w:rPr/>
        <w:t>vendbanimeve</w:t>
      </w:r>
      <w:r>
        <w:rPr>
          <w:spacing w:val="-6"/>
        </w:rPr>
        <w:t> </w:t>
      </w:r>
      <w:r>
        <w:rPr/>
        <w:t>përreth</w:t>
      </w:r>
      <w:r>
        <w:rPr>
          <w:spacing w:val="-6"/>
        </w:rPr>
        <w:t> </w:t>
      </w:r>
      <w:r>
        <w:rPr/>
        <w:t>kanë</w:t>
      </w:r>
      <w:r>
        <w:rPr>
          <w:spacing w:val="-6"/>
        </w:rPr>
        <w:t> </w:t>
      </w:r>
      <w:r>
        <w:rPr/>
        <w:t>distancë</w:t>
      </w:r>
      <w:r>
        <w:rPr>
          <w:spacing w:val="-6"/>
        </w:rPr>
        <w:t> </w:t>
      </w:r>
      <w:r>
        <w:rPr/>
        <w:t>1km’</w:t>
      </w:r>
      <w:r>
        <w:rPr>
          <w:spacing w:val="-5"/>
        </w:rPr>
        <w:t> </w:t>
      </w:r>
      <w:r>
        <w:rPr/>
        <w:t>ose</w:t>
      </w:r>
      <w:r>
        <w:rPr>
          <w:spacing w:val="-6"/>
        </w:rPr>
        <w:t> </w:t>
      </w:r>
      <w:r>
        <w:rPr/>
        <w:t>më</w:t>
      </w:r>
      <w:r>
        <w:rPr>
          <w:spacing w:val="-5"/>
        </w:rPr>
        <w:t> </w:t>
      </w:r>
      <w:r>
        <w:rPr/>
        <w:t>pak.</w:t>
      </w:r>
      <w:r>
        <w:rPr>
          <w:spacing w:val="-6"/>
        </w:rPr>
        <w:t> </w:t>
      </w:r>
      <w:r>
        <w:rPr/>
        <w:t>Në</w:t>
      </w:r>
      <w:r>
        <w:rPr>
          <w:spacing w:val="-6"/>
        </w:rPr>
        <w:t> </w:t>
      </w:r>
      <w:r>
        <w:rPr/>
        <w:t>të </w:t>
      </w:r>
      <w:r>
        <w:rPr>
          <w:spacing w:val="-2"/>
        </w:rPr>
        <w:t>njëjtën</w:t>
      </w:r>
      <w:r>
        <w:rPr>
          <w:spacing w:val="-6"/>
        </w:rPr>
        <w:t> </w:t>
      </w:r>
      <w:r>
        <w:rPr>
          <w:spacing w:val="-2"/>
        </w:rPr>
        <w:t>kohë,</w:t>
      </w:r>
      <w:r>
        <w:rPr>
          <w:spacing w:val="-8"/>
        </w:rPr>
        <w:t> </w:t>
      </w:r>
      <w:r>
        <w:rPr>
          <w:spacing w:val="-2"/>
        </w:rPr>
        <w:t>me</w:t>
      </w:r>
      <w:r>
        <w:rPr>
          <w:spacing w:val="-6"/>
        </w:rPr>
        <w:t> </w:t>
      </w:r>
      <w:r>
        <w:rPr>
          <w:spacing w:val="-2"/>
        </w:rPr>
        <w:t>shërbimet</w:t>
      </w:r>
      <w:r>
        <w:rPr>
          <w:spacing w:val="-6"/>
        </w:rPr>
        <w:t> </w:t>
      </w:r>
      <w:r>
        <w:rPr>
          <w:spacing w:val="-2"/>
        </w:rPr>
        <w:t>e</w:t>
      </w:r>
      <w:r>
        <w:rPr>
          <w:spacing w:val="-8"/>
        </w:rPr>
        <w:t> </w:t>
      </w:r>
      <w:r>
        <w:rPr>
          <w:spacing w:val="-2"/>
        </w:rPr>
        <w:t>ofruara</w:t>
      </w:r>
      <w:r>
        <w:rPr>
          <w:spacing w:val="-7"/>
        </w:rPr>
        <w:t> </w:t>
      </w:r>
      <w:r>
        <w:rPr>
          <w:spacing w:val="-2"/>
        </w:rPr>
        <w:t>nga</w:t>
      </w:r>
      <w:r>
        <w:rPr>
          <w:spacing w:val="-7"/>
        </w:rPr>
        <w:t> </w:t>
      </w:r>
      <w:r>
        <w:rPr>
          <w:spacing w:val="-2"/>
        </w:rPr>
        <w:t>AMF,</w:t>
      </w:r>
      <w:r>
        <w:rPr>
          <w:spacing w:val="-7"/>
        </w:rPr>
        <w:t> </w:t>
      </w:r>
      <w:r>
        <w:rPr>
          <w:spacing w:val="-2"/>
        </w:rPr>
        <w:t>janë</w:t>
      </w:r>
      <w:r>
        <w:rPr>
          <w:spacing w:val="-7"/>
        </w:rPr>
        <w:t> </w:t>
      </w:r>
      <w:r>
        <w:rPr>
          <w:spacing w:val="-2"/>
        </w:rPr>
        <w:t>banorët</w:t>
      </w:r>
      <w:r>
        <w:rPr>
          <w:spacing w:val="-6"/>
        </w:rPr>
        <w:t> </w:t>
      </w:r>
      <w:r>
        <w:rPr>
          <w:spacing w:val="-2"/>
        </w:rPr>
        <w:t>e</w:t>
      </w:r>
      <w:r>
        <w:rPr>
          <w:spacing w:val="-10"/>
        </w:rPr>
        <w:t> </w:t>
      </w:r>
      <w:r>
        <w:rPr>
          <w:spacing w:val="-2"/>
        </w:rPr>
        <w:t>Rezhancës</w:t>
      </w:r>
      <w:r>
        <w:rPr>
          <w:spacing w:val="-7"/>
        </w:rPr>
        <w:t> </w:t>
      </w:r>
      <w:r>
        <w:rPr>
          <w:spacing w:val="-2"/>
        </w:rPr>
        <w:t>të</w:t>
      </w:r>
      <w:r>
        <w:rPr>
          <w:spacing w:val="-7"/>
        </w:rPr>
        <w:t> </w:t>
      </w:r>
      <w:r>
        <w:rPr>
          <w:spacing w:val="-2"/>
        </w:rPr>
        <w:t>cilët</w:t>
      </w:r>
      <w:r>
        <w:rPr>
          <w:spacing w:val="-7"/>
        </w:rPr>
        <w:t> </w:t>
      </w:r>
      <w:r>
        <w:rPr>
          <w:spacing w:val="-2"/>
        </w:rPr>
        <w:t>duhet</w:t>
      </w:r>
      <w:r>
        <w:rPr>
          <w:spacing w:val="-10"/>
        </w:rPr>
        <w:t> </w:t>
      </w:r>
      <w:r>
        <w:rPr>
          <w:spacing w:val="-2"/>
        </w:rPr>
        <w:t>të</w:t>
      </w:r>
      <w:r>
        <w:rPr>
          <w:spacing w:val="-6"/>
        </w:rPr>
        <w:t> </w:t>
      </w:r>
      <w:r>
        <w:rPr>
          <w:spacing w:val="-2"/>
        </w:rPr>
        <w:t>udhëtojnë </w:t>
      </w:r>
      <w:r>
        <w:rPr/>
        <w:t>maksimalisht</w:t>
      </w:r>
      <w:r>
        <w:rPr>
          <w:spacing w:val="-6"/>
        </w:rPr>
        <w:t> </w:t>
      </w:r>
      <w:r>
        <w:rPr/>
        <w:t>2</w:t>
      </w:r>
      <w:r>
        <w:rPr>
          <w:spacing w:val="-6"/>
        </w:rPr>
        <w:t> </w:t>
      </w:r>
      <w:r>
        <w:rPr/>
        <w:t>km’</w:t>
      </w:r>
      <w:r>
        <w:rPr>
          <w:spacing w:val="-6"/>
        </w:rPr>
        <w:t> </w:t>
      </w:r>
      <w:r>
        <w:rPr/>
        <w:t>për</w:t>
      </w:r>
      <w:r>
        <w:rPr>
          <w:spacing w:val="-7"/>
        </w:rPr>
        <w:t> </w:t>
      </w:r>
      <w:r>
        <w:rPr/>
        <w:t>ti</w:t>
      </w:r>
      <w:r>
        <w:rPr>
          <w:spacing w:val="-6"/>
        </w:rPr>
        <w:t> </w:t>
      </w:r>
      <w:r>
        <w:rPr/>
        <w:t>marrë</w:t>
      </w:r>
      <w:r>
        <w:rPr>
          <w:spacing w:val="-6"/>
        </w:rPr>
        <w:t> </w:t>
      </w:r>
      <w:r>
        <w:rPr/>
        <w:t>ato,</w:t>
      </w:r>
      <w:r>
        <w:rPr>
          <w:spacing w:val="-7"/>
        </w:rPr>
        <w:t> </w:t>
      </w:r>
      <w:r>
        <w:rPr/>
        <w:t>përderisa</w:t>
      </w:r>
      <w:r>
        <w:rPr>
          <w:spacing w:val="-7"/>
        </w:rPr>
        <w:t> </w:t>
      </w:r>
      <w:r>
        <w:rPr/>
        <w:t>Gorancasit</w:t>
      </w:r>
      <w:r>
        <w:rPr>
          <w:spacing w:val="-7"/>
        </w:rPr>
        <w:t> </w:t>
      </w:r>
      <w:r>
        <w:rPr/>
        <w:t>i</w:t>
      </w:r>
      <w:r>
        <w:rPr>
          <w:spacing w:val="-6"/>
        </w:rPr>
        <w:t> </w:t>
      </w:r>
      <w:r>
        <w:rPr/>
        <w:t>kanë</w:t>
      </w:r>
      <w:r>
        <w:rPr>
          <w:spacing w:val="-6"/>
        </w:rPr>
        <w:t> </w:t>
      </w:r>
      <w:r>
        <w:rPr/>
        <w:t>në</w:t>
      </w:r>
      <w:r>
        <w:rPr>
          <w:spacing w:val="-7"/>
        </w:rPr>
        <w:t> </w:t>
      </w:r>
      <w:r>
        <w:rPr/>
        <w:t>qendër</w:t>
      </w:r>
      <w:r>
        <w:rPr>
          <w:spacing w:val="-6"/>
        </w:rPr>
        <w:t> </w:t>
      </w:r>
      <w:r>
        <w:rPr/>
        <w:t>të</w:t>
      </w:r>
      <w:r>
        <w:rPr>
          <w:spacing w:val="-6"/>
        </w:rPr>
        <w:t> </w:t>
      </w:r>
      <w:r>
        <w:rPr/>
        <w:t>fshatit.</w:t>
      </w:r>
      <w:r>
        <w:rPr>
          <w:spacing w:val="-8"/>
        </w:rPr>
        <w:t> </w:t>
      </w:r>
      <w:r>
        <w:rPr/>
        <w:t>Edhe</w:t>
      </w:r>
      <w:r>
        <w:rPr>
          <w:spacing w:val="-6"/>
        </w:rPr>
        <w:t> </w:t>
      </w:r>
      <w:r>
        <w:rPr/>
        <w:t>pse</w:t>
      </w:r>
      <w:r>
        <w:rPr>
          <w:spacing w:val="-6"/>
        </w:rPr>
        <w:t> </w:t>
      </w:r>
      <w:r>
        <w:rPr/>
        <w:t>kjo infrastrukturë</w:t>
      </w:r>
      <w:r>
        <w:rPr>
          <w:spacing w:val="-11"/>
        </w:rPr>
        <w:t> </w:t>
      </w:r>
      <w:r>
        <w:rPr/>
        <w:t>e</w:t>
      </w:r>
      <w:r>
        <w:rPr>
          <w:spacing w:val="-10"/>
        </w:rPr>
        <w:t> </w:t>
      </w:r>
      <w:r>
        <w:rPr/>
        <w:t>mbulon</w:t>
      </w:r>
      <w:r>
        <w:rPr>
          <w:spacing w:val="-11"/>
        </w:rPr>
        <w:t> </w:t>
      </w:r>
      <w:r>
        <w:rPr/>
        <w:t>relativisht</w:t>
      </w:r>
      <w:r>
        <w:rPr>
          <w:spacing w:val="-10"/>
        </w:rPr>
        <w:t> </w:t>
      </w:r>
      <w:r>
        <w:rPr/>
        <w:t>mirë</w:t>
      </w:r>
      <w:r>
        <w:rPr>
          <w:spacing w:val="-11"/>
        </w:rPr>
        <w:t> </w:t>
      </w:r>
      <w:r>
        <w:rPr/>
        <w:t>të</w:t>
      </w:r>
      <w:r>
        <w:rPr>
          <w:spacing w:val="-10"/>
        </w:rPr>
        <w:t> </w:t>
      </w:r>
      <w:r>
        <w:rPr/>
        <w:t>gjithë</w:t>
      </w:r>
      <w:r>
        <w:rPr>
          <w:spacing w:val="-12"/>
        </w:rPr>
        <w:t> </w:t>
      </w:r>
      <w:r>
        <w:rPr/>
        <w:t>territorin</w:t>
      </w:r>
      <w:r>
        <w:rPr>
          <w:spacing w:val="-11"/>
        </w:rPr>
        <w:t> </w:t>
      </w:r>
      <w:r>
        <w:rPr/>
        <w:t>e</w:t>
      </w:r>
      <w:r>
        <w:rPr>
          <w:spacing w:val="-10"/>
        </w:rPr>
        <w:t> </w:t>
      </w:r>
      <w:r>
        <w:rPr/>
        <w:t>komunës,</w:t>
      </w:r>
      <w:r>
        <w:rPr>
          <w:spacing w:val="-10"/>
        </w:rPr>
        <w:t> </w:t>
      </w:r>
      <w:r>
        <w:rPr/>
        <w:t>mungesa</w:t>
      </w:r>
      <w:r>
        <w:rPr>
          <w:spacing w:val="-10"/>
        </w:rPr>
        <w:t> </w:t>
      </w:r>
      <w:r>
        <w:rPr/>
        <w:t>e</w:t>
      </w:r>
      <w:r>
        <w:rPr>
          <w:spacing w:val="-10"/>
        </w:rPr>
        <w:t> </w:t>
      </w:r>
      <w:r>
        <w:rPr/>
        <w:t>stafit</w:t>
      </w:r>
      <w:r>
        <w:rPr>
          <w:spacing w:val="-11"/>
        </w:rPr>
        <w:t> </w:t>
      </w:r>
      <w:r>
        <w:rPr/>
        <w:t>profesional adekuat</w:t>
      </w:r>
      <w:r>
        <w:rPr>
          <w:spacing w:val="-5"/>
        </w:rPr>
        <w:t> </w:t>
      </w:r>
      <w:r>
        <w:rPr/>
        <w:t>mjekësor,</w:t>
      </w:r>
      <w:r>
        <w:rPr>
          <w:spacing w:val="-5"/>
        </w:rPr>
        <w:t> </w:t>
      </w:r>
      <w:r>
        <w:rPr/>
        <w:t>si</w:t>
      </w:r>
      <w:r>
        <w:rPr>
          <w:spacing w:val="-3"/>
        </w:rPr>
        <w:t> </w:t>
      </w:r>
      <w:r>
        <w:rPr/>
        <w:t>dhe</w:t>
      </w:r>
      <w:r>
        <w:rPr>
          <w:spacing w:val="-6"/>
        </w:rPr>
        <w:t> </w:t>
      </w:r>
      <w:r>
        <w:rPr/>
        <w:t>mungesa</w:t>
      </w:r>
      <w:r>
        <w:rPr>
          <w:spacing w:val="-4"/>
        </w:rPr>
        <w:t> </w:t>
      </w:r>
      <w:r>
        <w:rPr/>
        <w:t>e</w:t>
      </w:r>
      <w:r>
        <w:rPr>
          <w:spacing w:val="-6"/>
        </w:rPr>
        <w:t> </w:t>
      </w:r>
      <w:r>
        <w:rPr/>
        <w:t>barnave</w:t>
      </w:r>
      <w:r>
        <w:rPr>
          <w:spacing w:val="-4"/>
        </w:rPr>
        <w:t> </w:t>
      </w:r>
      <w:r>
        <w:rPr/>
        <w:t>esenciale</w:t>
      </w:r>
      <w:r>
        <w:rPr>
          <w:spacing w:val="-5"/>
        </w:rPr>
        <w:t> </w:t>
      </w:r>
      <w:r>
        <w:rPr/>
        <w:t>dhe</w:t>
      </w:r>
      <w:r>
        <w:rPr>
          <w:spacing w:val="-4"/>
        </w:rPr>
        <w:t> </w:t>
      </w:r>
      <w:r>
        <w:rPr/>
        <w:t>tjera</w:t>
      </w:r>
      <w:r>
        <w:rPr>
          <w:spacing w:val="-4"/>
        </w:rPr>
        <w:t> </w:t>
      </w:r>
      <w:r>
        <w:rPr/>
        <w:t>të</w:t>
      </w:r>
      <w:r>
        <w:rPr>
          <w:spacing w:val="-5"/>
        </w:rPr>
        <w:t> </w:t>
      </w:r>
      <w:r>
        <w:rPr/>
        <w:t>nevojshme</w:t>
      </w:r>
      <w:r>
        <w:rPr>
          <w:spacing w:val="-4"/>
        </w:rPr>
        <w:t> </w:t>
      </w:r>
      <w:r>
        <w:rPr/>
        <w:t>janë</w:t>
      </w:r>
      <w:r>
        <w:rPr>
          <w:spacing w:val="-5"/>
        </w:rPr>
        <w:t> </w:t>
      </w:r>
      <w:r>
        <w:rPr/>
        <w:t>sfidat</w:t>
      </w:r>
      <w:r>
        <w:rPr>
          <w:spacing w:val="-3"/>
        </w:rPr>
        <w:t> </w:t>
      </w:r>
      <w:r>
        <w:rPr/>
        <w:t>kryesore me të cilat përballet shërbimi</w:t>
      </w:r>
      <w:r>
        <w:rPr/>
        <w:t> shëndetësor në të dy institucionet me theks në AMF. Prandaj, qytetarët</w:t>
      </w:r>
      <w:r>
        <w:rPr/>
        <w:t> në</w:t>
      </w:r>
      <w:r>
        <w:rPr/>
        <w:t> zonat</w:t>
      </w:r>
      <w:r>
        <w:rPr/>
        <w:t> rurale</w:t>
      </w:r>
      <w:r>
        <w:rPr/>
        <w:t> duhet</w:t>
      </w:r>
      <w:r>
        <w:rPr/>
        <w:t> të</w:t>
      </w:r>
      <w:r>
        <w:rPr/>
        <w:t> udhëtojnë</w:t>
      </w:r>
      <w:r>
        <w:rPr/>
        <w:t> për</w:t>
      </w:r>
      <w:r>
        <w:rPr/>
        <w:t> në</w:t>
      </w:r>
      <w:r>
        <w:rPr/>
        <w:t> qendrën</w:t>
      </w:r>
      <w:r>
        <w:rPr/>
        <w:t> komunale</w:t>
      </w:r>
      <w:r>
        <w:rPr/>
        <w:t> për</w:t>
      </w:r>
      <w:r>
        <w:rPr/>
        <w:t> të</w:t>
      </w:r>
      <w:r>
        <w:rPr/>
        <w:t> kërkuar</w:t>
      </w:r>
      <w:r>
        <w:rPr/>
        <w:t> kujdes mjekësor në Qendrën Kryesore të Mjekësisë Familjare, e cila duhet të përballojë numër të shtuar të pacientëve.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57"/>
        <w:ind w:left="0" w:right="1437" w:firstLine="0"/>
        <w:jc w:val="right"/>
        <w:rPr>
          <w:rFonts w:ascii="Calibri"/>
          <w:sz w:val="21"/>
        </w:rPr>
      </w:pPr>
      <w:r>
        <w:rPr>
          <w:rFonts w:ascii="Calibri"/>
          <w:spacing w:val="-5"/>
          <w:sz w:val="21"/>
        </w:rPr>
        <w:t>36</w:t>
      </w:r>
    </w:p>
    <w:p>
      <w:pPr>
        <w:spacing w:after="0"/>
        <w:jc w:val="right"/>
        <w:rPr>
          <w:rFonts w:ascii="Calibri"/>
          <w:sz w:val="21"/>
        </w:rPr>
        <w:sectPr>
          <w:footerReference w:type="default" r:id="rId60"/>
          <w:pgSz w:w="12240" w:h="15840"/>
          <w:pgMar w:footer="0" w:header="0" w:top="0" w:bottom="280" w:left="700" w:right="0"/>
        </w:sectPr>
      </w:pPr>
    </w:p>
    <w:p>
      <w:pPr>
        <w:pStyle w:val="BodyText"/>
        <w:rPr>
          <w:rFonts w:ascii="Calibri"/>
          <w:sz w:val="20"/>
        </w:rPr>
      </w:pPr>
      <w:r>
        <w:rPr/>
        <w:pict>
          <v:rect style="position:absolute;margin-left:1.5pt;margin-top:1.5pt;width:610.5pt;height:790.499756pt;mso-position-horizontal-relative:page;mso-position-vertical-relative:page;z-index:-19971072" id="docshape255" filled="true" fillcolor="#ffefe4" stroked="false">
            <v:fill type="solid"/>
            <w10:wrap type="none"/>
          </v:rect>
        </w:pict>
      </w:r>
      <w:r>
        <w:rPr/>
        <w:pict>
          <v:group style="position:absolute;margin-left:289.489990pt;margin-top:83.220001pt;width:322.55pt;height:88.75pt;mso-position-horizontal-relative:page;mso-position-vertical-relative:page;z-index:15754240" id="docshapegroup256" coordorigin="5790,1664" coordsize="6451,1775">
            <v:rect style="position:absolute;left:5789;top:1664;width:6451;height:1775" id="docshape257" filled="true" fillcolor="#f9c297" stroked="false">
              <v:fill type="solid"/>
            </v:rect>
            <v:shape style="position:absolute;left:5789;top:1664;width:6451;height:1775" type="#_x0000_t202" id="docshape258" filled="false" stroked="false">
              <v:textbox inset="0,0,0,0">
                <w:txbxContent>
                  <w:p>
                    <w:pPr>
                      <w:spacing w:before="570"/>
                      <w:ind w:left="875" w:right="925" w:firstLine="0"/>
                      <w:jc w:val="center"/>
                      <w:rPr>
                        <w:b/>
                        <w:sz w:val="60"/>
                      </w:rPr>
                    </w:pPr>
                    <w:r>
                      <w:rPr>
                        <w:b/>
                        <w:sz w:val="60"/>
                      </w:rPr>
                      <w:t>Hapësirat</w:t>
                    </w:r>
                    <w:r>
                      <w:rPr>
                        <w:b/>
                        <w:spacing w:val="-27"/>
                        <w:sz w:val="60"/>
                      </w:rPr>
                      <w:t> </w:t>
                    </w:r>
                    <w:r>
                      <w:rPr>
                        <w:b/>
                        <w:spacing w:val="-2"/>
                        <w:sz w:val="60"/>
                      </w:rPr>
                      <w:t>Publike</w:t>
                    </w:r>
                  </w:p>
                </w:txbxContent>
              </v:textbox>
              <w10:wrap type="none"/>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5"/>
        </w:rPr>
      </w:pPr>
    </w:p>
    <w:p>
      <w:pPr>
        <w:pStyle w:val="BodyText"/>
        <w:ind w:left="534"/>
        <w:rPr>
          <w:rFonts w:ascii="Calibri"/>
          <w:sz w:val="20"/>
        </w:rPr>
      </w:pPr>
      <w:r>
        <w:rPr>
          <w:rFonts w:ascii="Calibri"/>
          <w:sz w:val="20"/>
        </w:rPr>
        <w:drawing>
          <wp:inline distT="0" distB="0" distL="0" distR="0">
            <wp:extent cx="3287334" cy="3421094"/>
            <wp:effectExtent l="0" t="0" r="0" b="0"/>
            <wp:docPr id="23" name="image45.png"/>
            <wp:cNvGraphicFramePr>
              <a:graphicFrameLocks noChangeAspect="1"/>
            </wp:cNvGraphicFramePr>
            <a:graphic>
              <a:graphicData uri="http://schemas.openxmlformats.org/drawingml/2006/picture">
                <pic:pic>
                  <pic:nvPicPr>
                    <pic:cNvPr id="24" name="image45.png"/>
                    <pic:cNvPicPr/>
                  </pic:nvPicPr>
                  <pic:blipFill>
                    <a:blip r:embed="rId62" cstate="print"/>
                    <a:stretch>
                      <a:fillRect/>
                    </a:stretch>
                  </pic:blipFill>
                  <pic:spPr>
                    <a:xfrm>
                      <a:off x="0" y="0"/>
                      <a:ext cx="3287334" cy="3421094"/>
                    </a:xfrm>
                    <a:prstGeom prst="rect">
                      <a:avLst/>
                    </a:prstGeom>
                  </pic:spPr>
                </pic:pic>
              </a:graphicData>
            </a:graphic>
          </wp:inline>
        </w:drawing>
      </w:r>
      <w:r>
        <w:rPr>
          <w:rFonts w:ascii="Calibri"/>
          <w:sz w:val="20"/>
        </w:rPr>
      </w:r>
    </w:p>
    <w:p>
      <w:pPr>
        <w:spacing w:after="0"/>
        <w:rPr>
          <w:rFonts w:ascii="Calibri"/>
          <w:sz w:val="20"/>
        </w:rPr>
        <w:sectPr>
          <w:footerReference w:type="default" r:id="rId61"/>
          <w:pgSz w:w="12240" w:h="15840"/>
          <w:pgMar w:footer="0" w:header="0" w:top="1660" w:bottom="0" w:left="700" w:right="0"/>
        </w:sectPr>
      </w:pPr>
    </w:p>
    <w:p>
      <w:pPr>
        <w:pStyle w:val="Heading1"/>
        <w:numPr>
          <w:ilvl w:val="0"/>
          <w:numId w:val="10"/>
        </w:numPr>
        <w:tabs>
          <w:tab w:pos="1810" w:val="left" w:leader="none"/>
        </w:tabs>
        <w:spacing w:line="288" w:lineRule="auto" w:before="102" w:after="0"/>
        <w:ind w:left="1809" w:right="6065" w:hanging="360"/>
        <w:jc w:val="left"/>
        <w:rPr>
          <w:color w:val="FFFFFF"/>
        </w:rPr>
      </w:pPr>
      <w:r>
        <w:rPr/>
        <w:pict>
          <v:group style="position:absolute;margin-left:-.5pt;margin-top:.5pt;width:354.35pt;height:52.3pt;mso-position-horizontal-relative:page;mso-position-vertical-relative:page;z-index:-19969536" id="docshapegroup259" coordorigin="-10,10" coordsize="7087,1046">
            <v:rect style="position:absolute;left:0;top:20;width:7067;height:1026" id="docshape260" filled="true" fillcolor="#eab9a4" stroked="false">
              <v:fill type="solid"/>
            </v:rect>
            <v:rect style="position:absolute;left:0;top:20;width:7067;height:1026" id="docshape261" filled="false" stroked="true" strokeweight="1.0pt" strokecolor="#eab9a4">
              <v:stroke dashstyle="solid"/>
            </v:rect>
            <w10:wrap type="none"/>
          </v:group>
        </w:pict>
      </w:r>
      <w:r>
        <w:rPr/>
        <w:pict>
          <v:group style="position:absolute;margin-left:282.040009pt;margin-top:.501522pt;width:329.75pt;height:52.25pt;mso-position-horizontal-relative:page;mso-position-vertical-relative:paragraph;z-index:15755776" id="docshapegroup262" coordorigin="5641,10" coordsize="6595,1045">
            <v:rect style="position:absolute;left:7078;top:20;width:5147;height:547" id="docshape263" filled="true" fillcolor="#eab9a4" stroked="false">
              <v:fill type="solid"/>
            </v:rect>
            <v:rect style="position:absolute;left:7078;top:20;width:5147;height:547" id="docshape264" filled="false" stroked="true" strokeweight="1pt" strokecolor="#eab9a4">
              <v:stroke dashstyle="solid"/>
            </v:rect>
            <v:shape style="position:absolute;left:5650;top:31;width:2820;height:1013" id="docshape265" coordorigin="5651,32" coordsize="2820,1013" path="m8471,32l6766,32,5651,1044,7356,1044,8471,32xe" filled="true" fillcolor="#eab9a4" stroked="false">
              <v:path arrowok="t"/>
              <v:fill type="solid"/>
            </v:shape>
            <v:shape style="position:absolute;left:5650;top:31;width:2820;height:1013" id="docshape266" coordorigin="5651,32" coordsize="2820,1013" path="m5651,1044l6766,32,8471,32,7356,1044,5651,1044xe" filled="false" stroked="true" strokeweight="1pt" strokecolor="#eab9a4">
              <v:path arrowok="t"/>
              <v:stroke dashstyle="solid"/>
            </v:shape>
            <w10:wrap type="none"/>
          </v:group>
        </w:pict>
      </w:r>
      <w:r>
        <w:rPr>
          <w:color w:val="FFFFFF"/>
        </w:rPr>
        <w:t>Shëndetësia</w:t>
      </w:r>
      <w:r>
        <w:rPr>
          <w:color w:val="FFFFFF"/>
          <w:spacing w:val="-18"/>
        </w:rPr>
        <w:t> </w:t>
      </w:r>
      <w:r>
        <w:rPr>
          <w:color w:val="FFFFFF"/>
        </w:rPr>
        <w:t>dhe</w:t>
      </w:r>
      <w:r>
        <w:rPr>
          <w:color w:val="FFFFFF"/>
          <w:spacing w:val="-20"/>
        </w:rPr>
        <w:t> </w:t>
      </w:r>
      <w:r>
        <w:rPr>
          <w:color w:val="FFFFFF"/>
        </w:rPr>
        <w:t>mirëqenia </w:t>
      </w:r>
      <w:r>
        <w:rPr>
          <w:color w:val="FFFFFF"/>
          <w:spacing w:val="-2"/>
        </w:rPr>
        <w:t>sociale</w:t>
      </w:r>
    </w:p>
    <w:p>
      <w:pPr>
        <w:pStyle w:val="BodyText"/>
        <w:rPr>
          <w:b/>
          <w:sz w:val="20"/>
        </w:rPr>
      </w:pPr>
    </w:p>
    <w:p>
      <w:pPr>
        <w:pStyle w:val="BodyText"/>
        <w:spacing w:before="225"/>
        <w:ind w:left="740" w:right="1468" w:firstLine="60"/>
        <w:jc w:val="both"/>
      </w:pPr>
      <w:r>
        <w:rPr/>
        <w:t>Shikuar përgjithësisht, si rezultat i strukturave kryesisht rurale në vendbanime të ndara në lagje, si</w:t>
      </w:r>
      <w:r>
        <w:rPr>
          <w:spacing w:val="-3"/>
        </w:rPr>
        <w:t> </w:t>
      </w:r>
      <w:r>
        <w:rPr/>
        <w:t>dhe</w:t>
      </w:r>
      <w:r>
        <w:rPr>
          <w:spacing w:val="-3"/>
        </w:rPr>
        <w:t> </w:t>
      </w:r>
      <w:r>
        <w:rPr/>
        <w:t>procesit</w:t>
      </w:r>
      <w:r>
        <w:rPr>
          <w:spacing w:val="-3"/>
        </w:rPr>
        <w:t> </w:t>
      </w:r>
      <w:r>
        <w:rPr/>
        <w:t>më</w:t>
      </w:r>
      <w:r>
        <w:rPr>
          <w:spacing w:val="-3"/>
        </w:rPr>
        <w:t> </w:t>
      </w:r>
      <w:r>
        <w:rPr/>
        <w:t>të</w:t>
      </w:r>
      <w:r>
        <w:rPr>
          <w:spacing w:val="-3"/>
        </w:rPr>
        <w:t> </w:t>
      </w:r>
      <w:r>
        <w:rPr/>
        <w:t>vonshëm</w:t>
      </w:r>
      <w:r>
        <w:rPr>
          <w:spacing w:val="-3"/>
        </w:rPr>
        <w:t> </w:t>
      </w:r>
      <w:r>
        <w:rPr/>
        <w:t>të</w:t>
      </w:r>
      <w:r>
        <w:rPr>
          <w:spacing w:val="-3"/>
        </w:rPr>
        <w:t> </w:t>
      </w:r>
      <w:r>
        <w:rPr/>
        <w:t>urbanizimit</w:t>
      </w:r>
      <w:r>
        <w:rPr>
          <w:spacing w:val="-3"/>
        </w:rPr>
        <w:t> </w:t>
      </w:r>
      <w:r>
        <w:rPr/>
        <w:t>të</w:t>
      </w:r>
      <w:r>
        <w:rPr>
          <w:spacing w:val="-4"/>
        </w:rPr>
        <w:t> </w:t>
      </w:r>
      <w:r>
        <w:rPr/>
        <w:t>qendrës</w:t>
      </w:r>
      <w:r>
        <w:rPr>
          <w:spacing w:val="-3"/>
        </w:rPr>
        <w:t> </w:t>
      </w:r>
      <w:r>
        <w:rPr/>
        <w:t>komunale,</w:t>
      </w:r>
      <w:r>
        <w:rPr>
          <w:spacing w:val="-3"/>
        </w:rPr>
        <w:t> </w:t>
      </w:r>
      <w:r>
        <w:rPr/>
        <w:t>hapësirat</w:t>
      </w:r>
      <w:r>
        <w:rPr>
          <w:spacing w:val="-3"/>
        </w:rPr>
        <w:t> </w:t>
      </w:r>
      <w:r>
        <w:rPr/>
        <w:t>në</w:t>
      </w:r>
      <w:r>
        <w:rPr>
          <w:spacing w:val="-3"/>
        </w:rPr>
        <w:t> </w:t>
      </w:r>
      <w:r>
        <w:rPr/>
        <w:t>trajtë</w:t>
      </w:r>
      <w:r>
        <w:rPr>
          <w:spacing w:val="-3"/>
        </w:rPr>
        <w:t> </w:t>
      </w:r>
      <w:r>
        <w:rPr/>
        <w:t>të</w:t>
      </w:r>
      <w:r>
        <w:rPr>
          <w:spacing w:val="-3"/>
        </w:rPr>
        <w:t> </w:t>
      </w:r>
      <w:r>
        <w:rPr/>
        <w:t>shesheve janë në mungesë.</w:t>
      </w:r>
    </w:p>
    <w:p>
      <w:pPr>
        <w:pStyle w:val="BodyText"/>
        <w:spacing w:before="10"/>
        <w:rPr>
          <w:sz w:val="20"/>
        </w:rPr>
      </w:pPr>
    </w:p>
    <w:p>
      <w:pPr>
        <w:pStyle w:val="BodyText"/>
        <w:ind w:left="740" w:right="1465"/>
        <w:jc w:val="both"/>
      </w:pPr>
      <w:r>
        <w:rPr/>
        <w:t>Ekziston sheshi i Qytezës i cili së bashku me hapësirën publike për ecje dhe hapësirën e gjelbër përreth paraqet rastin më pozitiv të një hapësire publike të rregulluar. Ky shesh shtrihet në vet bërthamën</w:t>
      </w:r>
      <w:r>
        <w:rPr>
          <w:spacing w:val="-4"/>
        </w:rPr>
        <w:t> </w:t>
      </w:r>
      <w:r>
        <w:rPr/>
        <w:t>e</w:t>
      </w:r>
      <w:r>
        <w:rPr>
          <w:spacing w:val="-4"/>
        </w:rPr>
        <w:t> </w:t>
      </w:r>
      <w:r>
        <w:rPr/>
        <w:t>Qytezës</w:t>
      </w:r>
      <w:r>
        <w:rPr>
          <w:spacing w:val="-4"/>
        </w:rPr>
        <w:t> </w:t>
      </w:r>
      <w:r>
        <w:rPr/>
        <w:t>dhe</w:t>
      </w:r>
      <w:r>
        <w:rPr>
          <w:spacing w:val="-4"/>
        </w:rPr>
        <w:t> </w:t>
      </w:r>
      <w:r>
        <w:rPr/>
        <w:t>ofron</w:t>
      </w:r>
      <w:r>
        <w:rPr>
          <w:spacing w:val="-4"/>
        </w:rPr>
        <w:t> </w:t>
      </w:r>
      <w:r>
        <w:rPr/>
        <w:t>qasje</w:t>
      </w:r>
      <w:r>
        <w:rPr>
          <w:spacing w:val="-4"/>
        </w:rPr>
        <w:t> </w:t>
      </w:r>
      <w:r>
        <w:rPr/>
        <w:t>të</w:t>
      </w:r>
      <w:r>
        <w:rPr>
          <w:spacing w:val="-4"/>
        </w:rPr>
        <w:t> </w:t>
      </w:r>
      <w:r>
        <w:rPr/>
        <w:t>drejtpërdrejtë</w:t>
      </w:r>
      <w:r>
        <w:rPr>
          <w:spacing w:val="-4"/>
        </w:rPr>
        <w:t> </w:t>
      </w:r>
      <w:r>
        <w:rPr/>
        <w:t>të</w:t>
      </w:r>
      <w:r>
        <w:rPr>
          <w:spacing w:val="-4"/>
        </w:rPr>
        <w:t> </w:t>
      </w:r>
      <w:r>
        <w:rPr/>
        <w:t>funksionet</w:t>
      </w:r>
      <w:r>
        <w:rPr>
          <w:spacing w:val="-4"/>
        </w:rPr>
        <w:t> </w:t>
      </w:r>
      <w:r>
        <w:rPr/>
        <w:t>kryesore</w:t>
      </w:r>
      <w:r>
        <w:rPr>
          <w:spacing w:val="-4"/>
        </w:rPr>
        <w:t> </w:t>
      </w:r>
      <w:r>
        <w:rPr/>
        <w:t>urbane.</w:t>
      </w:r>
      <w:r>
        <w:rPr>
          <w:spacing w:val="-4"/>
        </w:rPr>
        <w:t> </w:t>
      </w:r>
      <w:r>
        <w:rPr/>
        <w:t>Mes</w:t>
      </w:r>
      <w:r>
        <w:rPr>
          <w:spacing w:val="-4"/>
        </w:rPr>
        <w:t> </w:t>
      </w:r>
      <w:r>
        <w:rPr/>
        <w:t>tjerash, shërben edhe për aktivitete të socializimit, rekreacionit pasiv, pushimit, lëvizjes</w:t>
      </w:r>
      <w:r>
        <w:rPr>
          <w:vertAlign w:val="superscript"/>
        </w:rPr>
        <w:t>11</w:t>
      </w:r>
      <w:r>
        <w:rPr>
          <w:vertAlign w:val="baseline"/>
        </w:rPr>
        <w:t>, etj.</w:t>
      </w:r>
    </w:p>
    <w:p>
      <w:pPr>
        <w:pStyle w:val="BodyText"/>
        <w:spacing w:before="241"/>
        <w:ind w:left="740" w:right="1463"/>
        <w:jc w:val="both"/>
      </w:pPr>
      <w:r>
        <w:rPr/>
        <w:t>Hapësira</w:t>
      </w:r>
      <w:r>
        <w:rPr>
          <w:spacing w:val="-7"/>
        </w:rPr>
        <w:t> </w:t>
      </w:r>
      <w:r>
        <w:rPr/>
        <w:t>publike</w:t>
      </w:r>
      <w:r>
        <w:rPr>
          <w:spacing w:val="-7"/>
        </w:rPr>
        <w:t> </w:t>
      </w:r>
      <w:r>
        <w:rPr/>
        <w:t>të</w:t>
      </w:r>
      <w:r>
        <w:rPr>
          <w:spacing w:val="-8"/>
        </w:rPr>
        <w:t> </w:t>
      </w:r>
      <w:r>
        <w:rPr/>
        <w:t>rregulluara</w:t>
      </w:r>
      <w:r>
        <w:rPr>
          <w:spacing w:val="-7"/>
        </w:rPr>
        <w:t> </w:t>
      </w:r>
      <w:r>
        <w:rPr/>
        <w:t>ka</w:t>
      </w:r>
      <w:r>
        <w:rPr>
          <w:spacing w:val="-7"/>
        </w:rPr>
        <w:t> </w:t>
      </w:r>
      <w:r>
        <w:rPr/>
        <w:t>edhe</w:t>
      </w:r>
      <w:r>
        <w:rPr>
          <w:spacing w:val="-7"/>
        </w:rPr>
        <w:t> </w:t>
      </w:r>
      <w:r>
        <w:rPr/>
        <w:t>në</w:t>
      </w:r>
      <w:r>
        <w:rPr>
          <w:spacing w:val="-7"/>
        </w:rPr>
        <w:t> </w:t>
      </w:r>
      <w:r>
        <w:rPr/>
        <w:t>qendër</w:t>
      </w:r>
      <w:r>
        <w:rPr>
          <w:spacing w:val="-7"/>
        </w:rPr>
        <w:t> </w:t>
      </w:r>
      <w:r>
        <w:rPr/>
        <w:t>të</w:t>
      </w:r>
      <w:r>
        <w:rPr>
          <w:spacing w:val="-7"/>
        </w:rPr>
        <w:t> </w:t>
      </w:r>
      <w:r>
        <w:rPr/>
        <w:t>Gorancës</w:t>
      </w:r>
      <w:r>
        <w:rPr>
          <w:spacing w:val="-7"/>
        </w:rPr>
        <w:t> </w:t>
      </w:r>
      <w:r>
        <w:rPr/>
        <w:t>te</w:t>
      </w:r>
      <w:r>
        <w:rPr>
          <w:spacing w:val="-7"/>
        </w:rPr>
        <w:t> </w:t>
      </w:r>
      <w:r>
        <w:rPr/>
        <w:t>AMF-ja</w:t>
      </w:r>
      <w:r>
        <w:rPr>
          <w:spacing w:val="-8"/>
        </w:rPr>
        <w:t> </w:t>
      </w:r>
      <w:r>
        <w:rPr/>
        <w:t>dhe</w:t>
      </w:r>
      <w:r>
        <w:rPr>
          <w:spacing w:val="-7"/>
        </w:rPr>
        <w:t> </w:t>
      </w:r>
      <w:r>
        <w:rPr/>
        <w:t>në</w:t>
      </w:r>
      <w:r>
        <w:rPr>
          <w:spacing w:val="-7"/>
        </w:rPr>
        <w:t> </w:t>
      </w:r>
      <w:r>
        <w:rPr/>
        <w:t>Paldenicë</w:t>
      </w:r>
      <w:r>
        <w:rPr>
          <w:spacing w:val="-8"/>
        </w:rPr>
        <w:t> </w:t>
      </w:r>
      <w:r>
        <w:rPr/>
        <w:t>te</w:t>
      </w:r>
      <w:r>
        <w:rPr>
          <w:spacing w:val="-7"/>
        </w:rPr>
        <w:t> </w:t>
      </w:r>
      <w:r>
        <w:rPr/>
        <w:t>kroi mbi fshat; përderisa ka potenciale për hapësira publike përgjatë Lumit Lepenc.</w:t>
      </w:r>
    </w:p>
    <w:p>
      <w:pPr>
        <w:pStyle w:val="BodyText"/>
        <w:spacing w:before="9"/>
        <w:rPr>
          <w:sz w:val="20"/>
        </w:rPr>
      </w:pPr>
    </w:p>
    <w:p>
      <w:pPr>
        <w:pStyle w:val="BodyText"/>
        <w:spacing w:before="1"/>
        <w:ind w:left="740" w:right="1442"/>
        <w:jc w:val="both"/>
      </w:pPr>
      <w:r>
        <w:rPr/>
        <w:t>Shikuar</w:t>
      </w:r>
      <w:r>
        <w:rPr/>
        <w:t> përgjithësisht,</w:t>
      </w:r>
      <w:r>
        <w:rPr/>
        <w:t> hapësirat</w:t>
      </w:r>
      <w:r>
        <w:rPr/>
        <w:t> e</w:t>
      </w:r>
      <w:r>
        <w:rPr/>
        <w:t> reja</w:t>
      </w:r>
      <w:r>
        <w:rPr/>
        <w:t> potenciale</w:t>
      </w:r>
      <w:r>
        <w:rPr/>
        <w:t> për</w:t>
      </w:r>
      <w:r>
        <w:rPr/>
        <w:t> shndërrim</w:t>
      </w:r>
      <w:r>
        <w:rPr/>
        <w:t> në</w:t>
      </w:r>
      <w:r>
        <w:rPr/>
        <w:t> hapësira</w:t>
      </w:r>
      <w:r>
        <w:rPr/>
        <w:t> publike,</w:t>
      </w:r>
      <w:r>
        <w:rPr/>
        <w:t> si dhe përmirësimi</w:t>
      </w:r>
      <w:r>
        <w:rPr>
          <w:spacing w:val="-1"/>
        </w:rPr>
        <w:t> </w:t>
      </w:r>
      <w:r>
        <w:rPr/>
        <w:t>i qasjes dhe</w:t>
      </w:r>
      <w:r>
        <w:rPr>
          <w:spacing w:val="-1"/>
        </w:rPr>
        <w:t> </w:t>
      </w:r>
      <w:r>
        <w:rPr/>
        <w:t>krijimin e</w:t>
      </w:r>
      <w:r>
        <w:rPr>
          <w:spacing w:val="-1"/>
        </w:rPr>
        <w:t> </w:t>
      </w:r>
      <w:r>
        <w:rPr/>
        <w:t>infrastrukturës së gjelbër,</w:t>
      </w:r>
      <w:r>
        <w:rPr>
          <w:spacing w:val="-1"/>
        </w:rPr>
        <w:t> </w:t>
      </w:r>
      <w:r>
        <w:rPr/>
        <w:t>mbeten</w:t>
      </w:r>
      <w:r>
        <w:rPr>
          <w:spacing w:val="-1"/>
        </w:rPr>
        <w:t> </w:t>
      </w:r>
      <w:r>
        <w:rPr/>
        <w:t>një</w:t>
      </w:r>
      <w:r>
        <w:rPr>
          <w:spacing w:val="-2"/>
        </w:rPr>
        <w:t> </w:t>
      </w:r>
      <w:r>
        <w:rPr/>
        <w:t>kërkesë</w:t>
      </w:r>
      <w:r>
        <w:rPr>
          <w:spacing w:val="-1"/>
        </w:rPr>
        <w:t> </w:t>
      </w:r>
      <w:r>
        <w:rPr/>
        <w:t>për</w:t>
      </w:r>
      <w:r>
        <w:rPr>
          <w:spacing w:val="-2"/>
        </w:rPr>
        <w:t> </w:t>
      </w:r>
      <w:r>
        <w:rPr/>
        <w:t>të ardhmen, që do të varen edhe nga ritmi i zhvillimeve të reja në vendbanime.</w:t>
      </w:r>
    </w:p>
    <w:p>
      <w:pPr>
        <w:pStyle w:val="BodyText"/>
        <w:spacing w:before="9"/>
        <w:rPr>
          <w:sz w:val="20"/>
        </w:rPr>
      </w:pPr>
    </w:p>
    <w:p>
      <w:pPr>
        <w:pStyle w:val="Heading2"/>
        <w:numPr>
          <w:ilvl w:val="1"/>
          <w:numId w:val="10"/>
        </w:numPr>
        <w:tabs>
          <w:tab w:pos="1521" w:val="left" w:leader="none"/>
          <w:tab w:pos="10104" w:val="left" w:leader="none"/>
        </w:tabs>
        <w:spacing w:line="240" w:lineRule="auto" w:before="1" w:after="0"/>
        <w:ind w:left="800" w:right="0" w:firstLine="270"/>
        <w:jc w:val="left"/>
      </w:pPr>
      <w:r>
        <w:rPr>
          <w:color w:val="FFFFFF"/>
          <w:shd w:fill="EAB8A3" w:color="auto" w:val="clear"/>
        </w:rPr>
        <w:t>Parku</w:t>
      </w:r>
      <w:r>
        <w:rPr>
          <w:color w:val="FFFFFF"/>
          <w:spacing w:val="-1"/>
          <w:shd w:fill="EAB8A3" w:color="auto" w:val="clear"/>
        </w:rPr>
        <w:t> </w:t>
      </w:r>
      <w:r>
        <w:rPr>
          <w:color w:val="FFFFFF"/>
          <w:shd w:fill="EAB8A3" w:color="auto" w:val="clear"/>
        </w:rPr>
        <w:t>i</w:t>
      </w:r>
      <w:r>
        <w:rPr>
          <w:color w:val="FFFFFF"/>
          <w:spacing w:val="-1"/>
          <w:shd w:fill="EAB8A3" w:color="auto" w:val="clear"/>
        </w:rPr>
        <w:t> </w:t>
      </w:r>
      <w:r>
        <w:rPr>
          <w:color w:val="FFFFFF"/>
          <w:spacing w:val="-2"/>
          <w:shd w:fill="EAB8A3" w:color="auto" w:val="clear"/>
        </w:rPr>
        <w:t>Qytezës</w:t>
      </w:r>
      <w:r>
        <w:rPr>
          <w:color w:val="FFFFFF"/>
          <w:shd w:fill="EAB8A3" w:color="auto" w:val="clear"/>
        </w:rPr>
        <w:tab/>
      </w:r>
    </w:p>
    <w:p>
      <w:pPr>
        <w:pStyle w:val="BodyText"/>
        <w:spacing w:before="10"/>
        <w:rPr>
          <w:b/>
          <w:sz w:val="20"/>
        </w:rPr>
      </w:pPr>
    </w:p>
    <w:p>
      <w:pPr>
        <w:pStyle w:val="BodyText"/>
        <w:ind w:left="740" w:right="1463" w:firstLine="60"/>
        <w:jc w:val="both"/>
      </w:pPr>
      <w:r>
        <w:rPr/>
        <w:t>Hapësira</w:t>
      </w:r>
      <w:r>
        <w:rPr>
          <w:spacing w:val="-13"/>
        </w:rPr>
        <w:t> </w:t>
      </w:r>
      <w:r>
        <w:rPr/>
        <w:t>prej</w:t>
      </w:r>
      <w:r>
        <w:rPr>
          <w:spacing w:val="-13"/>
        </w:rPr>
        <w:t> </w:t>
      </w:r>
      <w:r>
        <w:rPr/>
        <w:t>21693</w:t>
      </w:r>
      <w:r>
        <w:rPr>
          <w:spacing w:val="-12"/>
        </w:rPr>
        <w:t> </w:t>
      </w:r>
      <w:r>
        <w:rPr/>
        <w:t>m².</w:t>
      </w:r>
      <w:r>
        <w:rPr>
          <w:spacing w:val="-14"/>
        </w:rPr>
        <w:t> </w:t>
      </w:r>
      <w:r>
        <w:rPr/>
        <w:t>e</w:t>
      </w:r>
      <w:r>
        <w:rPr>
          <w:spacing w:val="-13"/>
        </w:rPr>
        <w:t> </w:t>
      </w:r>
      <w:r>
        <w:rPr/>
        <w:t>destinuar</w:t>
      </w:r>
      <w:r>
        <w:rPr>
          <w:spacing w:val="-13"/>
        </w:rPr>
        <w:t> </w:t>
      </w:r>
      <w:r>
        <w:rPr/>
        <w:t>për</w:t>
      </w:r>
      <w:r>
        <w:rPr>
          <w:spacing w:val="-13"/>
        </w:rPr>
        <w:t> </w:t>
      </w:r>
      <w:r>
        <w:rPr/>
        <w:t>Park</w:t>
      </w:r>
      <w:r>
        <w:rPr>
          <w:spacing w:val="-13"/>
        </w:rPr>
        <w:t> </w:t>
      </w:r>
      <w:r>
        <w:rPr/>
        <w:t>të</w:t>
      </w:r>
      <w:r>
        <w:rPr>
          <w:spacing w:val="-14"/>
        </w:rPr>
        <w:t> </w:t>
      </w:r>
      <w:r>
        <w:rPr/>
        <w:t>Qytezës</w:t>
      </w:r>
      <w:r>
        <w:rPr>
          <w:spacing w:val="-13"/>
        </w:rPr>
        <w:t> </w:t>
      </w:r>
      <w:r>
        <w:rPr/>
        <w:t>gjendet</w:t>
      </w:r>
      <w:r>
        <w:rPr>
          <w:spacing w:val="-13"/>
        </w:rPr>
        <w:t> </w:t>
      </w:r>
      <w:r>
        <w:rPr/>
        <w:t>në</w:t>
      </w:r>
      <w:r>
        <w:rPr>
          <w:spacing w:val="-13"/>
        </w:rPr>
        <w:t> </w:t>
      </w:r>
      <w:r>
        <w:rPr/>
        <w:t>pjesën</w:t>
      </w:r>
      <w:r>
        <w:rPr>
          <w:spacing w:val="-13"/>
        </w:rPr>
        <w:t> </w:t>
      </w:r>
      <w:r>
        <w:rPr/>
        <w:t>lindore</w:t>
      </w:r>
      <w:r>
        <w:rPr>
          <w:spacing w:val="-14"/>
        </w:rPr>
        <w:t> </w:t>
      </w:r>
      <w:r>
        <w:rPr/>
        <w:t>të</w:t>
      </w:r>
      <w:r>
        <w:rPr>
          <w:spacing w:val="-14"/>
        </w:rPr>
        <w:t> </w:t>
      </w:r>
      <w:r>
        <w:rPr/>
        <w:t>zonës</w:t>
      </w:r>
      <w:r>
        <w:rPr>
          <w:spacing w:val="-13"/>
        </w:rPr>
        <w:t> </w:t>
      </w:r>
      <w:r>
        <w:rPr/>
        <w:t>urbane. Sipërfaqja</w:t>
      </w:r>
      <w:r>
        <w:rPr>
          <w:spacing w:val="-10"/>
        </w:rPr>
        <w:t> </w:t>
      </w:r>
      <w:r>
        <w:rPr/>
        <w:t>e</w:t>
      </w:r>
      <w:r>
        <w:rPr>
          <w:spacing w:val="-10"/>
        </w:rPr>
        <w:t> </w:t>
      </w:r>
      <w:r>
        <w:rPr/>
        <w:t>gjelbër</w:t>
      </w:r>
      <w:r>
        <w:rPr>
          <w:spacing w:val="-10"/>
        </w:rPr>
        <w:t> </w:t>
      </w:r>
      <w:r>
        <w:rPr/>
        <w:t>me</w:t>
      </w:r>
      <w:r>
        <w:rPr>
          <w:spacing w:val="-9"/>
        </w:rPr>
        <w:t> </w:t>
      </w:r>
      <w:r>
        <w:rPr/>
        <w:t>pyje,</w:t>
      </w:r>
      <w:r>
        <w:rPr>
          <w:spacing w:val="-9"/>
        </w:rPr>
        <w:t> </w:t>
      </w:r>
      <w:r>
        <w:rPr/>
        <w:t>shkurre</w:t>
      </w:r>
      <w:r>
        <w:rPr>
          <w:spacing w:val="-12"/>
        </w:rPr>
        <w:t> </w:t>
      </w:r>
      <w:r>
        <w:rPr/>
        <w:t>e</w:t>
      </w:r>
      <w:r>
        <w:rPr>
          <w:spacing w:val="-9"/>
        </w:rPr>
        <w:t> </w:t>
      </w:r>
      <w:r>
        <w:rPr/>
        <w:t>barë</w:t>
      </w:r>
      <w:r>
        <w:rPr>
          <w:spacing w:val="-10"/>
        </w:rPr>
        <w:t> </w:t>
      </w:r>
      <w:r>
        <w:rPr/>
        <w:t>është</w:t>
      </w:r>
      <w:r>
        <w:rPr>
          <w:spacing w:val="-9"/>
        </w:rPr>
        <w:t> </w:t>
      </w:r>
      <w:r>
        <w:rPr/>
        <w:t>unike</w:t>
      </w:r>
      <w:r>
        <w:rPr>
          <w:spacing w:val="-8"/>
        </w:rPr>
        <w:t> </w:t>
      </w:r>
      <w:r>
        <w:rPr/>
        <w:t>përgjatë</w:t>
      </w:r>
      <w:r>
        <w:rPr>
          <w:spacing w:val="-8"/>
        </w:rPr>
        <w:t> </w:t>
      </w:r>
      <w:r>
        <w:rPr/>
        <w:t>luginës</w:t>
      </w:r>
      <w:r>
        <w:rPr>
          <w:spacing w:val="-9"/>
        </w:rPr>
        <w:t> </w:t>
      </w:r>
      <w:r>
        <w:rPr/>
        <w:t>së</w:t>
      </w:r>
      <w:r>
        <w:rPr>
          <w:spacing w:val="-9"/>
        </w:rPr>
        <w:t> </w:t>
      </w:r>
      <w:r>
        <w:rPr/>
        <w:t>Lumit</w:t>
      </w:r>
      <w:r>
        <w:rPr>
          <w:spacing w:val="-8"/>
        </w:rPr>
        <w:t> </w:t>
      </w:r>
      <w:r>
        <w:rPr/>
        <w:t>Dimca.</w:t>
      </w:r>
      <w:r>
        <w:rPr>
          <w:spacing w:val="-9"/>
        </w:rPr>
        <w:t> </w:t>
      </w:r>
      <w:r>
        <w:rPr/>
        <w:t>Lëvizjet për</w:t>
      </w:r>
      <w:r>
        <w:rPr>
          <w:spacing w:val="-8"/>
        </w:rPr>
        <w:t> </w:t>
      </w:r>
      <w:r>
        <w:rPr/>
        <w:t>këmbësorë</w:t>
      </w:r>
      <w:r>
        <w:rPr>
          <w:spacing w:val="-8"/>
        </w:rPr>
        <w:t> </w:t>
      </w:r>
      <w:r>
        <w:rPr/>
        <w:t>janë</w:t>
      </w:r>
      <w:r>
        <w:rPr>
          <w:spacing w:val="-10"/>
        </w:rPr>
        <w:t> </w:t>
      </w:r>
      <w:r>
        <w:rPr/>
        <w:t>relativisht</w:t>
      </w:r>
      <w:r>
        <w:rPr>
          <w:spacing w:val="-9"/>
        </w:rPr>
        <w:t> </w:t>
      </w:r>
      <w:r>
        <w:rPr/>
        <w:t>mirë</w:t>
      </w:r>
      <w:r>
        <w:rPr>
          <w:spacing w:val="-9"/>
        </w:rPr>
        <w:t> </w:t>
      </w:r>
      <w:r>
        <w:rPr/>
        <w:t>të</w:t>
      </w:r>
      <w:r>
        <w:rPr>
          <w:spacing w:val="-9"/>
        </w:rPr>
        <w:t> </w:t>
      </w:r>
      <w:r>
        <w:rPr/>
        <w:t>rregulluara</w:t>
      </w:r>
      <w:r>
        <w:rPr>
          <w:spacing w:val="-10"/>
        </w:rPr>
        <w:t> </w:t>
      </w:r>
      <w:r>
        <w:rPr/>
        <w:t>duke</w:t>
      </w:r>
      <w:r>
        <w:rPr>
          <w:spacing w:val="-8"/>
        </w:rPr>
        <w:t> </w:t>
      </w:r>
      <w:r>
        <w:rPr/>
        <w:t>përfshirë</w:t>
      </w:r>
      <w:r>
        <w:rPr>
          <w:spacing w:val="-8"/>
        </w:rPr>
        <w:t> </w:t>
      </w:r>
      <w:r>
        <w:rPr/>
        <w:t>edhe</w:t>
      </w:r>
      <w:r>
        <w:rPr>
          <w:spacing w:val="-8"/>
        </w:rPr>
        <w:t> </w:t>
      </w:r>
      <w:r>
        <w:rPr/>
        <w:t>disa</w:t>
      </w:r>
      <w:r>
        <w:rPr>
          <w:spacing w:val="-9"/>
        </w:rPr>
        <w:t> </w:t>
      </w:r>
      <w:r>
        <w:rPr/>
        <w:t>objekte</w:t>
      </w:r>
      <w:r>
        <w:rPr>
          <w:spacing w:val="-9"/>
        </w:rPr>
        <w:t> </w:t>
      </w:r>
      <w:r>
        <w:rPr/>
        <w:t>për</w:t>
      </w:r>
      <w:r>
        <w:rPr>
          <w:spacing w:val="-10"/>
        </w:rPr>
        <w:t> </w:t>
      </w:r>
      <w:r>
        <w:rPr/>
        <w:t>organizime të</w:t>
      </w:r>
      <w:r>
        <w:rPr>
          <w:spacing w:val="-13"/>
        </w:rPr>
        <w:t> </w:t>
      </w:r>
      <w:r>
        <w:rPr/>
        <w:t>ndryshme.</w:t>
      </w:r>
      <w:r>
        <w:rPr>
          <w:spacing w:val="-14"/>
        </w:rPr>
        <w:t> </w:t>
      </w:r>
      <w:r>
        <w:rPr/>
        <w:t>Parku</w:t>
      </w:r>
      <w:r>
        <w:rPr>
          <w:spacing w:val="-13"/>
        </w:rPr>
        <w:t> </w:t>
      </w:r>
      <w:r>
        <w:rPr/>
        <w:t>ka</w:t>
      </w:r>
      <w:r>
        <w:rPr>
          <w:spacing w:val="-13"/>
        </w:rPr>
        <w:t> </w:t>
      </w:r>
      <w:r>
        <w:rPr/>
        <w:t>nevojë</w:t>
      </w:r>
      <w:r>
        <w:rPr>
          <w:spacing w:val="-13"/>
        </w:rPr>
        <w:t> </w:t>
      </w:r>
      <w:r>
        <w:rPr/>
        <w:t>për</w:t>
      </w:r>
      <w:r>
        <w:rPr>
          <w:spacing w:val="-14"/>
        </w:rPr>
        <w:t> </w:t>
      </w:r>
      <w:r>
        <w:rPr/>
        <w:t>mirëmbajtje</w:t>
      </w:r>
      <w:r>
        <w:rPr>
          <w:spacing w:val="-14"/>
        </w:rPr>
        <w:t> </w:t>
      </w:r>
      <w:r>
        <w:rPr/>
        <w:t>të</w:t>
      </w:r>
      <w:r>
        <w:rPr>
          <w:spacing w:val="-13"/>
        </w:rPr>
        <w:t> </w:t>
      </w:r>
      <w:r>
        <w:rPr/>
        <w:t>rregullt</w:t>
      </w:r>
      <w:r>
        <w:rPr>
          <w:spacing w:val="-13"/>
        </w:rPr>
        <w:t> </w:t>
      </w:r>
      <w:r>
        <w:rPr/>
        <w:t>dhe</w:t>
      </w:r>
      <w:r>
        <w:rPr>
          <w:spacing w:val="-13"/>
        </w:rPr>
        <w:t> </w:t>
      </w:r>
      <w:r>
        <w:rPr/>
        <w:t>intervenime</w:t>
      </w:r>
      <w:r>
        <w:rPr>
          <w:spacing w:val="-14"/>
        </w:rPr>
        <w:t> </w:t>
      </w:r>
      <w:r>
        <w:rPr/>
        <w:t>të</w:t>
      </w:r>
      <w:r>
        <w:rPr>
          <w:spacing w:val="-14"/>
        </w:rPr>
        <w:t> </w:t>
      </w:r>
      <w:r>
        <w:rPr/>
        <w:t>mëtutjeshme</w:t>
      </w:r>
      <w:r>
        <w:rPr>
          <w:spacing w:val="-13"/>
        </w:rPr>
        <w:t> </w:t>
      </w:r>
      <w:r>
        <w:rPr/>
        <w:t>për</w:t>
      </w:r>
      <w:r>
        <w:rPr>
          <w:spacing w:val="-13"/>
        </w:rPr>
        <w:t> </w:t>
      </w:r>
      <w:r>
        <w:rPr/>
        <w:t>qasje drejt tij nga zona urbane dhe më tej, sipërfaqe rekreacionale dhe të ngjashme.</w:t>
      </w:r>
    </w:p>
    <w:p>
      <w:pPr>
        <w:pStyle w:val="BodyText"/>
        <w:spacing w:before="10"/>
        <w:rPr>
          <w:sz w:val="20"/>
        </w:rPr>
      </w:pPr>
    </w:p>
    <w:p>
      <w:pPr>
        <w:pStyle w:val="Heading2"/>
        <w:numPr>
          <w:ilvl w:val="1"/>
          <w:numId w:val="10"/>
        </w:numPr>
        <w:tabs>
          <w:tab w:pos="1521" w:val="left" w:leader="none"/>
          <w:tab w:pos="10104" w:val="left" w:leader="none"/>
        </w:tabs>
        <w:spacing w:line="240" w:lineRule="auto" w:before="0" w:after="0"/>
        <w:ind w:left="740" w:right="0" w:firstLine="330"/>
        <w:jc w:val="left"/>
      </w:pPr>
      <w:r>
        <w:rPr>
          <w:color w:val="FFFFFF"/>
          <w:shd w:fill="EAB8A3" w:color="auto" w:val="clear"/>
        </w:rPr>
        <w:t>Koridoret</w:t>
      </w:r>
      <w:r>
        <w:rPr>
          <w:color w:val="FFFFFF"/>
          <w:spacing w:val="-2"/>
          <w:shd w:fill="EAB8A3" w:color="auto" w:val="clear"/>
        </w:rPr>
        <w:t> </w:t>
      </w:r>
      <w:r>
        <w:rPr>
          <w:color w:val="FFFFFF"/>
          <w:shd w:fill="EAB8A3" w:color="auto" w:val="clear"/>
        </w:rPr>
        <w:t>e </w:t>
      </w:r>
      <w:r>
        <w:rPr>
          <w:color w:val="FFFFFF"/>
          <w:spacing w:val="-2"/>
          <w:shd w:fill="EAB8A3" w:color="auto" w:val="clear"/>
        </w:rPr>
        <w:t>gjelbra</w:t>
      </w:r>
      <w:r>
        <w:rPr>
          <w:color w:val="FFFFFF"/>
          <w:shd w:fill="EAB8A3" w:color="auto" w:val="clear"/>
        </w:rPr>
        <w:tab/>
      </w:r>
    </w:p>
    <w:p>
      <w:pPr>
        <w:pStyle w:val="BodyText"/>
        <w:spacing w:before="10"/>
        <w:rPr>
          <w:b/>
          <w:sz w:val="20"/>
        </w:rPr>
      </w:pPr>
    </w:p>
    <w:p>
      <w:pPr>
        <w:pStyle w:val="BodyText"/>
        <w:ind w:left="740" w:right="1464"/>
        <w:jc w:val="both"/>
      </w:pPr>
      <w:r>
        <w:rPr/>
        <w:t>Shtegu për këmbësorë nga Uji i Thartë deri te Pika Kufitare (3.2 km) tashmë është shndërruar në një korridor të gjelbër që nga prezantimi i gjelbërimit në shumicën e segmentit të tij. Përderisa mirëmbajtja duhet të jetë më serioze, shirita gjelbërimi mundë të rregullohen edhe për kufizim mjedisor të zonës industriale dhe në hapësira tjera të identifikuara.</w:t>
      </w:r>
    </w:p>
    <w:p>
      <w:pPr>
        <w:pStyle w:val="BodyText"/>
        <w:spacing w:before="10"/>
        <w:rPr>
          <w:sz w:val="20"/>
        </w:rPr>
      </w:pPr>
    </w:p>
    <w:p>
      <w:pPr>
        <w:pStyle w:val="BodyText"/>
        <w:ind w:left="740" w:right="1466"/>
        <w:jc w:val="both"/>
      </w:pPr>
      <w:r>
        <w:rPr/>
        <w:t>Lumi Lepenc dhe përrojet Dimca, Rezhanca dhe Laçi që kalon nëpër territorin e komunës me brigjet e tyre ofrojnë potencial për rregullim dhe shndërrim në shtigje atraktive për ecje dhe </w:t>
      </w:r>
      <w:r>
        <w:rPr>
          <w:spacing w:val="-2"/>
        </w:rPr>
        <w:t>rekreacion</w:t>
      </w:r>
      <w:r>
        <w:rPr>
          <w:spacing w:val="-2"/>
          <w:vertAlign w:val="superscript"/>
        </w:rPr>
        <w:t>12</w:t>
      </w:r>
      <w:r>
        <w:rPr>
          <w:spacing w:val="-2"/>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rect style="position:absolute;margin-left:72pt;margin-top:11.394756pt;width:144.020pt;height:.65997pt;mso-position-horizontal-relative:page;mso-position-vertical-relative:paragraph;z-index:-15702528;mso-wrap-distance-left:0;mso-wrap-distance-right:0" id="docshape267"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11</w:t>
      </w:r>
      <w:r>
        <w:rPr>
          <w:rFonts w:ascii="Calibri" w:hAnsi="Calibri"/>
          <w:spacing w:val="-4"/>
          <w:sz w:val="20"/>
          <w:vertAlign w:val="baseline"/>
        </w:rPr>
        <w:t> </w:t>
      </w:r>
      <w:r>
        <w:rPr>
          <w:rFonts w:ascii="Calibri" w:hAnsi="Calibri"/>
          <w:sz w:val="20"/>
          <w:vertAlign w:val="baseline"/>
        </w:rPr>
        <w:t>Drejtoria</w:t>
      </w:r>
      <w:r>
        <w:rPr>
          <w:rFonts w:ascii="Calibri" w:hAnsi="Calibri"/>
          <w:spacing w:val="-4"/>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Urbanizëm,</w:t>
      </w:r>
      <w:r>
        <w:rPr>
          <w:rFonts w:ascii="Calibri" w:hAnsi="Calibri"/>
          <w:spacing w:val="-5"/>
          <w:sz w:val="20"/>
          <w:vertAlign w:val="baseline"/>
        </w:rPr>
        <w:t> </w:t>
      </w:r>
      <w:r>
        <w:rPr>
          <w:rFonts w:ascii="Calibri" w:hAnsi="Calibri"/>
          <w:sz w:val="20"/>
          <w:vertAlign w:val="baseline"/>
        </w:rPr>
        <w:t>Kadastër</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z w:val="20"/>
          <w:vertAlign w:val="baseline"/>
        </w:rPr>
        <w:t>Mbrojtja</w:t>
      </w:r>
      <w:r>
        <w:rPr>
          <w:rFonts w:ascii="Calibri" w:hAnsi="Calibri"/>
          <w:spacing w:val="-4"/>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pacing w:val="-2"/>
          <w:sz w:val="20"/>
          <w:vertAlign w:val="baseline"/>
        </w:rPr>
        <w:t>Mjedisit</w:t>
      </w:r>
    </w:p>
    <w:p>
      <w:pPr>
        <w:spacing w:before="1"/>
        <w:ind w:left="740" w:right="0" w:firstLine="0"/>
        <w:jc w:val="left"/>
        <w:rPr>
          <w:rFonts w:ascii="Calibri" w:hAnsi="Calibri"/>
          <w:sz w:val="20"/>
        </w:rPr>
      </w:pPr>
      <w:r>
        <w:rPr>
          <w:rFonts w:ascii="Calibri" w:hAnsi="Calibri"/>
          <w:sz w:val="20"/>
          <w:vertAlign w:val="superscript"/>
        </w:rPr>
        <w:t>12</w:t>
      </w:r>
      <w:r>
        <w:rPr>
          <w:rFonts w:ascii="Calibri" w:hAnsi="Calibri"/>
          <w:spacing w:val="-4"/>
          <w:sz w:val="20"/>
          <w:vertAlign w:val="baseline"/>
        </w:rPr>
        <w:t> </w:t>
      </w:r>
      <w:r>
        <w:rPr>
          <w:rFonts w:ascii="Calibri" w:hAnsi="Calibri"/>
          <w:sz w:val="20"/>
          <w:vertAlign w:val="baseline"/>
        </w:rPr>
        <w:t>Drejtoria</w:t>
      </w:r>
      <w:r>
        <w:rPr>
          <w:rFonts w:ascii="Calibri" w:hAnsi="Calibri"/>
          <w:spacing w:val="-3"/>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z w:val="20"/>
          <w:vertAlign w:val="baseline"/>
        </w:rPr>
        <w:t>Shërbimeve</w:t>
      </w:r>
      <w:r>
        <w:rPr>
          <w:rFonts w:ascii="Calibri" w:hAnsi="Calibri"/>
          <w:spacing w:val="-4"/>
          <w:sz w:val="20"/>
          <w:vertAlign w:val="baseline"/>
        </w:rPr>
        <w:t> </w:t>
      </w:r>
      <w:r>
        <w:rPr>
          <w:rFonts w:ascii="Calibri" w:hAnsi="Calibri"/>
          <w:sz w:val="20"/>
          <w:vertAlign w:val="baseline"/>
        </w:rPr>
        <w:t>Publike</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pacing w:val="-2"/>
          <w:sz w:val="20"/>
          <w:vertAlign w:val="baseline"/>
        </w:rPr>
        <w:t>Emergjencë</w:t>
      </w:r>
    </w:p>
    <w:p>
      <w:pPr>
        <w:pStyle w:val="BodyText"/>
        <w:spacing w:before="3"/>
        <w:rPr>
          <w:rFonts w:ascii="Calibri"/>
          <w:sz w:val="16"/>
        </w:rPr>
      </w:pPr>
    </w:p>
    <w:p>
      <w:pPr>
        <w:spacing w:before="58"/>
        <w:ind w:left="0" w:right="1437" w:firstLine="0"/>
        <w:jc w:val="right"/>
        <w:rPr>
          <w:rFonts w:ascii="Calibri"/>
          <w:sz w:val="21"/>
        </w:rPr>
      </w:pPr>
      <w:r>
        <w:rPr>
          <w:rFonts w:ascii="Calibri"/>
          <w:spacing w:val="-5"/>
          <w:sz w:val="21"/>
        </w:rPr>
        <w:t>38</w:t>
      </w:r>
    </w:p>
    <w:p>
      <w:pPr>
        <w:spacing w:after="0"/>
        <w:jc w:val="right"/>
        <w:rPr>
          <w:rFonts w:ascii="Calibri"/>
          <w:sz w:val="21"/>
        </w:rPr>
        <w:sectPr>
          <w:footerReference w:type="default" r:id="rId63"/>
          <w:pgSz w:w="12240" w:h="15840"/>
          <w:pgMar w:footer="0" w:header="0" w:top="0" w:bottom="280" w:left="700" w:right="0"/>
        </w:sectPr>
      </w:pPr>
    </w:p>
    <w:p>
      <w:pPr>
        <w:pStyle w:val="BodyText"/>
        <w:ind w:left="4859"/>
        <w:rPr>
          <w:rFonts w:ascii="Calibri"/>
          <w:sz w:val="20"/>
        </w:rPr>
      </w:pPr>
      <w:r>
        <w:rPr/>
        <w:pict>
          <v:rect style="position:absolute;margin-left:0pt;margin-top:0pt;width:611.99pt;height:790.4999pt;mso-position-horizontal-relative:page;mso-position-vertical-relative:page;z-index:-19967488" id="docshape268" filled="true" fillcolor="#ffefe4" stroked="false">
            <v:fill type="solid"/>
            <w10:wrap type="none"/>
          </v:rect>
        </w:pict>
      </w:r>
      <w:r>
        <w:rPr>
          <w:rFonts w:ascii="Calibri"/>
          <w:sz w:val="20"/>
        </w:rPr>
        <w:pict>
          <v:group style="width:317.55pt;height:88.75pt;mso-position-horizontal-relative:char;mso-position-vertical-relative:line" id="docshapegroup269" coordorigin="0,0" coordsize="6351,1775">
            <v:rect style="position:absolute;left:0;top:0;width:6351;height:1775" id="docshape270" filled="true" fillcolor="#f9c297" stroked="false">
              <v:fill type="solid"/>
            </v:rect>
            <v:shape style="position:absolute;left:0;top:0;width:6351;height:1775" type="#_x0000_t202" id="docshape271" filled="false" stroked="false">
              <v:textbox inset="0,0,0,0">
                <w:txbxContent>
                  <w:p>
                    <w:pPr>
                      <w:spacing w:before="570"/>
                      <w:ind w:left="925" w:right="642" w:firstLine="0"/>
                      <w:jc w:val="center"/>
                      <w:rPr>
                        <w:b/>
                        <w:sz w:val="60"/>
                      </w:rPr>
                    </w:pPr>
                    <w:r>
                      <w:rPr>
                        <w:b/>
                        <w:sz w:val="60"/>
                      </w:rPr>
                      <w:t>Shërbimet</w:t>
                    </w:r>
                    <w:r>
                      <w:rPr>
                        <w:b/>
                        <w:spacing w:val="-27"/>
                        <w:sz w:val="60"/>
                      </w:rPr>
                      <w:t> </w:t>
                    </w:r>
                    <w:r>
                      <w:rPr>
                        <w:b/>
                        <w:spacing w:val="-2"/>
                        <w:sz w:val="60"/>
                      </w:rPr>
                      <w:t>Publike</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9"/>
        </w:rPr>
      </w:pPr>
      <w:r>
        <w:rPr/>
        <w:pict>
          <v:shape style="position:absolute;margin-left:59.646004pt;margin-top:12.896668pt;width:237.85pt;height:200.45pt;mso-position-horizontal-relative:page;mso-position-vertical-relative:paragraph;z-index:-15700480;mso-wrap-distance-left:0;mso-wrap-distance-right:0" id="docshape272" coordorigin="1193,258" coordsize="4757,4009" path="m5688,2302l5677,2248,5648,2205,5604,2175,5551,2164,5513,2169,5480,2184,5452,2206,5430,2235,4235,2235,4209,2241,4188,2255,4174,2276,4169,2302,4166,2377,4157,2450,4143,2522,4124,2592,4100,2659,4071,2724,4038,2786,4000,2846,3958,2902,3912,2955,3863,3005,3810,3051,3754,3093,3694,3131,3632,3164,3567,3193,3500,3218,3431,3237,3359,3251,3286,3259,3212,3262,3137,3259,3064,3251,2992,3237,2923,3218,2856,3193,2791,3164,2729,3131,2670,3093,2613,3051,2560,3005,2511,2955,2465,2902,2423,2846,2385,2786,2352,2724,2323,2659,2299,2592,2280,2522,2266,2450,2257,2377,2254,2302,2257,2227,2266,2154,2280,2082,2299,2013,2323,1945,2352,1880,2385,1818,2423,1759,2465,1702,2511,1649,2560,1599,2613,1553,2670,1511,2729,1474,2791,1440,2856,1411,2923,1387,2992,1368,3064,1354,3137,1345,3212,1342,3287,1345,3362,1354,3435,1368,3507,1388,3576,1414,3643,1445,3708,1481,3770,1522,3829,1568,3885,1620,3895,1631,3908,1640,3923,1645,3939,1647,5021,1647,5042,1676,5071,1699,5104,1713,5141,1718,5195,1707,5239,1678,5268,1634,5279,1580,5268,1527,5239,1483,5195,1453,5141,1443,5104,1448,5071,1462,5042,1485,5021,1514,3967,1514,3908,1461,3847,1413,3781,1370,3713,1331,3642,1297,3573,1270,3503,1248,3432,1231,3359,1219,3286,1211,3212,1209,3124,1212,3037,1223,2952,1240,2869,1264,2787,1295,2711,1331,2638,1372,2568,1419,2503,1471,2441,1529,2383,1591,2331,1657,2284,1727,2243,1800,2207,1877,2176,1958,2152,2042,2135,2127,2125,2214,2121,2302,2125,2390,2135,2477,2152,2562,2176,2646,2207,2728,2243,2804,2284,2877,2331,2947,2383,3013,2441,3075,2503,3133,2568,3185,2638,3232,2711,3274,2787,3310,2869,3341,2952,3365,3037,3382,3124,3392,3212,3396,3299,3392,3386,3382,3471,3365,3554,3341,3636,3310,3712,3274,3785,3232,3855,3185,3921,3133,3983,3075,4040,3013,4092,2947,4139,2877,4181,2804,4216,2728,4243,2658,4265,2588,4281,2516,4293,2443,4300,2369,5430,2369,5452,2398,5480,2420,5513,2435,5551,2440,5604,2429,5648,2400,5677,2356,5688,2302xm5949,834l5938,780,5909,736,5865,707,5812,696,5774,701,5741,716,5713,738,5691,767,3702,767,3700,765,3699,763,3638,501,3622,450,3598,404,3566,362,3528,326,3495,303,3461,285,3424,271,3385,262,3334,258,3030,258,2978,262,2940,271,2903,285,2868,303,2835,326,2797,362,2766,404,2741,450,2725,501,2663,765,2660,769,2618,785,2582,799,2545,815,2510,831,2505,834,2500,833,2269,690,2223,666,2173,650,2121,643,2068,645,2017,655,1968,674,1923,701,1883,735,1668,949,1634,990,1608,1035,1589,1084,1579,1136,1577,1188,1584,1240,1600,1290,1624,1337,1767,1568,1767,1574,1748,1614,1733,1650,1718,1687,1703,1729,1699,1732,1435,1794,1385,1810,1339,1835,1297,1867,1261,1905,1232,1949,1210,1997,1197,2048,1193,2100,1193,2431,1196,2471,1206,2509,1222,2546,1244,2579,1272,2608,1304,2632,1339,2651,1377,2663,1648,2727,1672,2736,1693,2750,1711,2770,1722,2794,1736,2830,1750,2867,1766,2902,1782,2938,1790,2963,1792,2989,1787,3015,1776,3039,1630,3275,1611,3311,1600,3349,1594,3389,1595,3429,1603,3468,1618,3505,1638,3539,1663,3570,1887,3794,1918,3820,1952,3841,1989,3855,2028,3863,2068,3864,2108,3859,2146,3847,2181,3828,2417,3681,2441,3670,2467,3666,2493,3667,2518,3676,2553,3692,2589,3707,2625,3722,2661,3735,2685,3747,2705,3764,2719,3786,2728,3810,2792,4082,2804,4120,2822,4155,2846,4187,2875,4215,2892,4226,2909,4237,2927,4246,2945,4253,3023,4266,3340,4266,3418,4253,3437,4246,3455,4237,3472,4226,3488,4215,3517,4187,3541,4155,3559,4120,3572,4082,3635,3810,3644,3786,3659,3764,3678,3747,3702,3735,3738,3722,3774,3707,3810,3692,3845,3676,3871,3667,3896,3666,3922,3670,3946,3681,4182,3828,4218,3847,4256,3859,4295,3864,4335,3863,4374,3855,4411,3841,4445,3820,4476,3794,4700,3570,4726,3539,4746,3505,4760,3468,4768,3429,4769,3389,4764,3349,4752,3311,4734,3275,4651,3142,5611,3142,5632,3171,5660,3193,5694,3207,5731,3213,5784,3202,5828,3172,5858,3128,5868,3075,5858,3021,5828,2977,5784,2948,5731,2937,5694,2942,5660,2957,5632,2979,5611,3008,4528,3008,4502,3013,4481,3028,4467,3049,4461,3075,4463,3089,4467,3102,4474,3113,4483,3124,4620,3346,4634,3379,4636,3413,4626,3447,4606,3476,4382,3700,4353,3721,4320,3730,4285,3728,4252,3715,4016,3568,3962,3543,3904,3532,3845,3536,3788,3555,3756,3570,3723,3584,3690,3597,3657,3610,3604,3637,3559,3675,3526,3724,3505,3780,3442,4052,3428,4084,3405,4110,3375,4127,3340,4133,3023,4133,2988,4127,2958,4110,2935,4084,2921,4052,2858,3780,2837,3724,2804,3675,2760,3637,2706,3610,2673,3597,2640,3584,2607,3570,2575,3555,2518,3536,2459,3532,2401,3543,2347,3568,2111,3715,2078,3728,2043,3730,2010,3721,1982,3700,1758,3476,1737,3447,1728,3413,1729,3379,1743,3346,1890,3109,1915,3054,1925,2996,1921,2938,1902,2880,1887,2848,1873,2815,1860,2782,1848,2749,1821,2695,1782,2651,1734,2617,1678,2597,1407,2533,1374,2519,1349,2496,1332,2466,1326,2431,1326,2339,1347,2339,1326,2255,1326,2100,1329,2070,1336,2041,1348,2013,1365,1988,1386,1966,1410,1948,1437,1934,1465,1924,1724,1864,1759,1851,1789,1830,1813,1802,1830,1769,1843,1735,1856,1701,1870,1668,1885,1636,1897,1600,1899,1563,1893,1527,1877,1493,1737,1267,1723,1240,1714,1211,1710,1181,1711,1151,1717,1121,1728,1093,1743,1067,1762,1044,1977,829,2000,809,2026,794,2054,783,2083,777,2114,776,2143,781,2172,790,2199,803,2425,944,2459,960,2495,966,2531,964,2567,952,2599,937,2633,923,2666,909,2700,897,2733,880,2761,856,2781,826,2794,791,2855,531,2864,502,2878,475,2896,451,2918,431,2943,414,2971,401,3000,394,3030,391,3333,391,3363,394,3392,401,3420,414,3445,431,3467,451,3485,475,3499,502,3508,531,3569,791,3582,825,3602,855,3629,879,3662,896,3669,899,3677,901,5691,901,5713,930,5741,952,5774,967,5812,972,5865,961,5909,931,5938,888,5949,834xe" filled="true" fillcolor="#a86a3b" stroked="false">
            <v:path arrowok="t"/>
            <v:fill type="solid"/>
            <w10:wrap type="topAndBottom"/>
          </v:shape>
        </w:pict>
      </w:r>
    </w:p>
    <w:p>
      <w:pPr>
        <w:spacing w:after="0"/>
        <w:rPr>
          <w:rFonts w:ascii="Calibri"/>
          <w:sz w:val="19"/>
        </w:rPr>
        <w:sectPr>
          <w:footerReference w:type="default" r:id="rId64"/>
          <w:pgSz w:w="12240" w:h="15840"/>
          <w:pgMar w:footer="0" w:header="0" w:top="1660" w:bottom="280" w:left="700" w:right="0"/>
        </w:sectPr>
      </w:pPr>
    </w:p>
    <w:p>
      <w:pPr>
        <w:pStyle w:val="Heading1"/>
        <w:numPr>
          <w:ilvl w:val="0"/>
          <w:numId w:val="10"/>
        </w:numPr>
        <w:tabs>
          <w:tab w:pos="2541" w:val="left" w:leader="none"/>
        </w:tabs>
        <w:spacing w:line="240" w:lineRule="auto" w:before="92" w:after="0"/>
        <w:ind w:left="2540" w:right="0" w:hanging="361"/>
        <w:jc w:val="left"/>
        <w:rPr>
          <w:color w:val="FFFFFF"/>
        </w:rPr>
      </w:pPr>
      <w:r>
        <w:rPr/>
        <w:pict>
          <v:group style="position:absolute;margin-left:-.5pt;margin-top:0pt;width:612.25pt;height:52.3pt;mso-position-horizontal-relative:page;mso-position-vertical-relative:page;z-index:-19966464" id="docshapegroup274" coordorigin="-10,0" coordsize="12245,1046">
            <v:shape style="position:absolute;left:-10;top:0;width:7087;height:1046" type="#_x0000_t75" id="docshape275" stroked="false">
              <v:imagedata r:id="rId66" o:title=""/>
            </v:shape>
            <v:rect style="position:absolute;left:7078;top:10;width:5147;height:547" id="docshape276" filled="true" fillcolor="#eab9a4" stroked="false">
              <v:fill type="solid"/>
            </v:rect>
            <v:rect style="position:absolute;left:7078;top:10;width:5147;height:547" id="docshape277" filled="false" stroked="true" strokeweight="1pt" strokecolor="#eab9a4">
              <v:stroke dashstyle="solid"/>
            </v:rect>
            <v:shape style="position:absolute;left:5650;top:22;width:2820;height:1013" id="docshape278" coordorigin="5651,22" coordsize="2820,1013" path="m8471,22l6766,22,5651,1034,7356,1034,8471,22xe" filled="true" fillcolor="#eab9a4" stroked="false">
              <v:path arrowok="t"/>
              <v:fill type="solid"/>
            </v:shape>
            <v:shape style="position:absolute;left:5650;top:22;width:2820;height:1013" id="docshape279" coordorigin="5651,22" coordsize="2820,1013" path="m5651,1034l6766,22,8471,22,7356,1034,5651,1034xe" filled="false" stroked="true" strokeweight="1pt" strokecolor="#eab9a4">
              <v:path arrowok="t"/>
              <v:stroke dashstyle="solid"/>
            </v:shape>
            <w10:wrap type="none"/>
          </v:group>
        </w:pict>
      </w:r>
      <w:r>
        <w:rPr>
          <w:color w:val="FFFFFF"/>
          <w:spacing w:val="-2"/>
        </w:rPr>
        <w:t>Infrastruktura</w:t>
      </w:r>
    </w:p>
    <w:p>
      <w:pPr>
        <w:pStyle w:val="BodyText"/>
        <w:rPr>
          <w:b/>
          <w:sz w:val="20"/>
        </w:rPr>
      </w:pPr>
    </w:p>
    <w:p>
      <w:pPr>
        <w:pStyle w:val="BodyText"/>
        <w:rPr>
          <w:b/>
          <w:sz w:val="20"/>
        </w:rPr>
      </w:pPr>
    </w:p>
    <w:p>
      <w:pPr>
        <w:pStyle w:val="BodyText"/>
        <w:rPr>
          <w:b/>
          <w:sz w:val="20"/>
        </w:rPr>
      </w:pPr>
    </w:p>
    <w:p>
      <w:pPr>
        <w:pStyle w:val="BodyText"/>
        <w:spacing w:before="5"/>
        <w:rPr>
          <w:b/>
          <w:sz w:val="17"/>
        </w:rPr>
      </w:pPr>
    </w:p>
    <w:p>
      <w:pPr>
        <w:pStyle w:val="BodyText"/>
        <w:spacing w:before="90"/>
        <w:ind w:left="740" w:right="1463"/>
        <w:jc w:val="both"/>
      </w:pPr>
      <w:r>
        <w:rPr/>
        <w:t>Infrastrukturën e Komunës së Hanit të Elezit e përbëjnë 9.64 km rrugë rajonale të asfaltuara, 28 km</w:t>
      </w:r>
      <w:r>
        <w:rPr>
          <w:spacing w:val="-4"/>
        </w:rPr>
        <w:t> </w:t>
      </w:r>
      <w:r>
        <w:rPr/>
        <w:t>rrugë</w:t>
      </w:r>
      <w:r>
        <w:rPr>
          <w:spacing w:val="-5"/>
        </w:rPr>
        <w:t> </w:t>
      </w:r>
      <w:r>
        <w:rPr/>
        <w:t>lokale</w:t>
      </w:r>
      <w:r>
        <w:rPr>
          <w:spacing w:val="-4"/>
        </w:rPr>
        <w:t> </w:t>
      </w:r>
      <w:r>
        <w:rPr/>
        <w:t>të</w:t>
      </w:r>
      <w:r>
        <w:rPr>
          <w:spacing w:val="-4"/>
        </w:rPr>
        <w:t> </w:t>
      </w:r>
      <w:r>
        <w:rPr/>
        <w:t>asfaltuara</w:t>
      </w:r>
      <w:r>
        <w:rPr>
          <w:spacing w:val="-5"/>
        </w:rPr>
        <w:t> </w:t>
      </w:r>
      <w:r>
        <w:rPr/>
        <w:t>që</w:t>
      </w:r>
      <w:r>
        <w:rPr>
          <w:spacing w:val="-3"/>
        </w:rPr>
        <w:t> </w:t>
      </w:r>
      <w:r>
        <w:rPr/>
        <w:t>lidhin</w:t>
      </w:r>
      <w:r>
        <w:rPr>
          <w:spacing w:val="-6"/>
        </w:rPr>
        <w:t> </w:t>
      </w:r>
      <w:r>
        <w:rPr/>
        <w:t>zonën</w:t>
      </w:r>
      <w:r>
        <w:rPr>
          <w:spacing w:val="-4"/>
        </w:rPr>
        <w:t> </w:t>
      </w:r>
      <w:r>
        <w:rPr/>
        <w:t>urbane</w:t>
      </w:r>
      <w:r>
        <w:rPr>
          <w:spacing w:val="-5"/>
        </w:rPr>
        <w:t> </w:t>
      </w:r>
      <w:r>
        <w:rPr/>
        <w:t>me</w:t>
      </w:r>
      <w:r>
        <w:rPr>
          <w:spacing w:val="-4"/>
        </w:rPr>
        <w:t> </w:t>
      </w:r>
      <w:r>
        <w:rPr/>
        <w:t>atë</w:t>
      </w:r>
      <w:r>
        <w:rPr>
          <w:spacing w:val="-5"/>
        </w:rPr>
        <w:t> </w:t>
      </w:r>
      <w:r>
        <w:rPr/>
        <w:t>ruarale,</w:t>
      </w:r>
      <w:r>
        <w:rPr>
          <w:spacing w:val="-5"/>
        </w:rPr>
        <w:t> </w:t>
      </w:r>
      <w:r>
        <w:rPr/>
        <w:t>dhe</w:t>
      </w:r>
      <w:r>
        <w:rPr>
          <w:spacing w:val="-5"/>
        </w:rPr>
        <w:t> </w:t>
      </w:r>
      <w:r>
        <w:rPr/>
        <w:t>mbi</w:t>
      </w:r>
      <w:r>
        <w:rPr>
          <w:spacing w:val="-4"/>
        </w:rPr>
        <w:t> </w:t>
      </w:r>
      <w:r>
        <w:rPr/>
        <w:t>30km</w:t>
      </w:r>
      <w:r>
        <w:rPr>
          <w:spacing w:val="-4"/>
        </w:rPr>
        <w:t> </w:t>
      </w:r>
      <w:r>
        <w:rPr/>
        <w:t>rrugë</w:t>
      </w:r>
      <w:r>
        <w:rPr>
          <w:spacing w:val="-5"/>
        </w:rPr>
        <w:t> </w:t>
      </w:r>
      <w:r>
        <w:rPr/>
        <w:t>lokale</w:t>
      </w:r>
      <w:r>
        <w:rPr>
          <w:spacing w:val="-6"/>
        </w:rPr>
        <w:t> </w:t>
      </w:r>
      <w:r>
        <w:rPr/>
        <w:t>të asfaltuara brenda zonës urbane dhe atyre lokale. Në kuadër të infrastrukturën së komunës përfshihen edhe 9 km trotuare, 2.75 km stigje për çiklistë, 73 km ndriçim publik, rreth 22 km ujësjellës</w:t>
      </w:r>
      <w:r>
        <w:rPr>
          <w:spacing w:val="-15"/>
        </w:rPr>
        <w:t> </w:t>
      </w:r>
      <w:r>
        <w:rPr/>
        <w:t>dhe</w:t>
      </w:r>
      <w:r>
        <w:rPr>
          <w:spacing w:val="-15"/>
        </w:rPr>
        <w:t> </w:t>
      </w:r>
      <w:r>
        <w:rPr/>
        <w:t>rreth</w:t>
      </w:r>
      <w:r>
        <w:rPr>
          <w:spacing w:val="-15"/>
        </w:rPr>
        <w:t> </w:t>
      </w:r>
      <w:r>
        <w:rPr/>
        <w:t>120</w:t>
      </w:r>
      <w:r>
        <w:rPr>
          <w:spacing w:val="-15"/>
        </w:rPr>
        <w:t> </w:t>
      </w:r>
      <w:r>
        <w:rPr/>
        <w:t>m</w:t>
      </w:r>
      <w:r>
        <w:rPr>
          <w:vertAlign w:val="superscript"/>
        </w:rPr>
        <w:t>2</w:t>
      </w:r>
      <w:r>
        <w:rPr>
          <w:spacing w:val="-15"/>
          <w:vertAlign w:val="baseline"/>
        </w:rPr>
        <w:t> </w:t>
      </w:r>
      <w:r>
        <w:rPr>
          <w:vertAlign w:val="baseline"/>
        </w:rPr>
        <w:t>hapësira</w:t>
      </w:r>
      <w:r>
        <w:rPr>
          <w:spacing w:val="-15"/>
          <w:vertAlign w:val="baseline"/>
        </w:rPr>
        <w:t> </w:t>
      </w:r>
      <w:r>
        <w:rPr>
          <w:vertAlign w:val="baseline"/>
        </w:rPr>
        <w:t>të</w:t>
      </w:r>
      <w:r>
        <w:rPr>
          <w:spacing w:val="-14"/>
          <w:vertAlign w:val="baseline"/>
        </w:rPr>
        <w:t> </w:t>
      </w:r>
      <w:r>
        <w:rPr>
          <w:vertAlign w:val="baseline"/>
        </w:rPr>
        <w:t>gjelbëruara.</w:t>
      </w:r>
      <w:r>
        <w:rPr>
          <w:spacing w:val="-13"/>
          <w:vertAlign w:val="baseline"/>
        </w:rPr>
        <w:t> </w:t>
      </w:r>
      <w:r>
        <w:rPr>
          <w:vertAlign w:val="baseline"/>
        </w:rPr>
        <w:t>Pjesa</w:t>
      </w:r>
      <w:r>
        <w:rPr>
          <w:spacing w:val="-12"/>
          <w:vertAlign w:val="baseline"/>
        </w:rPr>
        <w:t> </w:t>
      </w:r>
      <w:r>
        <w:rPr>
          <w:vertAlign w:val="baseline"/>
        </w:rPr>
        <w:t>më</w:t>
      </w:r>
      <w:r>
        <w:rPr>
          <w:spacing w:val="-13"/>
          <w:vertAlign w:val="baseline"/>
        </w:rPr>
        <w:t> </w:t>
      </w:r>
      <w:r>
        <w:rPr>
          <w:vertAlign w:val="baseline"/>
        </w:rPr>
        <w:t>e</w:t>
      </w:r>
      <w:r>
        <w:rPr>
          <w:spacing w:val="-13"/>
          <w:vertAlign w:val="baseline"/>
        </w:rPr>
        <w:t> </w:t>
      </w:r>
      <w:r>
        <w:rPr>
          <w:vertAlign w:val="baseline"/>
        </w:rPr>
        <w:t>madh</w:t>
      </w:r>
      <w:r>
        <w:rPr>
          <w:spacing w:val="-11"/>
          <w:vertAlign w:val="baseline"/>
        </w:rPr>
        <w:t> </w:t>
      </w:r>
      <w:r>
        <w:rPr>
          <w:vertAlign w:val="baseline"/>
        </w:rPr>
        <w:t>e</w:t>
      </w:r>
      <w:r>
        <w:rPr>
          <w:spacing w:val="-13"/>
          <w:vertAlign w:val="baseline"/>
        </w:rPr>
        <w:t> </w:t>
      </w:r>
      <w:r>
        <w:rPr>
          <w:vertAlign w:val="baseline"/>
        </w:rPr>
        <w:t>këtyre</w:t>
      </w:r>
      <w:r>
        <w:rPr>
          <w:spacing w:val="-12"/>
          <w:vertAlign w:val="baseline"/>
        </w:rPr>
        <w:t> </w:t>
      </w:r>
      <w:r>
        <w:rPr>
          <w:vertAlign w:val="baseline"/>
        </w:rPr>
        <w:t>investimeve</w:t>
      </w:r>
      <w:r>
        <w:rPr>
          <w:spacing w:val="-12"/>
          <w:vertAlign w:val="baseline"/>
        </w:rPr>
        <w:t> </w:t>
      </w:r>
      <w:r>
        <w:rPr>
          <w:vertAlign w:val="baseline"/>
        </w:rPr>
        <w:t>janë</w:t>
      </w:r>
      <w:r>
        <w:rPr>
          <w:spacing w:val="-12"/>
          <w:vertAlign w:val="baseline"/>
        </w:rPr>
        <w:t> </w:t>
      </w:r>
      <w:r>
        <w:rPr>
          <w:vertAlign w:val="baseline"/>
        </w:rPr>
        <w:t>bërë nga</w:t>
      </w:r>
      <w:r>
        <w:rPr>
          <w:spacing w:val="-8"/>
          <w:vertAlign w:val="baseline"/>
        </w:rPr>
        <w:t> </w:t>
      </w:r>
      <w:r>
        <w:rPr>
          <w:vertAlign w:val="baseline"/>
        </w:rPr>
        <w:t>buxheti</w:t>
      </w:r>
      <w:r>
        <w:rPr>
          <w:spacing w:val="-8"/>
          <w:vertAlign w:val="baseline"/>
        </w:rPr>
        <w:t> </w:t>
      </w:r>
      <w:r>
        <w:rPr>
          <w:vertAlign w:val="baseline"/>
        </w:rPr>
        <w:t>i</w:t>
      </w:r>
      <w:r>
        <w:rPr>
          <w:spacing w:val="-8"/>
          <w:vertAlign w:val="baseline"/>
        </w:rPr>
        <w:t> </w:t>
      </w:r>
      <w:r>
        <w:rPr>
          <w:vertAlign w:val="baseline"/>
        </w:rPr>
        <w:t>komunës,</w:t>
      </w:r>
      <w:r>
        <w:rPr>
          <w:spacing w:val="-8"/>
          <w:vertAlign w:val="baseline"/>
        </w:rPr>
        <w:t> </w:t>
      </w:r>
      <w:r>
        <w:rPr>
          <w:vertAlign w:val="baseline"/>
        </w:rPr>
        <w:t>por</w:t>
      </w:r>
      <w:r>
        <w:rPr>
          <w:spacing w:val="-8"/>
          <w:vertAlign w:val="baseline"/>
        </w:rPr>
        <w:t> </w:t>
      </w:r>
      <w:r>
        <w:rPr>
          <w:vertAlign w:val="baseline"/>
        </w:rPr>
        <w:t>ka</w:t>
      </w:r>
      <w:r>
        <w:rPr>
          <w:spacing w:val="-8"/>
          <w:vertAlign w:val="baseline"/>
        </w:rPr>
        <w:t> </w:t>
      </w:r>
      <w:r>
        <w:rPr>
          <w:vertAlign w:val="baseline"/>
        </w:rPr>
        <w:t>pasur</w:t>
      </w:r>
      <w:r>
        <w:rPr>
          <w:spacing w:val="-8"/>
          <w:vertAlign w:val="baseline"/>
        </w:rPr>
        <w:t> </w:t>
      </w:r>
      <w:r>
        <w:rPr>
          <w:vertAlign w:val="baseline"/>
        </w:rPr>
        <w:t>mbështetje</w:t>
      </w:r>
      <w:r>
        <w:rPr>
          <w:spacing w:val="-8"/>
          <w:vertAlign w:val="baseline"/>
        </w:rPr>
        <w:t> </w:t>
      </w:r>
      <w:r>
        <w:rPr>
          <w:vertAlign w:val="baseline"/>
        </w:rPr>
        <w:t>edhe</w:t>
      </w:r>
      <w:r>
        <w:rPr>
          <w:spacing w:val="-8"/>
          <w:vertAlign w:val="baseline"/>
        </w:rPr>
        <w:t> </w:t>
      </w:r>
      <w:r>
        <w:rPr>
          <w:vertAlign w:val="baseline"/>
        </w:rPr>
        <w:t>nga</w:t>
      </w:r>
      <w:r>
        <w:rPr>
          <w:spacing w:val="-8"/>
          <w:vertAlign w:val="baseline"/>
        </w:rPr>
        <w:t> </w:t>
      </w:r>
      <w:r>
        <w:rPr>
          <w:vertAlign w:val="baseline"/>
        </w:rPr>
        <w:t>donatorët</w:t>
      </w:r>
      <w:r>
        <w:rPr>
          <w:spacing w:val="-8"/>
          <w:vertAlign w:val="baseline"/>
        </w:rPr>
        <w:t> </w:t>
      </w:r>
      <w:r>
        <w:rPr>
          <w:vertAlign w:val="baseline"/>
        </w:rPr>
        <w:t>e</w:t>
      </w:r>
      <w:r>
        <w:rPr>
          <w:spacing w:val="-8"/>
          <w:vertAlign w:val="baseline"/>
        </w:rPr>
        <w:t> </w:t>
      </w:r>
      <w:r>
        <w:rPr>
          <w:vertAlign w:val="baseline"/>
        </w:rPr>
        <w:t>ndryshëm.</w:t>
      </w:r>
      <w:r>
        <w:rPr>
          <w:spacing w:val="-8"/>
          <w:vertAlign w:val="baseline"/>
        </w:rPr>
        <w:t> </w:t>
      </w:r>
      <w:r>
        <w:rPr>
          <w:vertAlign w:val="baseline"/>
        </w:rPr>
        <w:t>Më</w:t>
      </w:r>
      <w:r>
        <w:rPr>
          <w:spacing w:val="-8"/>
          <w:vertAlign w:val="baseline"/>
        </w:rPr>
        <w:t> </w:t>
      </w:r>
      <w:r>
        <w:rPr>
          <w:vertAlign w:val="baseline"/>
        </w:rPr>
        <w:t>shumë</w:t>
      </w:r>
      <w:r>
        <w:rPr>
          <w:spacing w:val="-8"/>
          <w:vertAlign w:val="baseline"/>
        </w:rPr>
        <w:t> </w:t>
      </w:r>
      <w:r>
        <w:rPr>
          <w:vertAlign w:val="baseline"/>
        </w:rPr>
        <w:t>detaje në tabelë.</w:t>
      </w:r>
    </w:p>
    <w:p>
      <w:pPr>
        <w:pStyle w:val="BodyText"/>
        <w:spacing w:before="10"/>
        <w:rPr>
          <w:sz w:val="20"/>
        </w:rPr>
      </w:pPr>
    </w:p>
    <w:tbl>
      <w:tblPr>
        <w:tblW w:w="0" w:type="auto"/>
        <w:jc w:val="left"/>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5"/>
        <w:gridCol w:w="2118"/>
      </w:tblGrid>
      <w:tr>
        <w:trPr>
          <w:trHeight w:val="367" w:hRule="atLeast"/>
        </w:trPr>
        <w:tc>
          <w:tcPr>
            <w:tcW w:w="7395" w:type="dxa"/>
            <w:shd w:val="clear" w:color="auto" w:fill="EAB8A3"/>
          </w:tcPr>
          <w:p>
            <w:pPr>
              <w:pStyle w:val="TableParagraph"/>
              <w:spacing w:line="246" w:lineRule="exact"/>
              <w:ind w:left="107"/>
              <w:rPr>
                <w:rFonts w:ascii="Cambria" w:hAnsi="Cambria"/>
                <w:b/>
                <w:sz w:val="21"/>
              </w:rPr>
            </w:pPr>
            <w:r>
              <w:rPr>
                <w:rFonts w:ascii="Cambria" w:hAnsi="Cambria"/>
                <w:b/>
                <w:sz w:val="21"/>
              </w:rPr>
              <w:t>Lloji i </w:t>
            </w:r>
            <w:r>
              <w:rPr>
                <w:rFonts w:ascii="Cambria" w:hAnsi="Cambria"/>
                <w:b/>
                <w:spacing w:val="-2"/>
                <w:sz w:val="21"/>
              </w:rPr>
              <w:t>infrastrukturës</w:t>
            </w:r>
          </w:p>
        </w:tc>
        <w:tc>
          <w:tcPr>
            <w:tcW w:w="2118" w:type="dxa"/>
            <w:shd w:val="clear" w:color="auto" w:fill="EAB8A3"/>
          </w:tcPr>
          <w:p>
            <w:pPr>
              <w:pStyle w:val="TableParagraph"/>
              <w:spacing w:line="246" w:lineRule="exact"/>
              <w:ind w:right="96"/>
              <w:jc w:val="right"/>
              <w:rPr>
                <w:rFonts w:ascii="Cambria"/>
                <w:b/>
                <w:sz w:val="21"/>
              </w:rPr>
            </w:pPr>
            <w:r>
              <w:rPr>
                <w:rFonts w:ascii="Cambria"/>
                <w:b/>
                <w:sz w:val="21"/>
              </w:rPr>
              <w:t>Gjendja</w:t>
            </w:r>
            <w:r>
              <w:rPr>
                <w:rFonts w:ascii="Cambria"/>
                <w:b/>
                <w:spacing w:val="-6"/>
                <w:sz w:val="21"/>
              </w:rPr>
              <w:t> </w:t>
            </w:r>
            <w:r>
              <w:rPr>
                <w:rFonts w:ascii="Cambria"/>
                <w:b/>
                <w:spacing w:val="-4"/>
                <w:sz w:val="21"/>
              </w:rPr>
              <w:t>2021</w:t>
            </w:r>
          </w:p>
        </w:tc>
      </w:tr>
      <w:tr>
        <w:trPr>
          <w:trHeight w:val="304" w:hRule="atLeast"/>
        </w:trPr>
        <w:tc>
          <w:tcPr>
            <w:tcW w:w="7395" w:type="dxa"/>
          </w:tcPr>
          <w:p>
            <w:pPr>
              <w:pStyle w:val="TableParagraph"/>
              <w:spacing w:line="246" w:lineRule="exact"/>
              <w:ind w:left="107"/>
              <w:rPr>
                <w:rFonts w:ascii="Cambria" w:hAnsi="Cambria"/>
                <w:sz w:val="21"/>
              </w:rPr>
            </w:pPr>
            <w:r>
              <w:rPr>
                <w:rFonts w:ascii="Cambria" w:hAnsi="Cambria"/>
                <w:sz w:val="21"/>
              </w:rPr>
              <w:t>Rrugë</w:t>
            </w:r>
            <w:r>
              <w:rPr>
                <w:rFonts w:ascii="Cambria" w:hAnsi="Cambria"/>
                <w:spacing w:val="-3"/>
                <w:sz w:val="21"/>
              </w:rPr>
              <w:t> </w:t>
            </w:r>
            <w:r>
              <w:rPr>
                <w:rFonts w:ascii="Cambria" w:hAnsi="Cambria"/>
                <w:sz w:val="21"/>
              </w:rPr>
              <w:t>të</w:t>
            </w:r>
            <w:r>
              <w:rPr>
                <w:rFonts w:ascii="Cambria" w:hAnsi="Cambria"/>
                <w:spacing w:val="-4"/>
                <w:sz w:val="21"/>
              </w:rPr>
              <w:t> </w:t>
            </w:r>
            <w:r>
              <w:rPr>
                <w:rFonts w:ascii="Cambria" w:hAnsi="Cambria"/>
                <w:sz w:val="21"/>
              </w:rPr>
              <w:t>asfaltuara</w:t>
            </w:r>
            <w:r>
              <w:rPr>
                <w:rFonts w:ascii="Cambria" w:hAnsi="Cambria"/>
                <w:spacing w:val="-5"/>
                <w:sz w:val="21"/>
              </w:rPr>
              <w:t> </w:t>
            </w:r>
            <w:r>
              <w:rPr>
                <w:rFonts w:ascii="Cambria" w:hAnsi="Cambria"/>
                <w:sz w:val="21"/>
              </w:rPr>
              <w:t>regjionale</w:t>
            </w:r>
            <w:r>
              <w:rPr>
                <w:rFonts w:ascii="Cambria" w:hAnsi="Cambria"/>
                <w:spacing w:val="-3"/>
                <w:sz w:val="21"/>
              </w:rPr>
              <w:t> </w:t>
            </w:r>
            <w:r>
              <w:rPr>
                <w:rFonts w:ascii="Cambria" w:hAnsi="Cambria"/>
                <w:sz w:val="21"/>
              </w:rPr>
              <w:t>(Magjasitralja</w:t>
            </w:r>
            <w:r>
              <w:rPr>
                <w:rFonts w:ascii="Cambria" w:hAnsi="Cambria"/>
                <w:spacing w:val="-3"/>
                <w:sz w:val="21"/>
              </w:rPr>
              <w:t> </w:t>
            </w:r>
            <w:r>
              <w:rPr>
                <w:rFonts w:ascii="Cambria" w:hAnsi="Cambria"/>
                <w:sz w:val="21"/>
              </w:rPr>
              <w:t>dhe</w:t>
            </w:r>
            <w:r>
              <w:rPr>
                <w:rFonts w:ascii="Cambria" w:hAnsi="Cambria"/>
                <w:spacing w:val="-3"/>
                <w:sz w:val="21"/>
              </w:rPr>
              <w:t> </w:t>
            </w:r>
            <w:r>
              <w:rPr>
                <w:rFonts w:ascii="Cambria" w:hAnsi="Cambria"/>
                <w:sz w:val="21"/>
              </w:rPr>
              <w:t>Autoudha)</w:t>
            </w:r>
            <w:r>
              <w:rPr>
                <w:rFonts w:ascii="Cambria" w:hAnsi="Cambria"/>
                <w:spacing w:val="-3"/>
                <w:sz w:val="21"/>
              </w:rPr>
              <w:t> </w:t>
            </w:r>
            <w:r>
              <w:rPr>
                <w:rFonts w:ascii="Cambria" w:hAnsi="Cambria"/>
                <w:spacing w:val="-4"/>
                <w:sz w:val="21"/>
              </w:rPr>
              <w:t>(km)</w:t>
            </w:r>
          </w:p>
        </w:tc>
        <w:tc>
          <w:tcPr>
            <w:tcW w:w="2118" w:type="dxa"/>
          </w:tcPr>
          <w:p>
            <w:pPr>
              <w:pStyle w:val="TableParagraph"/>
              <w:spacing w:line="246" w:lineRule="exact"/>
              <w:ind w:right="96"/>
              <w:jc w:val="right"/>
              <w:rPr>
                <w:rFonts w:ascii="Cambria"/>
                <w:sz w:val="21"/>
              </w:rPr>
            </w:pPr>
            <w:r>
              <w:rPr>
                <w:rFonts w:ascii="Cambria"/>
                <w:spacing w:val="-4"/>
                <w:sz w:val="21"/>
              </w:rPr>
              <w:t>9.64</w:t>
            </w:r>
          </w:p>
        </w:tc>
      </w:tr>
      <w:tr>
        <w:trPr>
          <w:trHeight w:val="377" w:hRule="atLeast"/>
        </w:trPr>
        <w:tc>
          <w:tcPr>
            <w:tcW w:w="7395" w:type="dxa"/>
          </w:tcPr>
          <w:p>
            <w:pPr>
              <w:pStyle w:val="TableParagraph"/>
              <w:ind w:left="107"/>
              <w:rPr>
                <w:rFonts w:ascii="Cambria" w:hAnsi="Cambria"/>
                <w:sz w:val="21"/>
              </w:rPr>
            </w:pPr>
            <w:r>
              <w:rPr>
                <w:rFonts w:ascii="Cambria" w:hAnsi="Cambria"/>
                <w:sz w:val="21"/>
              </w:rPr>
              <w:t>Rrugë</w:t>
            </w:r>
            <w:r>
              <w:rPr>
                <w:rFonts w:ascii="Cambria" w:hAnsi="Cambria"/>
                <w:spacing w:val="-3"/>
                <w:sz w:val="21"/>
              </w:rPr>
              <w:t> </w:t>
            </w:r>
            <w:r>
              <w:rPr>
                <w:rFonts w:ascii="Cambria" w:hAnsi="Cambria"/>
                <w:sz w:val="21"/>
              </w:rPr>
              <w:t>lokale</w:t>
            </w:r>
            <w:r>
              <w:rPr>
                <w:rFonts w:ascii="Cambria" w:hAnsi="Cambria"/>
                <w:spacing w:val="-4"/>
                <w:sz w:val="21"/>
              </w:rPr>
              <w:t> </w:t>
            </w:r>
            <w:r>
              <w:rPr>
                <w:rFonts w:ascii="Cambria" w:hAnsi="Cambria"/>
                <w:sz w:val="21"/>
              </w:rPr>
              <w:t>te</w:t>
            </w:r>
            <w:r>
              <w:rPr>
                <w:rFonts w:ascii="Cambria" w:hAnsi="Cambria"/>
                <w:spacing w:val="-3"/>
                <w:sz w:val="21"/>
              </w:rPr>
              <w:t> </w:t>
            </w:r>
            <w:r>
              <w:rPr>
                <w:rFonts w:ascii="Cambria" w:hAnsi="Cambria"/>
                <w:sz w:val="21"/>
              </w:rPr>
              <w:t>asfaltuara</w:t>
            </w:r>
            <w:r>
              <w:rPr>
                <w:rFonts w:ascii="Cambria" w:hAnsi="Cambria"/>
                <w:spacing w:val="-3"/>
                <w:sz w:val="21"/>
              </w:rPr>
              <w:t> </w:t>
            </w:r>
            <w:r>
              <w:rPr>
                <w:rFonts w:ascii="Cambria" w:hAnsi="Cambria"/>
                <w:sz w:val="21"/>
              </w:rPr>
              <w:t>(Zona</w:t>
            </w:r>
            <w:r>
              <w:rPr>
                <w:rFonts w:ascii="Cambria" w:hAnsi="Cambria"/>
                <w:spacing w:val="-2"/>
                <w:sz w:val="21"/>
              </w:rPr>
              <w:t> </w:t>
            </w:r>
            <w:r>
              <w:rPr>
                <w:rFonts w:ascii="Cambria" w:hAnsi="Cambria"/>
                <w:sz w:val="21"/>
              </w:rPr>
              <w:t>Urbane -</w:t>
            </w:r>
            <w:r>
              <w:rPr>
                <w:rFonts w:ascii="Cambria" w:hAnsi="Cambria"/>
                <w:spacing w:val="-2"/>
                <w:sz w:val="21"/>
              </w:rPr>
              <w:t> </w:t>
            </w:r>
            <w:r>
              <w:rPr>
                <w:rFonts w:ascii="Cambria" w:hAnsi="Cambria"/>
                <w:sz w:val="21"/>
              </w:rPr>
              <w:t>Vendbanim)</w:t>
            </w:r>
            <w:r>
              <w:rPr>
                <w:rFonts w:ascii="Cambria" w:hAnsi="Cambria"/>
                <w:spacing w:val="42"/>
                <w:sz w:val="21"/>
              </w:rPr>
              <w:t> </w:t>
            </w:r>
            <w:r>
              <w:rPr>
                <w:rFonts w:ascii="Cambria" w:hAnsi="Cambria"/>
                <w:spacing w:val="-4"/>
                <w:sz w:val="21"/>
              </w:rPr>
              <w:t>(km)</w:t>
            </w:r>
          </w:p>
        </w:tc>
        <w:tc>
          <w:tcPr>
            <w:tcW w:w="2118" w:type="dxa"/>
          </w:tcPr>
          <w:p>
            <w:pPr>
              <w:pStyle w:val="TableParagraph"/>
              <w:ind w:right="94"/>
              <w:jc w:val="right"/>
              <w:rPr>
                <w:rFonts w:ascii="Cambria"/>
                <w:sz w:val="21"/>
              </w:rPr>
            </w:pPr>
            <w:r>
              <w:rPr>
                <w:rFonts w:ascii="Cambria"/>
                <w:spacing w:val="-2"/>
                <w:sz w:val="21"/>
              </w:rPr>
              <w:t>28.06</w:t>
            </w:r>
          </w:p>
        </w:tc>
      </w:tr>
      <w:tr>
        <w:trPr>
          <w:trHeight w:val="367" w:hRule="atLeast"/>
        </w:trPr>
        <w:tc>
          <w:tcPr>
            <w:tcW w:w="7395" w:type="dxa"/>
          </w:tcPr>
          <w:p>
            <w:pPr>
              <w:pStyle w:val="TableParagraph"/>
              <w:spacing w:line="246" w:lineRule="exact"/>
              <w:ind w:left="107"/>
              <w:rPr>
                <w:rFonts w:ascii="Cambria" w:hAnsi="Cambria"/>
                <w:sz w:val="21"/>
              </w:rPr>
            </w:pPr>
            <w:r>
              <w:rPr>
                <w:rFonts w:ascii="Cambria" w:hAnsi="Cambria"/>
                <w:sz w:val="21"/>
              </w:rPr>
              <w:t>Rrugë</w:t>
            </w:r>
            <w:r>
              <w:rPr>
                <w:rFonts w:ascii="Cambria" w:hAnsi="Cambria"/>
                <w:spacing w:val="-2"/>
                <w:sz w:val="21"/>
              </w:rPr>
              <w:t> </w:t>
            </w:r>
            <w:r>
              <w:rPr>
                <w:rFonts w:ascii="Cambria" w:hAnsi="Cambria"/>
                <w:sz w:val="21"/>
              </w:rPr>
              <w:t>lokale</w:t>
            </w:r>
            <w:r>
              <w:rPr>
                <w:rFonts w:ascii="Cambria" w:hAnsi="Cambria"/>
                <w:spacing w:val="-4"/>
                <w:sz w:val="21"/>
              </w:rPr>
              <w:t> </w:t>
            </w:r>
            <w:r>
              <w:rPr>
                <w:rFonts w:ascii="Cambria" w:hAnsi="Cambria"/>
                <w:sz w:val="21"/>
              </w:rPr>
              <w:t>te</w:t>
            </w:r>
            <w:r>
              <w:rPr>
                <w:rFonts w:ascii="Cambria" w:hAnsi="Cambria"/>
                <w:spacing w:val="-3"/>
                <w:sz w:val="21"/>
              </w:rPr>
              <w:t> </w:t>
            </w:r>
            <w:r>
              <w:rPr>
                <w:rFonts w:ascii="Cambria" w:hAnsi="Cambria"/>
                <w:sz w:val="21"/>
              </w:rPr>
              <w:t>asfaltuara</w:t>
            </w:r>
            <w:r>
              <w:rPr>
                <w:rFonts w:ascii="Cambria" w:hAnsi="Cambria"/>
                <w:spacing w:val="43"/>
                <w:sz w:val="21"/>
              </w:rPr>
              <w:t> </w:t>
            </w:r>
            <w:r>
              <w:rPr>
                <w:rFonts w:ascii="Cambria" w:hAnsi="Cambria"/>
                <w:sz w:val="21"/>
              </w:rPr>
              <w:t>(brenda</w:t>
            </w:r>
            <w:r>
              <w:rPr>
                <w:rFonts w:ascii="Cambria" w:hAnsi="Cambria"/>
                <w:spacing w:val="-3"/>
                <w:sz w:val="21"/>
              </w:rPr>
              <w:t> </w:t>
            </w:r>
            <w:r>
              <w:rPr>
                <w:rFonts w:ascii="Cambria" w:hAnsi="Cambria"/>
                <w:sz w:val="21"/>
              </w:rPr>
              <w:t>Zones</w:t>
            </w:r>
            <w:r>
              <w:rPr>
                <w:rFonts w:ascii="Cambria" w:hAnsi="Cambria"/>
                <w:spacing w:val="-3"/>
                <w:sz w:val="21"/>
              </w:rPr>
              <w:t> </w:t>
            </w:r>
            <w:r>
              <w:rPr>
                <w:rFonts w:ascii="Cambria" w:hAnsi="Cambria"/>
                <w:sz w:val="21"/>
              </w:rPr>
              <w:t>Urbane)</w:t>
            </w:r>
            <w:r>
              <w:rPr>
                <w:rFonts w:ascii="Cambria" w:hAnsi="Cambria"/>
                <w:spacing w:val="65"/>
                <w:w w:val="150"/>
                <w:sz w:val="21"/>
              </w:rPr>
              <w:t> </w:t>
            </w:r>
            <w:r>
              <w:rPr>
                <w:rFonts w:ascii="Cambria" w:hAnsi="Cambria"/>
                <w:spacing w:val="-4"/>
                <w:sz w:val="21"/>
              </w:rPr>
              <w:t>(km)</w:t>
            </w:r>
          </w:p>
        </w:tc>
        <w:tc>
          <w:tcPr>
            <w:tcW w:w="2118" w:type="dxa"/>
          </w:tcPr>
          <w:p>
            <w:pPr>
              <w:pStyle w:val="TableParagraph"/>
              <w:spacing w:line="246" w:lineRule="exact"/>
              <w:ind w:right="96"/>
              <w:jc w:val="right"/>
              <w:rPr>
                <w:rFonts w:ascii="Cambria"/>
                <w:sz w:val="21"/>
              </w:rPr>
            </w:pPr>
            <w:r>
              <w:rPr>
                <w:rFonts w:ascii="Cambria"/>
                <w:spacing w:val="-4"/>
                <w:sz w:val="21"/>
              </w:rPr>
              <w:t>8.52</w:t>
            </w:r>
          </w:p>
        </w:tc>
      </w:tr>
      <w:tr>
        <w:trPr>
          <w:trHeight w:val="286" w:hRule="atLeast"/>
        </w:trPr>
        <w:tc>
          <w:tcPr>
            <w:tcW w:w="7395" w:type="dxa"/>
          </w:tcPr>
          <w:p>
            <w:pPr>
              <w:pStyle w:val="TableParagraph"/>
              <w:spacing w:line="246" w:lineRule="exact"/>
              <w:ind w:left="107"/>
              <w:rPr>
                <w:rFonts w:ascii="Cambria" w:hAnsi="Cambria"/>
                <w:sz w:val="21"/>
              </w:rPr>
            </w:pPr>
            <w:r>
              <w:rPr>
                <w:rFonts w:ascii="Cambria" w:hAnsi="Cambria"/>
                <w:sz w:val="21"/>
              </w:rPr>
              <w:t>Rrugë</w:t>
            </w:r>
            <w:r>
              <w:rPr>
                <w:rFonts w:ascii="Cambria" w:hAnsi="Cambria"/>
                <w:spacing w:val="-3"/>
                <w:sz w:val="21"/>
              </w:rPr>
              <w:t> </w:t>
            </w:r>
            <w:r>
              <w:rPr>
                <w:rFonts w:ascii="Cambria" w:hAnsi="Cambria"/>
                <w:sz w:val="21"/>
              </w:rPr>
              <w:t>lokale</w:t>
            </w:r>
            <w:r>
              <w:rPr>
                <w:rFonts w:ascii="Cambria" w:hAnsi="Cambria"/>
                <w:spacing w:val="-4"/>
                <w:sz w:val="21"/>
              </w:rPr>
              <w:t> </w:t>
            </w:r>
            <w:r>
              <w:rPr>
                <w:rFonts w:ascii="Cambria" w:hAnsi="Cambria"/>
                <w:sz w:val="21"/>
              </w:rPr>
              <w:t>te</w:t>
            </w:r>
            <w:r>
              <w:rPr>
                <w:rFonts w:ascii="Cambria" w:hAnsi="Cambria"/>
                <w:spacing w:val="-4"/>
                <w:sz w:val="21"/>
              </w:rPr>
              <w:t> </w:t>
            </w:r>
            <w:r>
              <w:rPr>
                <w:rFonts w:ascii="Cambria" w:hAnsi="Cambria"/>
                <w:sz w:val="21"/>
              </w:rPr>
              <w:t>asfaltuara</w:t>
            </w:r>
            <w:r>
              <w:rPr>
                <w:rFonts w:ascii="Cambria" w:hAnsi="Cambria"/>
                <w:spacing w:val="-3"/>
                <w:sz w:val="21"/>
              </w:rPr>
              <w:t> </w:t>
            </w:r>
            <w:r>
              <w:rPr>
                <w:rFonts w:ascii="Cambria" w:hAnsi="Cambria"/>
                <w:sz w:val="21"/>
              </w:rPr>
              <w:t>brenda</w:t>
            </w:r>
            <w:r>
              <w:rPr>
                <w:rFonts w:ascii="Cambria" w:hAnsi="Cambria"/>
                <w:spacing w:val="-4"/>
                <w:sz w:val="21"/>
              </w:rPr>
              <w:t> </w:t>
            </w:r>
            <w:r>
              <w:rPr>
                <w:rFonts w:ascii="Cambria" w:hAnsi="Cambria"/>
                <w:sz w:val="21"/>
              </w:rPr>
              <w:t>vendbanimeve</w:t>
            </w:r>
            <w:r>
              <w:rPr>
                <w:rFonts w:ascii="Cambria" w:hAnsi="Cambria"/>
                <w:spacing w:val="-3"/>
                <w:sz w:val="21"/>
              </w:rPr>
              <w:t> </w:t>
            </w:r>
            <w:r>
              <w:rPr>
                <w:rFonts w:ascii="Cambria" w:hAnsi="Cambria"/>
                <w:sz w:val="21"/>
              </w:rPr>
              <w:t>rurale</w:t>
            </w:r>
            <w:r>
              <w:rPr>
                <w:rFonts w:ascii="Cambria" w:hAnsi="Cambria"/>
                <w:spacing w:val="-3"/>
                <w:sz w:val="21"/>
              </w:rPr>
              <w:t> </w:t>
            </w:r>
            <w:r>
              <w:rPr>
                <w:rFonts w:ascii="Cambria" w:hAnsi="Cambria"/>
                <w:sz w:val="21"/>
              </w:rPr>
              <w:t>(kryesore)</w:t>
            </w:r>
            <w:r>
              <w:rPr>
                <w:rFonts w:ascii="Cambria" w:hAnsi="Cambria"/>
                <w:spacing w:val="62"/>
                <w:w w:val="150"/>
                <w:sz w:val="21"/>
              </w:rPr>
              <w:t> </w:t>
            </w:r>
            <w:r>
              <w:rPr>
                <w:rFonts w:ascii="Cambria" w:hAnsi="Cambria"/>
                <w:spacing w:val="-4"/>
                <w:sz w:val="21"/>
              </w:rPr>
              <w:t>(km)</w:t>
            </w:r>
          </w:p>
        </w:tc>
        <w:tc>
          <w:tcPr>
            <w:tcW w:w="2118" w:type="dxa"/>
          </w:tcPr>
          <w:p>
            <w:pPr>
              <w:pStyle w:val="TableParagraph"/>
              <w:spacing w:line="246" w:lineRule="exact"/>
              <w:ind w:right="94"/>
              <w:jc w:val="right"/>
              <w:rPr>
                <w:rFonts w:ascii="Cambria"/>
                <w:sz w:val="21"/>
              </w:rPr>
            </w:pPr>
            <w:r>
              <w:rPr>
                <w:rFonts w:ascii="Cambria"/>
                <w:spacing w:val="-2"/>
                <w:sz w:val="21"/>
              </w:rPr>
              <w:t>21.84</w:t>
            </w:r>
          </w:p>
        </w:tc>
      </w:tr>
      <w:tr>
        <w:trPr>
          <w:trHeight w:val="344" w:hRule="atLeast"/>
        </w:trPr>
        <w:tc>
          <w:tcPr>
            <w:tcW w:w="7395" w:type="dxa"/>
          </w:tcPr>
          <w:p>
            <w:pPr>
              <w:pStyle w:val="TableParagraph"/>
              <w:ind w:left="107"/>
              <w:rPr>
                <w:rFonts w:ascii="Cambria"/>
                <w:sz w:val="21"/>
              </w:rPr>
            </w:pPr>
            <w:r>
              <w:rPr>
                <w:rFonts w:ascii="Cambria"/>
                <w:sz w:val="21"/>
              </w:rPr>
              <w:t>Trotuare</w:t>
            </w:r>
            <w:r>
              <w:rPr>
                <w:rFonts w:ascii="Cambria"/>
                <w:spacing w:val="-2"/>
                <w:sz w:val="21"/>
              </w:rPr>
              <w:t> </w:t>
            </w:r>
            <w:r>
              <w:rPr>
                <w:rFonts w:ascii="Cambria"/>
                <w:sz w:val="21"/>
              </w:rPr>
              <w:t>(Zona</w:t>
            </w:r>
            <w:r>
              <w:rPr>
                <w:rFonts w:ascii="Cambria"/>
                <w:spacing w:val="-2"/>
                <w:sz w:val="21"/>
              </w:rPr>
              <w:t> </w:t>
            </w:r>
            <w:r>
              <w:rPr>
                <w:rFonts w:ascii="Cambria"/>
                <w:sz w:val="21"/>
              </w:rPr>
              <w:t>Urbane</w:t>
            </w:r>
            <w:r>
              <w:rPr>
                <w:rFonts w:ascii="Cambria"/>
                <w:spacing w:val="-3"/>
                <w:sz w:val="21"/>
              </w:rPr>
              <w:t> </w:t>
            </w:r>
            <w:r>
              <w:rPr>
                <w:rFonts w:ascii="Cambria"/>
                <w:sz w:val="21"/>
              </w:rPr>
              <w:t>dhe</w:t>
            </w:r>
            <w:r>
              <w:rPr>
                <w:rFonts w:ascii="Cambria"/>
                <w:spacing w:val="-2"/>
                <w:sz w:val="21"/>
              </w:rPr>
              <w:t> </w:t>
            </w:r>
            <w:r>
              <w:rPr>
                <w:rFonts w:ascii="Cambria"/>
                <w:sz w:val="21"/>
              </w:rPr>
              <w:t>Zona</w:t>
            </w:r>
            <w:r>
              <w:rPr>
                <w:rFonts w:ascii="Cambria"/>
                <w:spacing w:val="-2"/>
                <w:sz w:val="21"/>
              </w:rPr>
              <w:t> </w:t>
            </w:r>
            <w:r>
              <w:rPr>
                <w:rFonts w:ascii="Cambria"/>
                <w:sz w:val="21"/>
              </w:rPr>
              <w:t>Rurale)</w:t>
            </w:r>
            <w:r>
              <w:rPr>
                <w:rFonts w:ascii="Cambria"/>
                <w:spacing w:val="-1"/>
                <w:sz w:val="21"/>
              </w:rPr>
              <w:t> </w:t>
            </w:r>
            <w:r>
              <w:rPr>
                <w:rFonts w:ascii="Cambria"/>
                <w:spacing w:val="-4"/>
                <w:sz w:val="21"/>
              </w:rPr>
              <w:t>(km)</w:t>
            </w:r>
          </w:p>
        </w:tc>
        <w:tc>
          <w:tcPr>
            <w:tcW w:w="2118" w:type="dxa"/>
          </w:tcPr>
          <w:p>
            <w:pPr>
              <w:pStyle w:val="TableParagraph"/>
              <w:ind w:right="96"/>
              <w:jc w:val="right"/>
              <w:rPr>
                <w:rFonts w:ascii="Cambria"/>
                <w:sz w:val="21"/>
              </w:rPr>
            </w:pPr>
            <w:r>
              <w:rPr>
                <w:rFonts w:ascii="Cambria"/>
                <w:spacing w:val="-4"/>
                <w:sz w:val="21"/>
              </w:rPr>
              <w:t>9.04</w:t>
            </w:r>
          </w:p>
        </w:tc>
      </w:tr>
      <w:tr>
        <w:trPr>
          <w:trHeight w:val="342" w:hRule="atLeast"/>
        </w:trPr>
        <w:tc>
          <w:tcPr>
            <w:tcW w:w="7395" w:type="dxa"/>
          </w:tcPr>
          <w:p>
            <w:pPr>
              <w:pStyle w:val="TableParagraph"/>
              <w:spacing w:line="246" w:lineRule="exact"/>
              <w:ind w:left="107"/>
              <w:rPr>
                <w:rFonts w:ascii="Cambria" w:hAnsi="Cambria"/>
                <w:sz w:val="21"/>
              </w:rPr>
            </w:pPr>
            <w:r>
              <w:rPr>
                <w:rFonts w:ascii="Cambria" w:hAnsi="Cambria"/>
                <w:sz w:val="21"/>
              </w:rPr>
              <w:t>Shtigje</w:t>
            </w:r>
            <w:r>
              <w:rPr>
                <w:rFonts w:ascii="Cambria" w:hAnsi="Cambria"/>
                <w:spacing w:val="-3"/>
                <w:sz w:val="21"/>
              </w:rPr>
              <w:t> </w:t>
            </w:r>
            <w:r>
              <w:rPr>
                <w:rFonts w:ascii="Cambria" w:hAnsi="Cambria"/>
                <w:sz w:val="21"/>
              </w:rPr>
              <w:t>për</w:t>
            </w:r>
            <w:r>
              <w:rPr>
                <w:rFonts w:ascii="Cambria" w:hAnsi="Cambria"/>
                <w:spacing w:val="-4"/>
                <w:sz w:val="21"/>
              </w:rPr>
              <w:t> </w:t>
            </w:r>
            <w:r>
              <w:rPr>
                <w:rFonts w:ascii="Cambria" w:hAnsi="Cambria"/>
                <w:sz w:val="21"/>
              </w:rPr>
              <w:t>çiklistë</w:t>
            </w:r>
            <w:r>
              <w:rPr>
                <w:rFonts w:ascii="Cambria" w:hAnsi="Cambria"/>
                <w:spacing w:val="63"/>
                <w:w w:val="150"/>
                <w:sz w:val="21"/>
              </w:rPr>
              <w:t> </w:t>
            </w:r>
            <w:r>
              <w:rPr>
                <w:rFonts w:ascii="Cambria" w:hAnsi="Cambria"/>
                <w:spacing w:val="-4"/>
                <w:sz w:val="21"/>
              </w:rPr>
              <w:t>(km)</w:t>
            </w:r>
          </w:p>
        </w:tc>
        <w:tc>
          <w:tcPr>
            <w:tcW w:w="2118" w:type="dxa"/>
          </w:tcPr>
          <w:p>
            <w:pPr>
              <w:pStyle w:val="TableParagraph"/>
              <w:spacing w:line="246" w:lineRule="exact"/>
              <w:ind w:right="96"/>
              <w:jc w:val="right"/>
              <w:rPr>
                <w:rFonts w:ascii="Cambria"/>
                <w:sz w:val="21"/>
              </w:rPr>
            </w:pPr>
            <w:r>
              <w:rPr>
                <w:rFonts w:ascii="Cambria"/>
                <w:spacing w:val="-4"/>
                <w:sz w:val="21"/>
              </w:rPr>
              <w:t>2.75</w:t>
            </w:r>
          </w:p>
        </w:tc>
      </w:tr>
      <w:tr>
        <w:trPr>
          <w:trHeight w:val="342" w:hRule="atLeast"/>
        </w:trPr>
        <w:tc>
          <w:tcPr>
            <w:tcW w:w="7395" w:type="dxa"/>
          </w:tcPr>
          <w:p>
            <w:pPr>
              <w:pStyle w:val="TableParagraph"/>
              <w:spacing w:line="246" w:lineRule="exact"/>
              <w:ind w:left="107"/>
              <w:rPr>
                <w:rFonts w:ascii="Cambria" w:hAnsi="Cambria"/>
                <w:sz w:val="21"/>
              </w:rPr>
            </w:pPr>
            <w:r>
              <w:rPr>
                <w:rFonts w:ascii="Cambria" w:hAnsi="Cambria"/>
                <w:sz w:val="21"/>
              </w:rPr>
              <w:t>Ndriçim</w:t>
            </w:r>
            <w:r>
              <w:rPr>
                <w:rFonts w:ascii="Cambria" w:hAnsi="Cambria"/>
                <w:spacing w:val="-5"/>
                <w:sz w:val="21"/>
              </w:rPr>
              <w:t> </w:t>
            </w:r>
            <w:r>
              <w:rPr>
                <w:rFonts w:ascii="Cambria" w:hAnsi="Cambria"/>
                <w:sz w:val="21"/>
              </w:rPr>
              <w:t>publik</w:t>
            </w:r>
            <w:r>
              <w:rPr>
                <w:rFonts w:ascii="Cambria" w:hAnsi="Cambria"/>
                <w:spacing w:val="-2"/>
                <w:sz w:val="21"/>
              </w:rPr>
              <w:t> </w:t>
            </w:r>
            <w:r>
              <w:rPr>
                <w:rFonts w:ascii="Cambria" w:hAnsi="Cambria"/>
                <w:spacing w:val="-4"/>
                <w:sz w:val="21"/>
              </w:rPr>
              <w:t>(km)</w:t>
            </w:r>
          </w:p>
        </w:tc>
        <w:tc>
          <w:tcPr>
            <w:tcW w:w="2118" w:type="dxa"/>
          </w:tcPr>
          <w:p>
            <w:pPr>
              <w:pStyle w:val="TableParagraph"/>
              <w:spacing w:line="246" w:lineRule="exact"/>
              <w:ind w:right="97"/>
              <w:jc w:val="right"/>
              <w:rPr>
                <w:rFonts w:ascii="Cambria"/>
                <w:sz w:val="21"/>
              </w:rPr>
            </w:pPr>
            <w:r>
              <w:rPr>
                <w:rFonts w:ascii="Cambria"/>
                <w:spacing w:val="-5"/>
                <w:sz w:val="21"/>
              </w:rPr>
              <w:t>73</w:t>
            </w:r>
          </w:p>
        </w:tc>
      </w:tr>
      <w:tr>
        <w:trPr>
          <w:trHeight w:val="342" w:hRule="atLeast"/>
        </w:trPr>
        <w:tc>
          <w:tcPr>
            <w:tcW w:w="7395" w:type="dxa"/>
          </w:tcPr>
          <w:p>
            <w:pPr>
              <w:pStyle w:val="TableParagraph"/>
              <w:spacing w:line="246" w:lineRule="exact"/>
              <w:ind w:left="107"/>
              <w:rPr>
                <w:rFonts w:ascii="Cambria" w:hAnsi="Cambria"/>
                <w:sz w:val="21"/>
              </w:rPr>
            </w:pPr>
            <w:r>
              <w:rPr>
                <w:rFonts w:ascii="Cambria" w:hAnsi="Cambria"/>
                <w:sz w:val="21"/>
              </w:rPr>
              <w:t>Ujësjellës</w:t>
            </w:r>
            <w:r>
              <w:rPr>
                <w:rFonts w:ascii="Cambria" w:hAnsi="Cambria"/>
                <w:spacing w:val="-4"/>
                <w:sz w:val="21"/>
              </w:rPr>
              <w:t> (km)</w:t>
            </w:r>
          </w:p>
        </w:tc>
        <w:tc>
          <w:tcPr>
            <w:tcW w:w="2118" w:type="dxa"/>
          </w:tcPr>
          <w:p>
            <w:pPr>
              <w:pStyle w:val="TableParagraph"/>
              <w:spacing w:line="246" w:lineRule="exact"/>
              <w:ind w:right="96"/>
              <w:jc w:val="right"/>
              <w:rPr>
                <w:rFonts w:ascii="Cambria"/>
                <w:sz w:val="21"/>
              </w:rPr>
            </w:pPr>
            <w:r>
              <w:rPr>
                <w:rFonts w:ascii="Cambria"/>
                <w:spacing w:val="-4"/>
                <w:sz w:val="21"/>
              </w:rPr>
              <w:t>21.7</w:t>
            </w:r>
          </w:p>
        </w:tc>
      </w:tr>
      <w:tr>
        <w:trPr>
          <w:trHeight w:val="342" w:hRule="atLeast"/>
        </w:trPr>
        <w:tc>
          <w:tcPr>
            <w:tcW w:w="7395" w:type="dxa"/>
          </w:tcPr>
          <w:p>
            <w:pPr>
              <w:pStyle w:val="TableParagraph"/>
              <w:spacing w:line="246" w:lineRule="exact"/>
              <w:ind w:left="107"/>
              <w:rPr>
                <w:rFonts w:ascii="Cambria"/>
                <w:sz w:val="21"/>
              </w:rPr>
            </w:pPr>
            <w:r>
              <w:rPr>
                <w:rFonts w:ascii="Cambria"/>
                <w:sz w:val="21"/>
              </w:rPr>
              <w:t>Kanalizim</w:t>
            </w:r>
            <w:r>
              <w:rPr>
                <w:rFonts w:ascii="Cambria"/>
                <w:spacing w:val="-9"/>
                <w:sz w:val="21"/>
              </w:rPr>
              <w:t> </w:t>
            </w:r>
            <w:r>
              <w:rPr>
                <w:rFonts w:ascii="Cambria"/>
                <w:sz w:val="21"/>
              </w:rPr>
              <w:t>atmosferik</w:t>
            </w:r>
            <w:r>
              <w:rPr>
                <w:rFonts w:ascii="Cambria"/>
                <w:spacing w:val="-6"/>
                <w:sz w:val="21"/>
              </w:rPr>
              <w:t> </w:t>
            </w:r>
            <w:r>
              <w:rPr>
                <w:rFonts w:ascii="Cambria"/>
                <w:spacing w:val="-4"/>
                <w:sz w:val="21"/>
              </w:rPr>
              <w:t>(km)</w:t>
            </w:r>
          </w:p>
        </w:tc>
        <w:tc>
          <w:tcPr>
            <w:tcW w:w="2118" w:type="dxa"/>
          </w:tcPr>
          <w:p>
            <w:pPr>
              <w:pStyle w:val="TableParagraph"/>
              <w:spacing w:line="246" w:lineRule="exact"/>
              <w:ind w:right="96"/>
              <w:jc w:val="right"/>
              <w:rPr>
                <w:rFonts w:ascii="Cambria"/>
                <w:sz w:val="21"/>
              </w:rPr>
            </w:pPr>
            <w:r>
              <w:rPr>
                <w:rFonts w:ascii="Cambria"/>
                <w:spacing w:val="-5"/>
                <w:sz w:val="21"/>
              </w:rPr>
              <w:t>3.1</w:t>
            </w:r>
          </w:p>
        </w:tc>
      </w:tr>
      <w:tr>
        <w:trPr>
          <w:trHeight w:val="342" w:hRule="atLeast"/>
        </w:trPr>
        <w:tc>
          <w:tcPr>
            <w:tcW w:w="7395" w:type="dxa"/>
          </w:tcPr>
          <w:p>
            <w:pPr>
              <w:pStyle w:val="TableParagraph"/>
              <w:ind w:left="107"/>
              <w:rPr>
                <w:rFonts w:ascii="Cambria" w:hAnsi="Cambria"/>
                <w:sz w:val="21"/>
              </w:rPr>
            </w:pPr>
            <w:r>
              <w:rPr>
                <w:rFonts w:ascii="Cambria" w:hAnsi="Cambria"/>
                <w:sz w:val="21"/>
              </w:rPr>
              <w:t>Kanalizim</w:t>
            </w:r>
            <w:r>
              <w:rPr>
                <w:rFonts w:ascii="Cambria" w:hAnsi="Cambria"/>
                <w:spacing w:val="-3"/>
                <w:sz w:val="21"/>
              </w:rPr>
              <w:t> </w:t>
            </w:r>
            <w:r>
              <w:rPr>
                <w:rFonts w:ascii="Cambria" w:hAnsi="Cambria"/>
                <w:sz w:val="21"/>
              </w:rPr>
              <w:t>i</w:t>
            </w:r>
            <w:r>
              <w:rPr>
                <w:rFonts w:ascii="Cambria" w:hAnsi="Cambria"/>
                <w:spacing w:val="-3"/>
                <w:sz w:val="21"/>
              </w:rPr>
              <w:t> </w:t>
            </w:r>
            <w:r>
              <w:rPr>
                <w:rFonts w:ascii="Cambria" w:hAnsi="Cambria"/>
                <w:sz w:val="21"/>
              </w:rPr>
              <w:t>ujërave</w:t>
            </w:r>
            <w:r>
              <w:rPr>
                <w:rFonts w:ascii="Cambria" w:hAnsi="Cambria"/>
                <w:spacing w:val="-4"/>
                <w:sz w:val="21"/>
              </w:rPr>
              <w:t> </w:t>
            </w:r>
            <w:r>
              <w:rPr>
                <w:rFonts w:ascii="Cambria" w:hAnsi="Cambria"/>
                <w:sz w:val="21"/>
              </w:rPr>
              <w:t>të</w:t>
            </w:r>
            <w:r>
              <w:rPr>
                <w:rFonts w:ascii="Cambria" w:hAnsi="Cambria"/>
                <w:spacing w:val="-3"/>
                <w:sz w:val="21"/>
              </w:rPr>
              <w:t> </w:t>
            </w:r>
            <w:r>
              <w:rPr>
                <w:rFonts w:ascii="Cambria" w:hAnsi="Cambria"/>
                <w:sz w:val="21"/>
              </w:rPr>
              <w:t>zeza</w:t>
            </w:r>
            <w:r>
              <w:rPr>
                <w:rFonts w:ascii="Cambria" w:hAnsi="Cambria"/>
                <w:spacing w:val="-3"/>
                <w:sz w:val="21"/>
              </w:rPr>
              <w:t> </w:t>
            </w:r>
            <w:r>
              <w:rPr>
                <w:rFonts w:ascii="Cambria" w:hAnsi="Cambria"/>
                <w:sz w:val="21"/>
              </w:rPr>
              <w:t>urbane</w:t>
            </w:r>
            <w:r>
              <w:rPr>
                <w:rFonts w:ascii="Cambria" w:hAnsi="Cambria"/>
                <w:spacing w:val="-3"/>
                <w:sz w:val="21"/>
              </w:rPr>
              <w:t> </w:t>
            </w:r>
            <w:r>
              <w:rPr>
                <w:rFonts w:ascii="Cambria" w:hAnsi="Cambria"/>
                <w:spacing w:val="-4"/>
                <w:sz w:val="21"/>
              </w:rPr>
              <w:t>(km)</w:t>
            </w:r>
          </w:p>
        </w:tc>
        <w:tc>
          <w:tcPr>
            <w:tcW w:w="2118" w:type="dxa"/>
          </w:tcPr>
          <w:p>
            <w:pPr>
              <w:pStyle w:val="TableParagraph"/>
              <w:ind w:right="96"/>
              <w:jc w:val="right"/>
              <w:rPr>
                <w:rFonts w:ascii="Cambria"/>
                <w:sz w:val="21"/>
              </w:rPr>
            </w:pPr>
            <w:r>
              <w:rPr>
                <w:rFonts w:ascii="Cambria"/>
                <w:spacing w:val="-4"/>
                <w:sz w:val="21"/>
              </w:rPr>
              <w:t>29.4</w:t>
            </w:r>
          </w:p>
        </w:tc>
      </w:tr>
      <w:tr>
        <w:trPr>
          <w:trHeight w:val="344" w:hRule="atLeast"/>
        </w:trPr>
        <w:tc>
          <w:tcPr>
            <w:tcW w:w="7395" w:type="dxa"/>
          </w:tcPr>
          <w:p>
            <w:pPr>
              <w:pStyle w:val="TableParagraph"/>
              <w:ind w:left="107"/>
              <w:rPr>
                <w:rFonts w:ascii="Cambria" w:hAnsi="Cambria"/>
                <w:sz w:val="21"/>
              </w:rPr>
            </w:pPr>
            <w:r>
              <w:rPr>
                <w:rFonts w:ascii="Cambria" w:hAnsi="Cambria"/>
                <w:sz w:val="21"/>
              </w:rPr>
              <w:t>Hapësira</w:t>
            </w:r>
            <w:r>
              <w:rPr>
                <w:rFonts w:ascii="Cambria" w:hAnsi="Cambria"/>
                <w:spacing w:val="-5"/>
                <w:sz w:val="21"/>
              </w:rPr>
              <w:t> </w:t>
            </w:r>
            <w:r>
              <w:rPr>
                <w:rFonts w:ascii="Cambria" w:hAnsi="Cambria"/>
                <w:sz w:val="21"/>
              </w:rPr>
              <w:t>të</w:t>
            </w:r>
            <w:r>
              <w:rPr>
                <w:rFonts w:ascii="Cambria" w:hAnsi="Cambria"/>
                <w:spacing w:val="-5"/>
                <w:sz w:val="21"/>
              </w:rPr>
              <w:t> </w:t>
            </w:r>
            <w:r>
              <w:rPr>
                <w:rFonts w:ascii="Cambria" w:hAnsi="Cambria"/>
                <w:sz w:val="21"/>
              </w:rPr>
              <w:t>gjelbëruara</w:t>
            </w:r>
            <w:r>
              <w:rPr>
                <w:rFonts w:ascii="Cambria" w:hAnsi="Cambria"/>
                <w:spacing w:val="-6"/>
                <w:sz w:val="21"/>
              </w:rPr>
              <w:t> </w:t>
            </w:r>
            <w:r>
              <w:rPr>
                <w:rFonts w:ascii="Cambria" w:hAnsi="Cambria"/>
                <w:sz w:val="21"/>
              </w:rPr>
              <w:t>(publike)</w:t>
            </w:r>
            <w:r>
              <w:rPr>
                <w:rFonts w:ascii="Cambria" w:hAnsi="Cambria"/>
                <w:spacing w:val="-4"/>
                <w:sz w:val="21"/>
              </w:rPr>
              <w:t> (m</w:t>
            </w:r>
            <w:r>
              <w:rPr>
                <w:rFonts w:ascii="Cambria" w:hAnsi="Cambria"/>
                <w:spacing w:val="-4"/>
                <w:position w:val="5"/>
                <w:sz w:val="14"/>
              </w:rPr>
              <w:t>2</w:t>
            </w:r>
            <w:r>
              <w:rPr>
                <w:rFonts w:ascii="Cambria" w:hAnsi="Cambria"/>
                <w:spacing w:val="-4"/>
                <w:sz w:val="21"/>
              </w:rPr>
              <w:t>)</w:t>
            </w:r>
          </w:p>
        </w:tc>
        <w:tc>
          <w:tcPr>
            <w:tcW w:w="2118" w:type="dxa"/>
          </w:tcPr>
          <w:p>
            <w:pPr>
              <w:pStyle w:val="TableParagraph"/>
              <w:ind w:right="97"/>
              <w:jc w:val="right"/>
              <w:rPr>
                <w:rFonts w:ascii="Cambria"/>
                <w:sz w:val="21"/>
              </w:rPr>
            </w:pPr>
            <w:r>
              <w:rPr>
                <w:rFonts w:ascii="Cambria"/>
                <w:spacing w:val="-4"/>
                <w:sz w:val="21"/>
              </w:rPr>
              <w:t>1200</w:t>
            </w:r>
          </w:p>
        </w:tc>
      </w:tr>
    </w:tbl>
    <w:p>
      <w:pPr>
        <w:spacing w:before="7"/>
        <w:ind w:left="0" w:right="698" w:firstLine="0"/>
        <w:jc w:val="center"/>
        <w:rPr>
          <w:sz w:val="24"/>
        </w:rPr>
      </w:pPr>
      <w:r>
        <w:rPr>
          <w:b/>
          <w:sz w:val="24"/>
        </w:rPr>
        <w:t>Tabela</w:t>
      </w:r>
      <w:r>
        <w:rPr>
          <w:b/>
          <w:spacing w:val="-1"/>
          <w:sz w:val="24"/>
        </w:rPr>
        <w:t> </w:t>
      </w:r>
      <w:r>
        <w:rPr>
          <w:b/>
          <w:sz w:val="24"/>
        </w:rPr>
        <w:t>14: </w:t>
      </w:r>
      <w:r>
        <w:rPr>
          <w:sz w:val="24"/>
        </w:rPr>
        <w:t>Infrastruktura në</w:t>
      </w:r>
      <w:r>
        <w:rPr>
          <w:spacing w:val="-1"/>
          <w:sz w:val="24"/>
        </w:rPr>
        <w:t> </w:t>
      </w:r>
      <w:r>
        <w:rPr>
          <w:sz w:val="24"/>
        </w:rPr>
        <w:t>komunën</w:t>
      </w:r>
      <w:r>
        <w:rPr>
          <w:spacing w:val="-1"/>
          <w:sz w:val="24"/>
        </w:rPr>
        <w:t> </w:t>
      </w:r>
      <w:r>
        <w:rPr>
          <w:sz w:val="24"/>
        </w:rPr>
        <w:t>e Hanit të</w:t>
      </w:r>
      <w:r>
        <w:rPr>
          <w:spacing w:val="-1"/>
          <w:sz w:val="24"/>
        </w:rPr>
        <w:t> </w:t>
      </w:r>
      <w:r>
        <w:rPr>
          <w:spacing w:val="-2"/>
          <w:sz w:val="24"/>
        </w:rPr>
        <w:t>Elezit</w:t>
      </w:r>
    </w:p>
    <w:p>
      <w:pPr>
        <w:pStyle w:val="BodyText"/>
        <w:spacing w:before="10"/>
        <w:rPr>
          <w:sz w:val="21"/>
        </w:rPr>
      </w:pPr>
      <w:r>
        <w:rPr/>
        <w:drawing>
          <wp:anchor distT="0" distB="0" distL="0" distR="0" allowOverlap="1" layoutInCell="1" locked="0" behindDoc="0" simplePos="0" relativeHeight="57">
            <wp:simplePos x="0" y="0"/>
            <wp:positionH relativeFrom="page">
              <wp:posOffset>1853310</wp:posOffset>
            </wp:positionH>
            <wp:positionV relativeFrom="paragraph">
              <wp:posOffset>175020</wp:posOffset>
            </wp:positionV>
            <wp:extent cx="4022072" cy="2969418"/>
            <wp:effectExtent l="0" t="0" r="0" b="0"/>
            <wp:wrapTopAndBottom/>
            <wp:docPr id="25" name="image47.jpeg" descr="Map  Description automatically generated"/>
            <wp:cNvGraphicFramePr>
              <a:graphicFrameLocks noChangeAspect="1"/>
            </wp:cNvGraphicFramePr>
            <a:graphic>
              <a:graphicData uri="http://schemas.openxmlformats.org/drawingml/2006/picture">
                <pic:pic>
                  <pic:nvPicPr>
                    <pic:cNvPr id="26" name="image47.jpeg"/>
                    <pic:cNvPicPr/>
                  </pic:nvPicPr>
                  <pic:blipFill>
                    <a:blip r:embed="rId67" cstate="print"/>
                    <a:stretch>
                      <a:fillRect/>
                    </a:stretch>
                  </pic:blipFill>
                  <pic:spPr>
                    <a:xfrm>
                      <a:off x="0" y="0"/>
                      <a:ext cx="4022072" cy="2969418"/>
                    </a:xfrm>
                    <a:prstGeom prst="rect">
                      <a:avLst/>
                    </a:prstGeom>
                  </pic:spPr>
                </pic:pic>
              </a:graphicData>
            </a:graphic>
          </wp:anchor>
        </w:drawing>
      </w:r>
    </w:p>
    <w:p>
      <w:pPr>
        <w:pStyle w:val="BodyText"/>
        <w:spacing w:before="86"/>
        <w:ind w:right="699"/>
        <w:jc w:val="center"/>
      </w:pPr>
      <w:r>
        <w:rPr>
          <w:b/>
        </w:rPr>
        <w:t>Figura</w:t>
      </w:r>
      <w:r>
        <w:rPr>
          <w:b/>
          <w:spacing w:val="-6"/>
        </w:rPr>
        <w:t> </w:t>
      </w:r>
      <w:r>
        <w:rPr>
          <w:b/>
        </w:rPr>
        <w:t>7:</w:t>
      </w:r>
      <w:r>
        <w:rPr>
          <w:b/>
          <w:spacing w:val="-6"/>
        </w:rPr>
        <w:t> </w:t>
      </w:r>
      <w:r>
        <w:rPr/>
        <w:t>Harta</w:t>
      </w:r>
      <w:r>
        <w:rPr>
          <w:spacing w:val="-6"/>
        </w:rPr>
        <w:t> </w:t>
      </w:r>
      <w:r>
        <w:rPr/>
        <w:t>infraskturore</w:t>
      </w:r>
      <w:r>
        <w:rPr>
          <w:spacing w:val="-6"/>
        </w:rPr>
        <w:t> </w:t>
      </w:r>
      <w:r>
        <w:rPr/>
        <w:t>urbane</w:t>
      </w:r>
      <w:r>
        <w:rPr>
          <w:spacing w:val="-7"/>
        </w:rPr>
        <w:t> </w:t>
      </w:r>
      <w:r>
        <w:rPr/>
        <w:t>e</w:t>
      </w:r>
      <w:r>
        <w:rPr>
          <w:spacing w:val="-5"/>
        </w:rPr>
        <w:t> </w:t>
      </w:r>
      <w:r>
        <w:rPr/>
        <w:t>territorit</w:t>
      </w:r>
      <w:r>
        <w:rPr>
          <w:spacing w:val="-6"/>
        </w:rPr>
        <w:t> </w:t>
      </w:r>
      <w:r>
        <w:rPr/>
        <w:t>të</w:t>
      </w:r>
      <w:r>
        <w:rPr>
          <w:spacing w:val="-5"/>
        </w:rPr>
        <w:t> </w:t>
      </w:r>
      <w:r>
        <w:rPr/>
        <w:t>komunës</w:t>
      </w:r>
      <w:r>
        <w:rPr>
          <w:spacing w:val="-6"/>
        </w:rPr>
        <w:t> </w:t>
      </w:r>
      <w:r>
        <w:rPr/>
        <w:t>së</w:t>
      </w:r>
      <w:r>
        <w:rPr>
          <w:spacing w:val="-5"/>
        </w:rPr>
        <w:t> </w:t>
      </w:r>
      <w:r>
        <w:rPr/>
        <w:t>Hanit</w:t>
      </w:r>
      <w:r>
        <w:rPr>
          <w:spacing w:val="-5"/>
        </w:rPr>
        <w:t> </w:t>
      </w:r>
      <w:r>
        <w:rPr/>
        <w:t>të</w:t>
      </w:r>
      <w:r>
        <w:rPr>
          <w:spacing w:val="-5"/>
        </w:rPr>
        <w:t> </w:t>
      </w:r>
      <w:r>
        <w:rPr>
          <w:spacing w:val="-2"/>
        </w:rPr>
        <w:t>Elezit</w:t>
      </w:r>
    </w:p>
    <w:p>
      <w:pPr>
        <w:spacing w:after="0"/>
        <w:jc w:val="center"/>
        <w:sectPr>
          <w:footerReference w:type="default" r:id="rId65"/>
          <w:pgSz w:w="12240" w:h="15840"/>
          <w:pgMar w:footer="990" w:header="0" w:top="0" w:bottom="1180" w:left="700" w:right="0"/>
          <w:pgNumType w:start="40"/>
        </w:sectPr>
      </w:pPr>
    </w:p>
    <w:p>
      <w:pPr>
        <w:pStyle w:val="Heading2"/>
        <w:numPr>
          <w:ilvl w:val="1"/>
          <w:numId w:val="11"/>
        </w:numPr>
        <w:tabs>
          <w:tab w:pos="1160" w:val="left" w:leader="none"/>
          <w:tab w:pos="10131" w:val="left" w:leader="none"/>
        </w:tabs>
        <w:spacing w:line="240" w:lineRule="auto" w:before="60" w:after="0"/>
        <w:ind w:left="1160" w:right="0" w:hanging="450"/>
        <w:jc w:val="both"/>
        <w:rPr>
          <w:color w:val="FFFFFF"/>
        </w:rPr>
      </w:pPr>
      <w:r>
        <w:rPr>
          <w:color w:val="FFFFFF"/>
          <w:spacing w:val="-2"/>
          <w:shd w:fill="EAB8A3" w:color="auto" w:val="clear"/>
        </w:rPr>
        <w:t>Transporti</w:t>
      </w:r>
      <w:r>
        <w:rPr>
          <w:color w:val="FFFFFF"/>
          <w:shd w:fill="EAB8A3" w:color="auto" w:val="clear"/>
        </w:rPr>
        <w:tab/>
      </w:r>
    </w:p>
    <w:p>
      <w:pPr>
        <w:pStyle w:val="BodyText"/>
        <w:spacing w:line="288" w:lineRule="auto" w:before="202"/>
        <w:ind w:left="740" w:right="1436"/>
        <w:jc w:val="both"/>
      </w:pPr>
      <w:r>
        <w:rPr/>
        <w:t>Në</w:t>
      </w:r>
      <w:r>
        <w:rPr>
          <w:spacing w:val="-15"/>
        </w:rPr>
        <w:t> </w:t>
      </w:r>
      <w:r>
        <w:rPr/>
        <w:t>Han</w:t>
      </w:r>
      <w:r>
        <w:rPr>
          <w:spacing w:val="-15"/>
        </w:rPr>
        <w:t> </w:t>
      </w:r>
      <w:r>
        <w:rPr/>
        <w:t>të</w:t>
      </w:r>
      <w:r>
        <w:rPr>
          <w:spacing w:val="-14"/>
        </w:rPr>
        <w:t> </w:t>
      </w:r>
      <w:r>
        <w:rPr/>
        <w:t>Elezit</w:t>
      </w:r>
      <w:r>
        <w:rPr>
          <w:spacing w:val="-15"/>
        </w:rPr>
        <w:t> </w:t>
      </w:r>
      <w:r>
        <w:rPr/>
        <w:t>ekzistojnë</w:t>
      </w:r>
      <w:r>
        <w:rPr>
          <w:spacing w:val="-14"/>
        </w:rPr>
        <w:t> </w:t>
      </w:r>
      <w:r>
        <w:rPr/>
        <w:t>tri</w:t>
      </w:r>
      <w:r>
        <w:rPr>
          <w:spacing w:val="-14"/>
        </w:rPr>
        <w:t> </w:t>
      </w:r>
      <w:r>
        <w:rPr/>
        <w:t>linja</w:t>
      </w:r>
      <w:r>
        <w:rPr>
          <w:spacing w:val="-14"/>
        </w:rPr>
        <w:t> </w:t>
      </w:r>
      <w:r>
        <w:rPr/>
        <w:t>të</w:t>
      </w:r>
      <w:r>
        <w:rPr>
          <w:spacing w:val="-15"/>
        </w:rPr>
        <w:t> </w:t>
      </w:r>
      <w:r>
        <w:rPr/>
        <w:t>rëndësishme</w:t>
      </w:r>
      <w:r>
        <w:rPr>
          <w:spacing w:val="-14"/>
        </w:rPr>
        <w:t> </w:t>
      </w:r>
      <w:r>
        <w:rPr/>
        <w:t>të</w:t>
      </w:r>
      <w:r>
        <w:rPr>
          <w:spacing w:val="-15"/>
        </w:rPr>
        <w:t> </w:t>
      </w:r>
      <w:r>
        <w:rPr/>
        <w:t>transportit:</w:t>
      </w:r>
      <w:r>
        <w:rPr>
          <w:spacing w:val="-14"/>
        </w:rPr>
        <w:t> </w:t>
      </w:r>
      <w:r>
        <w:rPr/>
        <w:t>autostrada</w:t>
      </w:r>
      <w:r>
        <w:rPr>
          <w:spacing w:val="-14"/>
        </w:rPr>
        <w:t> </w:t>
      </w:r>
      <w:r>
        <w:rPr/>
        <w:t>Prishtinë-Shkup,</w:t>
      </w:r>
      <w:r>
        <w:rPr>
          <w:spacing w:val="-14"/>
        </w:rPr>
        <w:t> </w:t>
      </w:r>
      <w:r>
        <w:rPr/>
        <w:t>rruga magjistrale Prishtinë-Shkup dhe linja hekurudhore Fushë Kosovë-Shkup. Këto nyje të transportit kanë një rëndësi të madhe dhe e bëjnë Hanin e Elezit një vend kyç që lidh Kosovën</w:t>
      </w:r>
      <w:r>
        <w:rPr/>
        <w:t> dhe Maqedoninë dhe me vendet e tjera të Ballkanit.</w:t>
      </w:r>
    </w:p>
    <w:p>
      <w:pPr>
        <w:pStyle w:val="BodyText"/>
        <w:spacing w:line="288" w:lineRule="auto" w:before="199"/>
        <w:ind w:left="740" w:right="1438"/>
        <w:jc w:val="both"/>
      </w:pPr>
      <w:r>
        <w:rPr/>
        <w:t>Rruga që lidh Hanin e Elezit dhe Glloboçicën më gjatësi rreth 13.5 km, nga të cilat 11.3 km janë brenda</w:t>
      </w:r>
      <w:r>
        <w:rPr>
          <w:spacing w:val="-12"/>
        </w:rPr>
        <w:t> </w:t>
      </w:r>
      <w:r>
        <w:rPr/>
        <w:t>territorit</w:t>
      </w:r>
      <w:r>
        <w:rPr>
          <w:spacing w:val="-12"/>
        </w:rPr>
        <w:t> </w:t>
      </w:r>
      <w:r>
        <w:rPr/>
        <w:t>Hani</w:t>
      </w:r>
      <w:r>
        <w:rPr>
          <w:spacing w:val="-13"/>
        </w:rPr>
        <w:t> </w:t>
      </w:r>
      <w:r>
        <w:rPr/>
        <w:t>i</w:t>
      </w:r>
      <w:r>
        <w:rPr>
          <w:spacing w:val="-12"/>
        </w:rPr>
        <w:t> </w:t>
      </w:r>
      <w:r>
        <w:rPr/>
        <w:t>Elezit</w:t>
      </w:r>
      <w:r>
        <w:rPr>
          <w:spacing w:val="-12"/>
        </w:rPr>
        <w:t> </w:t>
      </w:r>
      <w:r>
        <w:rPr/>
        <w:t>është</w:t>
      </w:r>
      <w:r>
        <w:rPr>
          <w:spacing w:val="-12"/>
        </w:rPr>
        <w:t> </w:t>
      </w:r>
      <w:r>
        <w:rPr/>
        <w:t>gjithashtu</w:t>
      </w:r>
      <w:r>
        <w:rPr>
          <w:spacing w:val="-12"/>
        </w:rPr>
        <w:t> </w:t>
      </w:r>
      <w:r>
        <w:rPr/>
        <w:t>me</w:t>
      </w:r>
      <w:r>
        <w:rPr>
          <w:spacing w:val="-13"/>
        </w:rPr>
        <w:t> </w:t>
      </w:r>
      <w:r>
        <w:rPr/>
        <w:t>rëndësi</w:t>
      </w:r>
      <w:r>
        <w:rPr>
          <w:spacing w:val="-13"/>
        </w:rPr>
        <w:t> </w:t>
      </w:r>
      <w:r>
        <w:rPr/>
        <w:t>të</w:t>
      </w:r>
      <w:r>
        <w:rPr>
          <w:spacing w:val="-11"/>
        </w:rPr>
        <w:t> </w:t>
      </w:r>
      <w:r>
        <w:rPr/>
        <w:t>madhe,</w:t>
      </w:r>
      <w:r>
        <w:rPr>
          <w:spacing w:val="-12"/>
        </w:rPr>
        <w:t> </w:t>
      </w:r>
      <w:r>
        <w:rPr/>
        <w:t>pasi</w:t>
      </w:r>
      <w:r>
        <w:rPr>
          <w:spacing w:val="-11"/>
        </w:rPr>
        <w:t> </w:t>
      </w:r>
      <w:r>
        <w:rPr/>
        <w:t>që</w:t>
      </w:r>
      <w:r>
        <w:rPr>
          <w:spacing w:val="-13"/>
        </w:rPr>
        <w:t> </w:t>
      </w:r>
      <w:r>
        <w:rPr/>
        <w:t>ajo</w:t>
      </w:r>
      <w:r>
        <w:rPr>
          <w:spacing w:val="-11"/>
        </w:rPr>
        <w:t> </w:t>
      </w:r>
      <w:r>
        <w:rPr/>
        <w:t>lidh</w:t>
      </w:r>
      <w:r>
        <w:rPr>
          <w:spacing w:val="-12"/>
        </w:rPr>
        <w:t> </w:t>
      </w:r>
      <w:r>
        <w:rPr/>
        <w:t>dy</w:t>
      </w:r>
      <w:r>
        <w:rPr>
          <w:spacing w:val="-13"/>
        </w:rPr>
        <w:t> </w:t>
      </w:r>
      <w:r>
        <w:rPr/>
        <w:t>vendkalimet kryesore kufitare midis Kosovës dhe Maqedonisë dhe vlerësohet si një rrugë e rëndësishme për lidhjen rajonale.</w:t>
      </w:r>
    </w:p>
    <w:p>
      <w:pPr>
        <w:pStyle w:val="BodyText"/>
        <w:spacing w:before="10"/>
        <w:rPr>
          <w:sz w:val="20"/>
        </w:rPr>
      </w:pPr>
    </w:p>
    <w:p>
      <w:pPr>
        <w:pStyle w:val="BodyText"/>
        <w:spacing w:line="288" w:lineRule="auto" w:before="1"/>
        <w:ind w:left="740" w:right="1436"/>
        <w:jc w:val="both"/>
      </w:pPr>
      <w:r>
        <w:rPr/>
        <w:t>Rrugë</w:t>
      </w:r>
      <w:r>
        <w:rPr>
          <w:spacing w:val="-12"/>
        </w:rPr>
        <w:t> </w:t>
      </w:r>
      <w:r>
        <w:rPr/>
        <w:t>tjera</w:t>
      </w:r>
      <w:r>
        <w:rPr>
          <w:spacing w:val="-12"/>
        </w:rPr>
        <w:t> </w:t>
      </w:r>
      <w:r>
        <w:rPr/>
        <w:t>me</w:t>
      </w:r>
      <w:r>
        <w:rPr>
          <w:spacing w:val="-11"/>
        </w:rPr>
        <w:t> </w:t>
      </w:r>
      <w:r>
        <w:rPr/>
        <w:t>rëndësi</w:t>
      </w:r>
      <w:r>
        <w:rPr>
          <w:spacing w:val="-11"/>
        </w:rPr>
        <w:t> </w:t>
      </w:r>
      <w:r>
        <w:rPr/>
        <w:t>brenda</w:t>
      </w:r>
      <w:r>
        <w:rPr>
          <w:spacing w:val="-12"/>
        </w:rPr>
        <w:t> </w:t>
      </w:r>
      <w:r>
        <w:rPr/>
        <w:t>territorit</w:t>
      </w:r>
      <w:r>
        <w:rPr>
          <w:spacing w:val="-11"/>
        </w:rPr>
        <w:t> </w:t>
      </w:r>
      <w:r>
        <w:rPr/>
        <w:t>të</w:t>
      </w:r>
      <w:r>
        <w:rPr>
          <w:spacing w:val="-12"/>
        </w:rPr>
        <w:t> </w:t>
      </w:r>
      <w:r>
        <w:rPr/>
        <w:t>Komunës</w:t>
      </w:r>
      <w:r>
        <w:rPr>
          <w:spacing w:val="-11"/>
        </w:rPr>
        <w:t> </w:t>
      </w:r>
      <w:r>
        <w:rPr/>
        <w:t>janë</w:t>
      </w:r>
      <w:r>
        <w:rPr>
          <w:spacing w:val="-11"/>
        </w:rPr>
        <w:t> </w:t>
      </w:r>
      <w:r>
        <w:rPr/>
        <w:t>edhe</w:t>
      </w:r>
      <w:r>
        <w:rPr>
          <w:spacing w:val="-13"/>
        </w:rPr>
        <w:t> </w:t>
      </w:r>
      <w:r>
        <w:rPr/>
        <w:t>Hani</w:t>
      </w:r>
      <w:r>
        <w:rPr>
          <w:spacing w:val="-12"/>
        </w:rPr>
        <w:t> </w:t>
      </w:r>
      <w:r>
        <w:rPr/>
        <w:t>i</w:t>
      </w:r>
      <w:r>
        <w:rPr>
          <w:spacing w:val="-11"/>
        </w:rPr>
        <w:t> </w:t>
      </w:r>
      <w:r>
        <w:rPr/>
        <w:t>Elezit-Secishte-Krivenik</w:t>
      </w:r>
      <w:r>
        <w:rPr>
          <w:spacing w:val="-12"/>
        </w:rPr>
        <w:t> </w:t>
      </w:r>
      <w:r>
        <w:rPr/>
        <w:t>(3.7 km), Hani i Elezit-Peldenicë (2.24 km), Hani i Elezit-Gorancë (5.43 km), Hani i Elezit-Meliq- Pustenik</w:t>
      </w:r>
      <w:r>
        <w:rPr>
          <w:spacing w:val="35"/>
        </w:rPr>
        <w:t> </w:t>
      </w:r>
      <w:r>
        <w:rPr/>
        <w:t>(4.46</w:t>
      </w:r>
      <w:r>
        <w:rPr>
          <w:spacing w:val="35"/>
        </w:rPr>
        <w:t> </w:t>
      </w:r>
      <w:r>
        <w:rPr/>
        <w:t>km),</w:t>
      </w:r>
      <w:r>
        <w:rPr>
          <w:spacing w:val="36"/>
        </w:rPr>
        <w:t> </w:t>
      </w:r>
      <w:r>
        <w:rPr/>
        <w:t>Peldenicë-Dremjak</w:t>
      </w:r>
      <w:r>
        <w:rPr>
          <w:spacing w:val="36"/>
        </w:rPr>
        <w:t> </w:t>
      </w:r>
      <w:r>
        <w:rPr/>
        <w:t>(2.9</w:t>
      </w:r>
      <w:r>
        <w:rPr>
          <w:spacing w:val="36"/>
        </w:rPr>
        <w:t> </w:t>
      </w:r>
      <w:r>
        <w:rPr/>
        <w:t>km),</w:t>
      </w:r>
      <w:r>
        <w:rPr>
          <w:spacing w:val="36"/>
        </w:rPr>
        <w:t> </w:t>
      </w:r>
      <w:r>
        <w:rPr/>
        <w:t>Neqavcë-Dremjak</w:t>
      </w:r>
      <w:r>
        <w:rPr>
          <w:spacing w:val="36"/>
        </w:rPr>
        <w:t> </w:t>
      </w:r>
      <w:r>
        <w:rPr/>
        <w:t>(4.3),</w:t>
      </w:r>
      <w:r>
        <w:rPr>
          <w:spacing w:val="36"/>
        </w:rPr>
        <w:t>  </w:t>
      </w:r>
      <w:r>
        <w:rPr/>
        <w:t>Gorancë-</w:t>
      </w:r>
      <w:r>
        <w:rPr>
          <w:spacing w:val="-2"/>
        </w:rPr>
        <w:t>Krivenik</w:t>
      </w:r>
    </w:p>
    <w:p>
      <w:pPr>
        <w:pStyle w:val="BodyText"/>
        <w:ind w:left="740"/>
        <w:jc w:val="both"/>
      </w:pPr>
      <w:r>
        <w:rPr/>
        <w:t>(4.22</w:t>
      </w:r>
      <w:r>
        <w:rPr>
          <w:spacing w:val="-5"/>
        </w:rPr>
        <w:t> </w:t>
      </w:r>
      <w:r>
        <w:rPr/>
        <w:t>km),</w:t>
      </w:r>
      <w:r>
        <w:rPr>
          <w:spacing w:val="-4"/>
        </w:rPr>
        <w:t> </w:t>
      </w:r>
      <w:r>
        <w:rPr/>
        <w:t>Krivenik-Secishte</w:t>
      </w:r>
      <w:r>
        <w:rPr>
          <w:spacing w:val="-4"/>
        </w:rPr>
        <w:t> </w:t>
      </w:r>
      <w:r>
        <w:rPr/>
        <w:t>(2.4</w:t>
      </w:r>
      <w:r>
        <w:rPr>
          <w:spacing w:val="-4"/>
        </w:rPr>
        <w:t> </w:t>
      </w:r>
      <w:r>
        <w:rPr/>
        <w:t>km),</w:t>
      </w:r>
      <w:r>
        <w:rPr>
          <w:spacing w:val="-4"/>
        </w:rPr>
        <w:t> etj.</w:t>
      </w:r>
    </w:p>
    <w:p>
      <w:pPr>
        <w:pStyle w:val="BodyText"/>
        <w:spacing w:before="2"/>
        <w:rPr>
          <w:sz w:val="22"/>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94"/>
        <w:gridCol w:w="1957"/>
      </w:tblGrid>
      <w:tr>
        <w:trPr>
          <w:trHeight w:val="495" w:hRule="atLeast"/>
        </w:trPr>
        <w:tc>
          <w:tcPr>
            <w:tcW w:w="7394" w:type="dxa"/>
            <w:shd w:val="clear" w:color="auto" w:fill="EAB8A3"/>
          </w:tcPr>
          <w:p>
            <w:pPr>
              <w:pStyle w:val="TableParagraph"/>
              <w:spacing w:line="246" w:lineRule="exact"/>
              <w:ind w:left="107"/>
              <w:rPr>
                <w:rFonts w:ascii="Cambria" w:hAnsi="Cambria"/>
                <w:b/>
                <w:sz w:val="21"/>
              </w:rPr>
            </w:pPr>
            <w:r>
              <w:rPr>
                <w:rFonts w:ascii="Cambria" w:hAnsi="Cambria"/>
                <w:b/>
                <w:sz w:val="21"/>
              </w:rPr>
              <w:t>Lloji</w:t>
            </w:r>
            <w:r>
              <w:rPr>
                <w:rFonts w:ascii="Cambria" w:hAnsi="Cambria"/>
                <w:b/>
                <w:spacing w:val="-5"/>
                <w:sz w:val="21"/>
              </w:rPr>
              <w:t> </w:t>
            </w:r>
            <w:r>
              <w:rPr>
                <w:rFonts w:ascii="Cambria" w:hAnsi="Cambria"/>
                <w:b/>
                <w:sz w:val="21"/>
              </w:rPr>
              <w:t>i</w:t>
            </w:r>
            <w:r>
              <w:rPr>
                <w:rFonts w:ascii="Cambria" w:hAnsi="Cambria"/>
                <w:b/>
                <w:spacing w:val="-2"/>
                <w:sz w:val="21"/>
              </w:rPr>
              <w:t> </w:t>
            </w:r>
            <w:r>
              <w:rPr>
                <w:rFonts w:ascii="Cambria" w:hAnsi="Cambria"/>
                <w:b/>
                <w:sz w:val="21"/>
              </w:rPr>
              <w:t>infrastrukturës</w:t>
            </w:r>
            <w:r>
              <w:rPr>
                <w:rFonts w:ascii="Cambria" w:hAnsi="Cambria"/>
                <w:b/>
                <w:spacing w:val="-2"/>
                <w:sz w:val="21"/>
              </w:rPr>
              <w:t> transportuese</w:t>
            </w:r>
          </w:p>
        </w:tc>
        <w:tc>
          <w:tcPr>
            <w:tcW w:w="1957" w:type="dxa"/>
            <w:shd w:val="clear" w:color="auto" w:fill="EAB8A3"/>
          </w:tcPr>
          <w:p>
            <w:pPr>
              <w:pStyle w:val="TableParagraph"/>
              <w:spacing w:line="246" w:lineRule="exact"/>
              <w:ind w:right="94"/>
              <w:jc w:val="right"/>
              <w:rPr>
                <w:rFonts w:ascii="Cambria" w:hAnsi="Cambria"/>
                <w:b/>
                <w:sz w:val="21"/>
              </w:rPr>
            </w:pPr>
            <w:r>
              <w:rPr>
                <w:rFonts w:ascii="Cambria" w:hAnsi="Cambria"/>
                <w:b/>
                <w:sz w:val="21"/>
              </w:rPr>
              <w:t>Gjatësia</w:t>
            </w:r>
            <w:r>
              <w:rPr>
                <w:rFonts w:ascii="Cambria" w:hAnsi="Cambria"/>
                <w:b/>
                <w:spacing w:val="-2"/>
                <w:sz w:val="21"/>
              </w:rPr>
              <w:t> </w:t>
            </w:r>
            <w:r>
              <w:rPr>
                <w:rFonts w:ascii="Cambria" w:hAnsi="Cambria"/>
                <w:b/>
                <w:sz w:val="21"/>
              </w:rPr>
              <w:t>në</w:t>
            </w:r>
            <w:r>
              <w:rPr>
                <w:rFonts w:ascii="Cambria" w:hAnsi="Cambria"/>
                <w:b/>
                <w:spacing w:val="-2"/>
                <w:sz w:val="21"/>
              </w:rPr>
              <w:t> </w:t>
            </w:r>
            <w:r>
              <w:rPr>
                <w:rFonts w:ascii="Cambria" w:hAnsi="Cambria"/>
                <w:b/>
                <w:spacing w:val="-5"/>
                <w:sz w:val="21"/>
              </w:rPr>
              <w:t>km</w:t>
            </w:r>
          </w:p>
        </w:tc>
      </w:tr>
      <w:tr>
        <w:trPr>
          <w:trHeight w:val="495" w:hRule="atLeast"/>
        </w:trPr>
        <w:tc>
          <w:tcPr>
            <w:tcW w:w="7394" w:type="dxa"/>
          </w:tcPr>
          <w:p>
            <w:pPr>
              <w:pStyle w:val="TableParagraph"/>
              <w:spacing w:line="246" w:lineRule="exact"/>
              <w:ind w:left="107"/>
              <w:rPr>
                <w:rFonts w:ascii="Cambria" w:hAnsi="Cambria"/>
                <w:sz w:val="21"/>
              </w:rPr>
            </w:pPr>
            <w:r>
              <w:rPr>
                <w:rFonts w:ascii="Cambria" w:hAnsi="Cambria"/>
                <w:spacing w:val="-2"/>
                <w:sz w:val="21"/>
              </w:rPr>
              <w:t>Autostradë</w:t>
            </w:r>
          </w:p>
        </w:tc>
        <w:tc>
          <w:tcPr>
            <w:tcW w:w="1957" w:type="dxa"/>
          </w:tcPr>
          <w:p>
            <w:pPr>
              <w:pStyle w:val="TableParagraph"/>
              <w:spacing w:line="246" w:lineRule="exact"/>
              <w:ind w:right="95"/>
              <w:jc w:val="right"/>
              <w:rPr>
                <w:rFonts w:ascii="Cambria"/>
                <w:sz w:val="21"/>
              </w:rPr>
            </w:pPr>
            <w:r>
              <w:rPr>
                <w:rFonts w:ascii="Cambria"/>
                <w:spacing w:val="-4"/>
                <w:sz w:val="21"/>
              </w:rPr>
              <w:t>5.17</w:t>
            </w:r>
          </w:p>
        </w:tc>
      </w:tr>
      <w:tr>
        <w:trPr>
          <w:trHeight w:val="495" w:hRule="atLeast"/>
        </w:trPr>
        <w:tc>
          <w:tcPr>
            <w:tcW w:w="7394" w:type="dxa"/>
          </w:tcPr>
          <w:p>
            <w:pPr>
              <w:pStyle w:val="TableParagraph"/>
              <w:ind w:left="107"/>
              <w:rPr>
                <w:rFonts w:ascii="Cambria" w:hAnsi="Cambria"/>
                <w:sz w:val="21"/>
              </w:rPr>
            </w:pPr>
            <w:r>
              <w:rPr>
                <w:rFonts w:ascii="Cambria" w:hAnsi="Cambria"/>
                <w:sz w:val="21"/>
              </w:rPr>
              <w:t>Rrugë</w:t>
            </w:r>
            <w:r>
              <w:rPr>
                <w:rFonts w:ascii="Cambria" w:hAnsi="Cambria"/>
                <w:spacing w:val="-5"/>
                <w:sz w:val="21"/>
              </w:rPr>
              <w:t> </w:t>
            </w:r>
            <w:r>
              <w:rPr>
                <w:rFonts w:ascii="Cambria" w:hAnsi="Cambria"/>
                <w:sz w:val="21"/>
              </w:rPr>
              <w:t>magjistrale</w:t>
            </w:r>
            <w:r>
              <w:rPr>
                <w:rFonts w:ascii="Cambria" w:hAnsi="Cambria"/>
                <w:spacing w:val="-5"/>
                <w:sz w:val="21"/>
              </w:rPr>
              <w:t> </w:t>
            </w:r>
            <w:r>
              <w:rPr>
                <w:rFonts w:ascii="Cambria" w:hAnsi="Cambria"/>
                <w:spacing w:val="-2"/>
                <w:sz w:val="21"/>
              </w:rPr>
              <w:t>(autoudha)</w:t>
            </w:r>
          </w:p>
        </w:tc>
        <w:tc>
          <w:tcPr>
            <w:tcW w:w="1957" w:type="dxa"/>
          </w:tcPr>
          <w:p>
            <w:pPr>
              <w:pStyle w:val="TableParagraph"/>
              <w:ind w:right="95"/>
              <w:jc w:val="right"/>
              <w:rPr>
                <w:rFonts w:ascii="Cambria"/>
                <w:sz w:val="21"/>
              </w:rPr>
            </w:pPr>
            <w:r>
              <w:rPr>
                <w:rFonts w:ascii="Cambria"/>
                <w:spacing w:val="-4"/>
                <w:sz w:val="21"/>
              </w:rPr>
              <w:t>4.47</w:t>
            </w:r>
          </w:p>
        </w:tc>
      </w:tr>
      <w:tr>
        <w:trPr>
          <w:trHeight w:val="496" w:hRule="atLeast"/>
        </w:trPr>
        <w:tc>
          <w:tcPr>
            <w:tcW w:w="7394" w:type="dxa"/>
          </w:tcPr>
          <w:p>
            <w:pPr>
              <w:pStyle w:val="TableParagraph"/>
              <w:ind w:left="107"/>
              <w:rPr>
                <w:rFonts w:ascii="Cambria" w:hAnsi="Cambria"/>
                <w:sz w:val="21"/>
              </w:rPr>
            </w:pPr>
            <w:r>
              <w:rPr>
                <w:rFonts w:ascii="Cambria" w:hAnsi="Cambria"/>
                <w:sz w:val="21"/>
              </w:rPr>
              <w:t>Rrugë</w:t>
            </w:r>
            <w:r>
              <w:rPr>
                <w:rFonts w:ascii="Cambria" w:hAnsi="Cambria"/>
                <w:spacing w:val="-3"/>
                <w:sz w:val="21"/>
              </w:rPr>
              <w:t> </w:t>
            </w:r>
            <w:r>
              <w:rPr>
                <w:rFonts w:ascii="Cambria" w:hAnsi="Cambria"/>
                <w:sz w:val="21"/>
              </w:rPr>
              <w:t>lokale</w:t>
            </w:r>
            <w:r>
              <w:rPr>
                <w:rFonts w:ascii="Cambria" w:hAnsi="Cambria"/>
                <w:spacing w:val="-4"/>
                <w:sz w:val="21"/>
              </w:rPr>
              <w:t> </w:t>
            </w:r>
            <w:r>
              <w:rPr>
                <w:rFonts w:ascii="Cambria" w:hAnsi="Cambria"/>
                <w:sz w:val="21"/>
              </w:rPr>
              <w:t>te</w:t>
            </w:r>
            <w:r>
              <w:rPr>
                <w:rFonts w:ascii="Cambria" w:hAnsi="Cambria"/>
                <w:spacing w:val="-3"/>
                <w:sz w:val="21"/>
              </w:rPr>
              <w:t> </w:t>
            </w:r>
            <w:r>
              <w:rPr>
                <w:rFonts w:ascii="Cambria" w:hAnsi="Cambria"/>
                <w:sz w:val="21"/>
              </w:rPr>
              <w:t>asfaltuara</w:t>
            </w:r>
            <w:r>
              <w:rPr>
                <w:rFonts w:ascii="Cambria" w:hAnsi="Cambria"/>
                <w:spacing w:val="-4"/>
                <w:sz w:val="21"/>
              </w:rPr>
              <w:t> </w:t>
            </w:r>
            <w:r>
              <w:rPr>
                <w:rFonts w:ascii="Cambria" w:hAnsi="Cambria"/>
                <w:sz w:val="21"/>
              </w:rPr>
              <w:t>që</w:t>
            </w:r>
            <w:r>
              <w:rPr>
                <w:rFonts w:ascii="Cambria" w:hAnsi="Cambria"/>
                <w:spacing w:val="-2"/>
                <w:sz w:val="21"/>
              </w:rPr>
              <w:t> </w:t>
            </w:r>
            <w:r>
              <w:rPr>
                <w:rFonts w:ascii="Cambria" w:hAnsi="Cambria"/>
                <w:sz w:val="21"/>
              </w:rPr>
              <w:t>lidhin</w:t>
            </w:r>
            <w:r>
              <w:rPr>
                <w:rFonts w:ascii="Cambria" w:hAnsi="Cambria"/>
                <w:spacing w:val="-3"/>
                <w:sz w:val="21"/>
              </w:rPr>
              <w:t> </w:t>
            </w:r>
            <w:r>
              <w:rPr>
                <w:rFonts w:ascii="Cambria" w:hAnsi="Cambria"/>
                <w:sz w:val="21"/>
              </w:rPr>
              <w:t>zonën</w:t>
            </w:r>
            <w:r>
              <w:rPr>
                <w:rFonts w:ascii="Cambria" w:hAnsi="Cambria"/>
                <w:spacing w:val="-3"/>
                <w:sz w:val="21"/>
              </w:rPr>
              <w:t> </w:t>
            </w:r>
            <w:r>
              <w:rPr>
                <w:rFonts w:ascii="Cambria" w:hAnsi="Cambria"/>
                <w:sz w:val="21"/>
              </w:rPr>
              <w:t>urbane</w:t>
            </w:r>
            <w:r>
              <w:rPr>
                <w:rFonts w:ascii="Cambria" w:hAnsi="Cambria"/>
                <w:spacing w:val="42"/>
                <w:sz w:val="21"/>
              </w:rPr>
              <w:t> </w:t>
            </w:r>
            <w:r>
              <w:rPr>
                <w:rFonts w:ascii="Cambria" w:hAnsi="Cambria"/>
                <w:sz w:val="21"/>
              </w:rPr>
              <w:t>me</w:t>
            </w:r>
            <w:r>
              <w:rPr>
                <w:rFonts w:ascii="Cambria" w:hAnsi="Cambria"/>
                <w:spacing w:val="-2"/>
                <w:sz w:val="21"/>
              </w:rPr>
              <w:t> vendbanime</w:t>
            </w:r>
          </w:p>
        </w:tc>
        <w:tc>
          <w:tcPr>
            <w:tcW w:w="1957" w:type="dxa"/>
          </w:tcPr>
          <w:p>
            <w:pPr>
              <w:pStyle w:val="TableParagraph"/>
              <w:ind w:right="94"/>
              <w:jc w:val="right"/>
              <w:rPr>
                <w:rFonts w:ascii="Cambria"/>
                <w:sz w:val="21"/>
              </w:rPr>
            </w:pPr>
            <w:r>
              <w:rPr>
                <w:rFonts w:ascii="Cambria"/>
                <w:spacing w:val="-2"/>
                <w:sz w:val="21"/>
              </w:rPr>
              <w:t>28.06</w:t>
            </w:r>
          </w:p>
        </w:tc>
      </w:tr>
      <w:tr>
        <w:trPr>
          <w:trHeight w:val="495" w:hRule="atLeast"/>
        </w:trPr>
        <w:tc>
          <w:tcPr>
            <w:tcW w:w="7394" w:type="dxa"/>
          </w:tcPr>
          <w:p>
            <w:pPr>
              <w:pStyle w:val="TableParagraph"/>
              <w:spacing w:line="246" w:lineRule="exact"/>
              <w:ind w:left="107"/>
              <w:rPr>
                <w:rFonts w:ascii="Cambria" w:hAnsi="Cambria"/>
                <w:sz w:val="21"/>
              </w:rPr>
            </w:pPr>
            <w:r>
              <w:rPr>
                <w:rFonts w:ascii="Cambria" w:hAnsi="Cambria"/>
                <w:sz w:val="21"/>
              </w:rPr>
              <w:t>Rrugë</w:t>
            </w:r>
            <w:r>
              <w:rPr>
                <w:rFonts w:ascii="Cambria" w:hAnsi="Cambria"/>
                <w:spacing w:val="-6"/>
                <w:sz w:val="21"/>
              </w:rPr>
              <w:t> </w:t>
            </w:r>
            <w:r>
              <w:rPr>
                <w:rFonts w:ascii="Cambria" w:hAnsi="Cambria"/>
                <w:sz w:val="21"/>
              </w:rPr>
              <w:t>lokale</w:t>
            </w:r>
            <w:r>
              <w:rPr>
                <w:rFonts w:ascii="Cambria" w:hAnsi="Cambria"/>
                <w:spacing w:val="-5"/>
                <w:sz w:val="21"/>
              </w:rPr>
              <w:t> </w:t>
            </w:r>
            <w:r>
              <w:rPr>
                <w:rFonts w:ascii="Cambria" w:hAnsi="Cambria"/>
                <w:sz w:val="21"/>
              </w:rPr>
              <w:t>te</w:t>
            </w:r>
            <w:r>
              <w:rPr>
                <w:rFonts w:ascii="Cambria" w:hAnsi="Cambria"/>
                <w:spacing w:val="-4"/>
                <w:sz w:val="21"/>
              </w:rPr>
              <w:t> </w:t>
            </w:r>
            <w:r>
              <w:rPr>
                <w:rFonts w:ascii="Cambria" w:hAnsi="Cambria"/>
                <w:sz w:val="21"/>
              </w:rPr>
              <w:t>asfaltuara</w:t>
            </w:r>
            <w:r>
              <w:rPr>
                <w:rFonts w:ascii="Cambria" w:hAnsi="Cambria"/>
                <w:spacing w:val="-5"/>
                <w:sz w:val="21"/>
              </w:rPr>
              <w:t> </w:t>
            </w:r>
            <w:r>
              <w:rPr>
                <w:rFonts w:ascii="Cambria" w:hAnsi="Cambria"/>
                <w:sz w:val="21"/>
              </w:rPr>
              <w:t>brenda</w:t>
            </w:r>
            <w:r>
              <w:rPr>
                <w:rFonts w:ascii="Cambria" w:hAnsi="Cambria"/>
                <w:spacing w:val="-4"/>
                <w:sz w:val="21"/>
              </w:rPr>
              <w:t> </w:t>
            </w:r>
            <w:r>
              <w:rPr>
                <w:rFonts w:ascii="Cambria" w:hAnsi="Cambria"/>
                <w:sz w:val="21"/>
              </w:rPr>
              <w:t>zonës</w:t>
            </w:r>
            <w:r>
              <w:rPr>
                <w:rFonts w:ascii="Cambria" w:hAnsi="Cambria"/>
                <w:spacing w:val="-3"/>
                <w:sz w:val="21"/>
              </w:rPr>
              <w:t> </w:t>
            </w:r>
            <w:r>
              <w:rPr>
                <w:rFonts w:ascii="Cambria" w:hAnsi="Cambria"/>
                <w:spacing w:val="-2"/>
                <w:sz w:val="21"/>
              </w:rPr>
              <w:t>urbane</w:t>
            </w:r>
          </w:p>
        </w:tc>
        <w:tc>
          <w:tcPr>
            <w:tcW w:w="1957" w:type="dxa"/>
          </w:tcPr>
          <w:p>
            <w:pPr>
              <w:pStyle w:val="TableParagraph"/>
              <w:spacing w:line="246" w:lineRule="exact"/>
              <w:ind w:right="95"/>
              <w:jc w:val="right"/>
              <w:rPr>
                <w:rFonts w:ascii="Cambria"/>
                <w:sz w:val="21"/>
              </w:rPr>
            </w:pPr>
            <w:r>
              <w:rPr>
                <w:rFonts w:ascii="Cambria"/>
                <w:spacing w:val="-4"/>
                <w:sz w:val="21"/>
              </w:rPr>
              <w:t>8.52</w:t>
            </w:r>
          </w:p>
        </w:tc>
      </w:tr>
      <w:tr>
        <w:trPr>
          <w:trHeight w:val="495" w:hRule="atLeast"/>
        </w:trPr>
        <w:tc>
          <w:tcPr>
            <w:tcW w:w="7394" w:type="dxa"/>
          </w:tcPr>
          <w:p>
            <w:pPr>
              <w:pStyle w:val="TableParagraph"/>
              <w:spacing w:line="246" w:lineRule="exact"/>
              <w:ind w:left="107"/>
              <w:rPr>
                <w:rFonts w:ascii="Cambria" w:hAnsi="Cambria"/>
                <w:sz w:val="21"/>
              </w:rPr>
            </w:pPr>
            <w:r>
              <w:rPr>
                <w:rFonts w:ascii="Cambria" w:hAnsi="Cambria"/>
                <w:sz w:val="21"/>
              </w:rPr>
              <w:t>Rrugë</w:t>
            </w:r>
            <w:r>
              <w:rPr>
                <w:rFonts w:ascii="Cambria" w:hAnsi="Cambria"/>
                <w:spacing w:val="-6"/>
                <w:sz w:val="21"/>
              </w:rPr>
              <w:t> </w:t>
            </w:r>
            <w:r>
              <w:rPr>
                <w:rFonts w:ascii="Cambria" w:hAnsi="Cambria"/>
                <w:sz w:val="21"/>
              </w:rPr>
              <w:t>lokale</w:t>
            </w:r>
            <w:r>
              <w:rPr>
                <w:rFonts w:ascii="Cambria" w:hAnsi="Cambria"/>
                <w:spacing w:val="-6"/>
                <w:sz w:val="21"/>
              </w:rPr>
              <w:t> </w:t>
            </w:r>
            <w:r>
              <w:rPr>
                <w:rFonts w:ascii="Cambria" w:hAnsi="Cambria"/>
                <w:sz w:val="21"/>
              </w:rPr>
              <w:t>te</w:t>
            </w:r>
            <w:r>
              <w:rPr>
                <w:rFonts w:ascii="Cambria" w:hAnsi="Cambria"/>
                <w:spacing w:val="-5"/>
                <w:sz w:val="21"/>
              </w:rPr>
              <w:t> </w:t>
            </w:r>
            <w:r>
              <w:rPr>
                <w:rFonts w:ascii="Cambria" w:hAnsi="Cambria"/>
                <w:sz w:val="21"/>
              </w:rPr>
              <w:t>asfaltuara</w:t>
            </w:r>
            <w:r>
              <w:rPr>
                <w:rFonts w:ascii="Cambria" w:hAnsi="Cambria"/>
                <w:spacing w:val="-5"/>
                <w:sz w:val="21"/>
              </w:rPr>
              <w:t> </w:t>
            </w:r>
            <w:r>
              <w:rPr>
                <w:rFonts w:ascii="Cambria" w:hAnsi="Cambria"/>
                <w:sz w:val="21"/>
              </w:rPr>
              <w:t>brenda</w:t>
            </w:r>
            <w:r>
              <w:rPr>
                <w:rFonts w:ascii="Cambria" w:hAnsi="Cambria"/>
                <w:spacing w:val="-5"/>
                <w:sz w:val="21"/>
              </w:rPr>
              <w:t> </w:t>
            </w:r>
            <w:r>
              <w:rPr>
                <w:rFonts w:ascii="Cambria" w:hAnsi="Cambria"/>
                <w:sz w:val="21"/>
              </w:rPr>
              <w:t>vendbanimeve</w:t>
            </w:r>
            <w:r>
              <w:rPr>
                <w:rFonts w:ascii="Cambria" w:hAnsi="Cambria"/>
                <w:spacing w:val="-4"/>
                <w:sz w:val="21"/>
              </w:rPr>
              <w:t> </w:t>
            </w:r>
            <w:r>
              <w:rPr>
                <w:rFonts w:ascii="Cambria" w:hAnsi="Cambria"/>
                <w:spacing w:val="-2"/>
                <w:sz w:val="21"/>
              </w:rPr>
              <w:t>rurale</w:t>
            </w:r>
          </w:p>
        </w:tc>
        <w:tc>
          <w:tcPr>
            <w:tcW w:w="1957" w:type="dxa"/>
          </w:tcPr>
          <w:p>
            <w:pPr>
              <w:pStyle w:val="TableParagraph"/>
              <w:spacing w:line="246" w:lineRule="exact"/>
              <w:ind w:right="94"/>
              <w:jc w:val="right"/>
              <w:rPr>
                <w:rFonts w:ascii="Cambria"/>
                <w:sz w:val="21"/>
              </w:rPr>
            </w:pPr>
            <w:r>
              <w:rPr>
                <w:rFonts w:ascii="Cambria"/>
                <w:spacing w:val="-2"/>
                <w:sz w:val="21"/>
              </w:rPr>
              <w:t>21.84</w:t>
            </w:r>
          </w:p>
        </w:tc>
      </w:tr>
      <w:tr>
        <w:trPr>
          <w:trHeight w:val="496" w:hRule="atLeast"/>
        </w:trPr>
        <w:tc>
          <w:tcPr>
            <w:tcW w:w="7394" w:type="dxa"/>
          </w:tcPr>
          <w:p>
            <w:pPr>
              <w:pStyle w:val="TableParagraph"/>
              <w:spacing w:line="246" w:lineRule="exact"/>
              <w:ind w:left="107"/>
              <w:rPr>
                <w:rFonts w:ascii="Cambria" w:hAnsi="Cambria"/>
                <w:sz w:val="21"/>
              </w:rPr>
            </w:pPr>
            <w:r>
              <w:rPr>
                <w:rFonts w:ascii="Cambria" w:hAnsi="Cambria"/>
                <w:spacing w:val="-2"/>
                <w:sz w:val="21"/>
              </w:rPr>
              <w:t>Hekurudhë</w:t>
            </w:r>
          </w:p>
        </w:tc>
        <w:tc>
          <w:tcPr>
            <w:tcW w:w="1957" w:type="dxa"/>
          </w:tcPr>
          <w:p>
            <w:pPr>
              <w:pStyle w:val="TableParagraph"/>
              <w:spacing w:line="246" w:lineRule="exact"/>
              <w:ind w:right="95"/>
              <w:jc w:val="right"/>
              <w:rPr>
                <w:rFonts w:ascii="Cambria"/>
                <w:sz w:val="21"/>
              </w:rPr>
            </w:pPr>
            <w:r>
              <w:rPr>
                <w:rFonts w:ascii="Cambria"/>
                <w:spacing w:val="-5"/>
                <w:sz w:val="21"/>
              </w:rPr>
              <w:t>2.4</w:t>
            </w:r>
          </w:p>
        </w:tc>
      </w:tr>
    </w:tbl>
    <w:p>
      <w:pPr>
        <w:pStyle w:val="BodyText"/>
        <w:spacing w:before="2"/>
        <w:ind w:left="4726" w:right="1435" w:hanging="3710"/>
      </w:pPr>
      <w:r>
        <w:rPr>
          <w:b/>
        </w:rPr>
        <w:t>Tabela</w:t>
      </w:r>
      <w:r>
        <w:rPr>
          <w:b/>
          <w:spacing w:val="-2"/>
        </w:rPr>
        <w:t> </w:t>
      </w:r>
      <w:r>
        <w:rPr>
          <w:b/>
        </w:rPr>
        <w:t>15:</w:t>
      </w:r>
      <w:r>
        <w:rPr>
          <w:b/>
          <w:spacing w:val="-3"/>
        </w:rPr>
        <w:t> </w:t>
      </w:r>
      <w:r>
        <w:rPr/>
        <w:t>Infrastruktura</w:t>
      </w:r>
      <w:r>
        <w:rPr>
          <w:spacing w:val="-4"/>
        </w:rPr>
        <w:t> </w:t>
      </w:r>
      <w:r>
        <w:rPr/>
        <w:t>transportuese</w:t>
      </w:r>
      <w:r>
        <w:rPr>
          <w:spacing w:val="-3"/>
        </w:rPr>
        <w:t> </w:t>
      </w:r>
      <w:r>
        <w:rPr/>
        <w:t>rrugore</w:t>
      </w:r>
      <w:r>
        <w:rPr>
          <w:spacing w:val="-4"/>
        </w:rPr>
        <w:t> </w:t>
      </w:r>
      <w:r>
        <w:rPr/>
        <w:t>dhe</w:t>
      </w:r>
      <w:r>
        <w:rPr>
          <w:spacing w:val="-3"/>
        </w:rPr>
        <w:t> </w:t>
      </w:r>
      <w:r>
        <w:rPr/>
        <w:t>hekurudhore</w:t>
      </w:r>
      <w:r>
        <w:rPr>
          <w:spacing w:val="-2"/>
        </w:rPr>
        <w:t> </w:t>
      </w:r>
      <w:r>
        <w:rPr/>
        <w:t>në</w:t>
      </w:r>
      <w:r>
        <w:rPr>
          <w:spacing w:val="-3"/>
        </w:rPr>
        <w:t> </w:t>
      </w:r>
      <w:r>
        <w:rPr/>
        <w:t>territorin</w:t>
      </w:r>
      <w:r>
        <w:rPr>
          <w:spacing w:val="-5"/>
        </w:rPr>
        <w:t> </w:t>
      </w:r>
      <w:r>
        <w:rPr/>
        <w:t>e</w:t>
      </w:r>
      <w:r>
        <w:rPr>
          <w:spacing w:val="-3"/>
        </w:rPr>
        <w:t> </w:t>
      </w:r>
      <w:r>
        <w:rPr/>
        <w:t>komunës</w:t>
      </w:r>
      <w:r>
        <w:rPr>
          <w:spacing w:val="-4"/>
        </w:rPr>
        <w:t> </w:t>
      </w:r>
      <w:r>
        <w:rPr/>
        <w:t>së Hanit të Elezit</w:t>
      </w:r>
    </w:p>
    <w:p>
      <w:pPr>
        <w:pStyle w:val="BodyText"/>
        <w:spacing w:before="11"/>
        <w:rPr>
          <w:sz w:val="20"/>
        </w:rPr>
      </w:pPr>
    </w:p>
    <w:p>
      <w:pPr>
        <w:pStyle w:val="BodyText"/>
        <w:spacing w:line="288" w:lineRule="auto"/>
        <w:ind w:left="740" w:right="1445"/>
        <w:jc w:val="both"/>
      </w:pPr>
      <w:r>
        <w:rPr/>
        <w:t>Rrugët e komunës së</w:t>
      </w:r>
      <w:r>
        <w:rPr>
          <w:spacing w:val="40"/>
        </w:rPr>
        <w:t> </w:t>
      </w:r>
      <w:r>
        <w:rPr/>
        <w:t>Hanit të Elezit që lidhin qendrën me zonat rurale janë kryesisht rrugë që kalojnë përmes maleve dhe janë të vështira për mirëmbajtje.</w:t>
      </w:r>
    </w:p>
    <w:p>
      <w:pPr>
        <w:pStyle w:val="BodyText"/>
        <w:spacing w:line="288" w:lineRule="auto" w:before="199"/>
        <w:ind w:left="740" w:right="1442"/>
        <w:jc w:val="both"/>
      </w:pPr>
      <w:r>
        <w:rPr/>
        <w:t>Krahas</w:t>
      </w:r>
      <w:r>
        <w:rPr>
          <w:spacing w:val="-1"/>
        </w:rPr>
        <w:t> </w:t>
      </w:r>
      <w:r>
        <w:rPr/>
        <w:t>rëndësisë</w:t>
      </w:r>
      <w:r>
        <w:rPr>
          <w:spacing w:val="-2"/>
        </w:rPr>
        <w:t> </w:t>
      </w:r>
      <w:r>
        <w:rPr/>
        <w:t>që</w:t>
      </w:r>
      <w:r>
        <w:rPr>
          <w:spacing w:val="-1"/>
        </w:rPr>
        <w:t> </w:t>
      </w:r>
      <w:r>
        <w:rPr/>
        <w:t>kanë</w:t>
      </w:r>
      <w:r>
        <w:rPr>
          <w:spacing w:val="-1"/>
        </w:rPr>
        <w:t> </w:t>
      </w:r>
      <w:r>
        <w:rPr/>
        <w:t>këto</w:t>
      </w:r>
      <w:r>
        <w:rPr>
          <w:spacing w:val="-2"/>
        </w:rPr>
        <w:t> </w:t>
      </w:r>
      <w:r>
        <w:rPr/>
        <w:t>rrugë</w:t>
      </w:r>
      <w:r>
        <w:rPr>
          <w:spacing w:val="-2"/>
        </w:rPr>
        <w:t> </w:t>
      </w:r>
      <w:r>
        <w:rPr/>
        <w:t>për</w:t>
      </w:r>
      <w:r>
        <w:rPr>
          <w:spacing w:val="-1"/>
        </w:rPr>
        <w:t> </w:t>
      </w:r>
      <w:r>
        <w:rPr/>
        <w:t>komunën,</w:t>
      </w:r>
      <w:r>
        <w:rPr>
          <w:spacing w:val="-1"/>
        </w:rPr>
        <w:t> </w:t>
      </w:r>
      <w:r>
        <w:rPr/>
        <w:t>ato</w:t>
      </w:r>
      <w:r>
        <w:rPr>
          <w:spacing w:val="-1"/>
        </w:rPr>
        <w:t> </w:t>
      </w:r>
      <w:r>
        <w:rPr/>
        <w:t>kanë</w:t>
      </w:r>
      <w:r>
        <w:rPr>
          <w:spacing w:val="-1"/>
        </w:rPr>
        <w:t> </w:t>
      </w:r>
      <w:r>
        <w:rPr/>
        <w:t>edhe</w:t>
      </w:r>
      <w:r>
        <w:rPr>
          <w:spacing w:val="-1"/>
        </w:rPr>
        <w:t> </w:t>
      </w:r>
      <w:r>
        <w:rPr/>
        <w:t>ndikimet</w:t>
      </w:r>
      <w:r>
        <w:rPr>
          <w:spacing w:val="-1"/>
        </w:rPr>
        <w:t> </w:t>
      </w:r>
      <w:r>
        <w:rPr/>
        <w:t>e</w:t>
      </w:r>
      <w:r>
        <w:rPr>
          <w:spacing w:val="-2"/>
        </w:rPr>
        <w:t> </w:t>
      </w:r>
      <w:r>
        <w:rPr/>
        <w:t>tyre</w:t>
      </w:r>
      <w:r>
        <w:rPr>
          <w:spacing w:val="-2"/>
        </w:rPr>
        <w:t> </w:t>
      </w:r>
      <w:r>
        <w:rPr/>
        <w:t>mjedisore</w:t>
      </w:r>
      <w:r>
        <w:rPr>
          <w:spacing w:val="-2"/>
        </w:rPr>
        <w:t> </w:t>
      </w:r>
      <w:r>
        <w:rPr/>
        <w:t>sepse janë një burim i ndotjes së ajrit dhe burim i zhurmës.</w:t>
      </w:r>
    </w:p>
    <w:p>
      <w:pPr>
        <w:spacing w:after="0" w:line="288" w:lineRule="auto"/>
        <w:jc w:val="both"/>
        <w:sectPr>
          <w:pgSz w:w="12240" w:h="15840"/>
          <w:pgMar w:header="0" w:footer="990" w:top="1380" w:bottom="1180" w:left="700" w:right="0"/>
        </w:sectPr>
      </w:pPr>
    </w:p>
    <w:p>
      <w:pPr>
        <w:pStyle w:val="BodyText"/>
        <w:ind w:left="2037"/>
        <w:rPr>
          <w:sz w:val="20"/>
        </w:rPr>
      </w:pPr>
      <w:r>
        <w:rPr>
          <w:sz w:val="20"/>
        </w:rPr>
        <w:drawing>
          <wp:inline distT="0" distB="0" distL="0" distR="0">
            <wp:extent cx="4215171" cy="3833622"/>
            <wp:effectExtent l="0" t="0" r="0" b="0"/>
            <wp:docPr id="27" name="image48.jpeg" descr="Map  Description automatically generated"/>
            <wp:cNvGraphicFramePr>
              <a:graphicFrameLocks noChangeAspect="1"/>
            </wp:cNvGraphicFramePr>
            <a:graphic>
              <a:graphicData uri="http://schemas.openxmlformats.org/drawingml/2006/picture">
                <pic:pic>
                  <pic:nvPicPr>
                    <pic:cNvPr id="28" name="image48.jpeg"/>
                    <pic:cNvPicPr/>
                  </pic:nvPicPr>
                  <pic:blipFill>
                    <a:blip r:embed="rId68" cstate="print"/>
                    <a:stretch>
                      <a:fillRect/>
                    </a:stretch>
                  </pic:blipFill>
                  <pic:spPr>
                    <a:xfrm>
                      <a:off x="0" y="0"/>
                      <a:ext cx="4215171" cy="3833622"/>
                    </a:xfrm>
                    <a:prstGeom prst="rect">
                      <a:avLst/>
                    </a:prstGeom>
                  </pic:spPr>
                </pic:pic>
              </a:graphicData>
            </a:graphic>
          </wp:inline>
        </w:drawing>
      </w:r>
      <w:r>
        <w:rPr>
          <w:sz w:val="20"/>
        </w:rPr>
      </w:r>
    </w:p>
    <w:p>
      <w:pPr>
        <w:spacing w:before="134"/>
        <w:ind w:left="3104" w:right="0" w:firstLine="0"/>
        <w:jc w:val="left"/>
        <w:rPr>
          <w:sz w:val="24"/>
        </w:rPr>
      </w:pPr>
      <w:r>
        <w:rPr>
          <w:b/>
          <w:sz w:val="24"/>
        </w:rPr>
        <w:t>Figura</w:t>
      </w:r>
      <w:r>
        <w:rPr>
          <w:b/>
          <w:spacing w:val="-7"/>
          <w:sz w:val="24"/>
        </w:rPr>
        <w:t> </w:t>
      </w:r>
      <w:r>
        <w:rPr>
          <w:b/>
          <w:sz w:val="24"/>
        </w:rPr>
        <w:t>8:</w:t>
      </w:r>
      <w:r>
        <w:rPr>
          <w:b/>
          <w:spacing w:val="-6"/>
          <w:sz w:val="24"/>
        </w:rPr>
        <w:t> </w:t>
      </w:r>
      <w:r>
        <w:rPr>
          <w:sz w:val="24"/>
        </w:rPr>
        <w:t>Harta</w:t>
      </w:r>
      <w:r>
        <w:rPr>
          <w:spacing w:val="-7"/>
          <w:sz w:val="24"/>
        </w:rPr>
        <w:t> </w:t>
      </w:r>
      <w:r>
        <w:rPr>
          <w:sz w:val="24"/>
        </w:rPr>
        <w:t>e</w:t>
      </w:r>
      <w:r>
        <w:rPr>
          <w:spacing w:val="-7"/>
          <w:sz w:val="24"/>
        </w:rPr>
        <w:t> </w:t>
      </w:r>
      <w:r>
        <w:rPr>
          <w:sz w:val="24"/>
        </w:rPr>
        <w:t>rrugëve</w:t>
      </w:r>
      <w:r>
        <w:rPr>
          <w:spacing w:val="-6"/>
          <w:sz w:val="24"/>
        </w:rPr>
        <w:t> </w:t>
      </w:r>
      <w:r>
        <w:rPr>
          <w:sz w:val="24"/>
        </w:rPr>
        <w:t>dhe</w:t>
      </w:r>
      <w:r>
        <w:rPr>
          <w:spacing w:val="-6"/>
          <w:sz w:val="24"/>
        </w:rPr>
        <w:t> </w:t>
      </w:r>
      <w:r>
        <w:rPr>
          <w:sz w:val="24"/>
        </w:rPr>
        <w:t>transportit</w:t>
      </w:r>
      <w:r>
        <w:rPr>
          <w:spacing w:val="-7"/>
          <w:sz w:val="24"/>
        </w:rPr>
        <w:t> </w:t>
      </w:r>
      <w:r>
        <w:rPr>
          <w:spacing w:val="-2"/>
          <w:sz w:val="24"/>
        </w:rPr>
        <w:t>publik</w:t>
      </w:r>
    </w:p>
    <w:p>
      <w:pPr>
        <w:pStyle w:val="BodyText"/>
        <w:rPr>
          <w:sz w:val="20"/>
        </w:rPr>
      </w:pPr>
    </w:p>
    <w:p>
      <w:pPr>
        <w:pStyle w:val="BodyText"/>
        <w:rPr>
          <w:sz w:val="20"/>
        </w:rPr>
      </w:pPr>
    </w:p>
    <w:p>
      <w:pPr>
        <w:pStyle w:val="BodyText"/>
        <w:spacing w:before="5"/>
        <w:rPr>
          <w:sz w:val="22"/>
        </w:rPr>
      </w:pPr>
    </w:p>
    <w:p>
      <w:pPr>
        <w:pStyle w:val="Heading2"/>
        <w:numPr>
          <w:ilvl w:val="1"/>
          <w:numId w:val="11"/>
        </w:numPr>
        <w:tabs>
          <w:tab w:pos="1160" w:val="left" w:leader="none"/>
          <w:tab w:pos="10131" w:val="left" w:leader="none"/>
        </w:tabs>
        <w:spacing w:line="240" w:lineRule="auto" w:before="0" w:after="0"/>
        <w:ind w:left="740" w:right="0" w:hanging="30"/>
        <w:jc w:val="both"/>
        <w:rPr>
          <w:color w:val="FFFFFF"/>
        </w:rPr>
      </w:pPr>
      <w:r>
        <w:rPr>
          <w:color w:val="FFFFFF"/>
          <w:shd w:fill="EAB8A3" w:color="auto" w:val="clear"/>
        </w:rPr>
        <w:t>Resurset</w:t>
      </w:r>
      <w:r>
        <w:rPr>
          <w:color w:val="FFFFFF"/>
          <w:spacing w:val="-4"/>
          <w:shd w:fill="EAB8A3" w:color="auto" w:val="clear"/>
        </w:rPr>
        <w:t> </w:t>
      </w:r>
      <w:r>
        <w:rPr>
          <w:color w:val="FFFFFF"/>
          <w:shd w:fill="EAB8A3" w:color="auto" w:val="clear"/>
        </w:rPr>
        <w:t>ujore</w:t>
      </w:r>
      <w:r>
        <w:rPr>
          <w:color w:val="FFFFFF"/>
          <w:spacing w:val="-3"/>
          <w:shd w:fill="EAB8A3" w:color="auto" w:val="clear"/>
        </w:rPr>
        <w:t> </w:t>
      </w:r>
      <w:r>
        <w:rPr>
          <w:color w:val="FFFFFF"/>
          <w:shd w:fill="EAB8A3" w:color="auto" w:val="clear"/>
        </w:rPr>
        <w:t>dhe</w:t>
      </w:r>
      <w:r>
        <w:rPr>
          <w:color w:val="FFFFFF"/>
          <w:spacing w:val="-3"/>
          <w:shd w:fill="EAB8A3" w:color="auto" w:val="clear"/>
        </w:rPr>
        <w:t> </w:t>
      </w:r>
      <w:r>
        <w:rPr>
          <w:color w:val="FFFFFF"/>
          <w:shd w:fill="EAB8A3" w:color="auto" w:val="clear"/>
        </w:rPr>
        <w:t>menaxhimi</w:t>
      </w:r>
      <w:r>
        <w:rPr>
          <w:color w:val="FFFFFF"/>
          <w:spacing w:val="-3"/>
          <w:shd w:fill="EAB8A3" w:color="auto" w:val="clear"/>
        </w:rPr>
        <w:t> </w:t>
      </w:r>
      <w:r>
        <w:rPr>
          <w:color w:val="FFFFFF"/>
          <w:shd w:fill="EAB8A3" w:color="auto" w:val="clear"/>
        </w:rPr>
        <w:t>i</w:t>
      </w:r>
      <w:r>
        <w:rPr>
          <w:color w:val="FFFFFF"/>
          <w:spacing w:val="-4"/>
          <w:shd w:fill="EAB8A3" w:color="auto" w:val="clear"/>
        </w:rPr>
        <w:t> tyre</w:t>
      </w:r>
      <w:r>
        <w:rPr>
          <w:color w:val="FFFFFF"/>
          <w:shd w:fill="EAB8A3" w:color="auto" w:val="clear"/>
        </w:rPr>
        <w:tab/>
      </w:r>
    </w:p>
    <w:p>
      <w:pPr>
        <w:pStyle w:val="BodyText"/>
        <w:rPr>
          <w:b/>
          <w:sz w:val="21"/>
        </w:rPr>
      </w:pPr>
    </w:p>
    <w:p>
      <w:pPr>
        <w:pStyle w:val="BodyText"/>
        <w:spacing w:line="288" w:lineRule="auto"/>
        <w:ind w:left="740" w:right="1436"/>
        <w:jc w:val="both"/>
      </w:pPr>
      <w:r>
        <w:rPr/>
        <w:t>Lumi Lepenci që kalon nëpër territor të Komunës së Hanit të Elezit, përfaqëson rrjedhën më të rëndësishme ujore në këtë territor. Lumi është i tipit të hapur me një rrjedhje në drejtim të jug- lindjes, dhe formon pellgun e tij ujor në këtë rajon, që përveç</w:t>
      </w:r>
      <w:r>
        <w:rPr>
          <w:spacing w:val="40"/>
        </w:rPr>
        <w:t> </w:t>
      </w:r>
      <w:r>
        <w:rPr/>
        <w:t>Hanit të Elezit, përfshinë edhe Kaçanikun, Shtërpcen dhe një pjesë të Ferizajit. Pellgu ka një sipërfaqe prej 800 km2 dhe prurje mesatare prej 8 m3 /sek.</w:t>
      </w:r>
    </w:p>
    <w:p>
      <w:pPr>
        <w:pStyle w:val="BodyText"/>
        <w:spacing w:line="288" w:lineRule="auto" w:before="199"/>
        <w:ind w:left="740" w:right="1439"/>
        <w:jc w:val="both"/>
      </w:pPr>
      <w:r>
        <w:rPr/>
        <w:pict>
          <v:rect style="position:absolute;margin-left:471.579987pt;margin-top:55.593147pt;width:3.36pt;height:.599980pt;mso-position-horizontal-relative:page;mso-position-vertical-relative:paragraph;z-index:-19965952" id="docshape280" filled="true" fillcolor="#000000" stroked="false">
            <v:fill type="solid"/>
            <w10:wrap type="none"/>
          </v:rect>
        </w:pict>
      </w:r>
      <w:r>
        <w:rPr/>
        <w:t>Burimet tjera ujore me rëndësi përfaqësohen nga lumenjtë të vegjël dhe përrenj që rrjedhin në dy anët perëndimore dhe lindore të luginës së lumit Lepenc.</w:t>
      </w:r>
      <w:r>
        <w:rPr>
          <w:spacing w:val="40"/>
        </w:rPr>
        <w:t> </w:t>
      </w:r>
      <w:r>
        <w:rPr/>
        <w:t>Nga këto rrjedha veçohen lumenjtë e vegjël Ortica, Kriveniku, Kalanderi, Kotlina dhe Radovica, si dhe përrenjtë: përroi i Rezhancës, përroi</w:t>
      </w:r>
      <w:r>
        <w:rPr>
          <w:spacing w:val="-2"/>
        </w:rPr>
        <w:t> </w:t>
      </w:r>
      <w:r>
        <w:rPr/>
        <w:t>i</w:t>
      </w:r>
      <w:r>
        <w:rPr>
          <w:spacing w:val="-1"/>
        </w:rPr>
        <w:t> </w:t>
      </w:r>
      <w:r>
        <w:rPr/>
        <w:t>Najs</w:t>
      </w:r>
      <w:r>
        <w:rPr>
          <w:spacing w:val="-2"/>
        </w:rPr>
        <w:t> </w:t>
      </w:r>
      <w:r>
        <w:rPr/>
        <w:t>dhe</w:t>
      </w:r>
      <w:r>
        <w:rPr>
          <w:spacing w:val="-1"/>
        </w:rPr>
        <w:t> </w:t>
      </w:r>
      <w:r>
        <w:rPr/>
        <w:t>ai</w:t>
      </w:r>
      <w:r>
        <w:rPr>
          <w:spacing w:val="-2"/>
        </w:rPr>
        <w:t> </w:t>
      </w:r>
      <w:r>
        <w:rPr/>
        <w:t>i</w:t>
      </w:r>
      <w:r>
        <w:rPr>
          <w:spacing w:val="-1"/>
        </w:rPr>
        <w:t> </w:t>
      </w:r>
      <w:r>
        <w:rPr/>
        <w:t>Dimcës.</w:t>
      </w:r>
      <w:r>
        <w:rPr>
          <w:spacing w:val="-1"/>
        </w:rPr>
        <w:t> </w:t>
      </w:r>
      <w:r>
        <w:rPr/>
        <w:t>Të</w:t>
      </w:r>
      <w:r>
        <w:rPr>
          <w:spacing w:val="-3"/>
        </w:rPr>
        <w:t> </w:t>
      </w:r>
      <w:r>
        <w:rPr/>
        <w:t>gjitha</w:t>
      </w:r>
      <w:r>
        <w:rPr>
          <w:spacing w:val="-1"/>
        </w:rPr>
        <w:t> </w:t>
      </w:r>
      <w:r>
        <w:rPr/>
        <w:t>këto</w:t>
      </w:r>
      <w:r>
        <w:rPr>
          <w:spacing w:val="-1"/>
        </w:rPr>
        <w:t> </w:t>
      </w:r>
      <w:r>
        <w:rPr/>
        <w:t>rrjedha</w:t>
      </w:r>
      <w:r>
        <w:rPr>
          <w:spacing w:val="-1"/>
        </w:rPr>
        <w:t> </w:t>
      </w:r>
      <w:r>
        <w:rPr/>
        <w:t>derdhen</w:t>
      </w:r>
      <w:r>
        <w:rPr>
          <w:spacing w:val="-2"/>
        </w:rPr>
        <w:t> </w:t>
      </w:r>
      <w:r>
        <w:rPr/>
        <w:t>në</w:t>
      </w:r>
      <w:r>
        <w:rPr>
          <w:spacing w:val="-1"/>
        </w:rPr>
        <w:t> </w:t>
      </w:r>
      <w:r>
        <w:rPr/>
        <w:t>lumin</w:t>
      </w:r>
      <w:r>
        <w:rPr>
          <w:spacing w:val="-2"/>
        </w:rPr>
        <w:t> </w:t>
      </w:r>
      <w:r>
        <w:rPr/>
        <w:t>Lepenc.</w:t>
      </w:r>
      <w:r>
        <w:rPr>
          <w:spacing w:val="-1"/>
        </w:rPr>
        <w:t> </w:t>
      </w:r>
      <w:r>
        <w:rPr/>
        <w:t>Ka</w:t>
      </w:r>
      <w:r>
        <w:rPr>
          <w:spacing w:val="-2"/>
        </w:rPr>
        <w:t> </w:t>
      </w:r>
      <w:r>
        <w:rPr/>
        <w:t>edhe</w:t>
      </w:r>
      <w:r>
        <w:rPr>
          <w:spacing w:val="-1"/>
        </w:rPr>
        <w:t> </w:t>
      </w:r>
      <w:r>
        <w:rPr/>
        <w:t>përrenj</w:t>
      </w:r>
      <w:r>
        <w:rPr>
          <w:spacing w:val="-2"/>
        </w:rPr>
        <w:t> </w:t>
      </w:r>
      <w:r>
        <w:rPr/>
        <w:t>të vegjël në gjithë territorin e komunës që karakterizohen me rrjedha ujore periodike.</w:t>
      </w:r>
    </w:p>
    <w:p>
      <w:pPr>
        <w:spacing w:after="0" w:line="288" w:lineRule="auto"/>
        <w:jc w:val="both"/>
        <w:sectPr>
          <w:pgSz w:w="12240" w:h="15840"/>
          <w:pgMar w:header="0" w:footer="990" w:top="1440" w:bottom="1180" w:left="700" w:right="0"/>
        </w:sectPr>
      </w:pPr>
    </w:p>
    <w:p>
      <w:pPr>
        <w:pStyle w:val="BodyText"/>
        <w:ind w:left="2477"/>
        <w:rPr>
          <w:sz w:val="20"/>
        </w:rPr>
      </w:pPr>
      <w:r>
        <w:rPr>
          <w:sz w:val="20"/>
        </w:rPr>
        <w:drawing>
          <wp:inline distT="0" distB="0" distL="0" distR="0">
            <wp:extent cx="3840037" cy="3387852"/>
            <wp:effectExtent l="0" t="0" r="0" b="0"/>
            <wp:docPr id="29" name="image49.jpeg" descr="C:\Users\Lenovo\OneDrive\Desktop\Hani i Elezit PLVM\materiale\Harta Hidrografike.png"/>
            <wp:cNvGraphicFramePr>
              <a:graphicFrameLocks noChangeAspect="1"/>
            </wp:cNvGraphicFramePr>
            <a:graphic>
              <a:graphicData uri="http://schemas.openxmlformats.org/drawingml/2006/picture">
                <pic:pic>
                  <pic:nvPicPr>
                    <pic:cNvPr id="30" name="image49.jpeg"/>
                    <pic:cNvPicPr/>
                  </pic:nvPicPr>
                  <pic:blipFill>
                    <a:blip r:embed="rId69" cstate="print"/>
                    <a:stretch>
                      <a:fillRect/>
                    </a:stretch>
                  </pic:blipFill>
                  <pic:spPr>
                    <a:xfrm>
                      <a:off x="0" y="0"/>
                      <a:ext cx="3840037" cy="3387852"/>
                    </a:xfrm>
                    <a:prstGeom prst="rect">
                      <a:avLst/>
                    </a:prstGeom>
                  </pic:spPr>
                </pic:pic>
              </a:graphicData>
            </a:graphic>
          </wp:inline>
        </w:drawing>
      </w:r>
      <w:r>
        <w:rPr>
          <w:sz w:val="20"/>
        </w:rPr>
      </w:r>
    </w:p>
    <w:p>
      <w:pPr>
        <w:pStyle w:val="BodyText"/>
        <w:spacing w:before="61"/>
        <w:ind w:left="2084"/>
      </w:pPr>
      <w:r>
        <w:rPr>
          <w:b/>
        </w:rPr>
        <w:t>Figura</w:t>
      </w:r>
      <w:r>
        <w:rPr>
          <w:b/>
          <w:spacing w:val="-4"/>
        </w:rPr>
        <w:t> </w:t>
      </w:r>
      <w:r>
        <w:rPr>
          <w:b/>
        </w:rPr>
        <w:t>9:</w:t>
      </w:r>
      <w:r>
        <w:rPr>
          <w:b/>
          <w:spacing w:val="-1"/>
        </w:rPr>
        <w:t> </w:t>
      </w:r>
      <w:r>
        <w:rPr/>
        <w:t>Harta</w:t>
      </w:r>
      <w:r>
        <w:rPr>
          <w:spacing w:val="-2"/>
        </w:rPr>
        <w:t> </w:t>
      </w:r>
      <w:r>
        <w:rPr/>
        <w:t>hidrologjike</w:t>
      </w:r>
      <w:r>
        <w:rPr>
          <w:spacing w:val="-1"/>
        </w:rPr>
        <w:t> </w:t>
      </w:r>
      <w:r>
        <w:rPr/>
        <w:t>e</w:t>
      </w:r>
      <w:r>
        <w:rPr>
          <w:spacing w:val="-2"/>
        </w:rPr>
        <w:t> </w:t>
      </w:r>
      <w:r>
        <w:rPr/>
        <w:t>territorit</w:t>
      </w:r>
      <w:r>
        <w:rPr>
          <w:spacing w:val="-3"/>
        </w:rPr>
        <w:t> </w:t>
      </w:r>
      <w:r>
        <w:rPr/>
        <w:t>të</w:t>
      </w:r>
      <w:r>
        <w:rPr>
          <w:spacing w:val="1"/>
        </w:rPr>
        <w:t> </w:t>
      </w:r>
      <w:r>
        <w:rPr/>
        <w:t>komunës</w:t>
      </w:r>
      <w:r>
        <w:rPr>
          <w:spacing w:val="-1"/>
        </w:rPr>
        <w:t> </w:t>
      </w:r>
      <w:r>
        <w:rPr/>
        <w:t>së</w:t>
      </w:r>
      <w:r>
        <w:rPr>
          <w:spacing w:val="-3"/>
        </w:rPr>
        <w:t> </w:t>
      </w:r>
      <w:r>
        <w:rPr/>
        <w:t>Hanit</w:t>
      </w:r>
      <w:r>
        <w:rPr>
          <w:spacing w:val="-2"/>
        </w:rPr>
        <w:t> </w:t>
      </w:r>
      <w:r>
        <w:rPr/>
        <w:t>të</w:t>
      </w:r>
      <w:r>
        <w:rPr>
          <w:spacing w:val="-1"/>
        </w:rPr>
        <w:t> </w:t>
      </w:r>
      <w:r>
        <w:rPr>
          <w:spacing w:val="-2"/>
        </w:rPr>
        <w:t>Elezit</w:t>
      </w:r>
    </w:p>
    <w:p>
      <w:pPr>
        <w:pStyle w:val="BodyText"/>
        <w:spacing w:before="2"/>
        <w:rPr>
          <w:sz w:val="31"/>
        </w:rPr>
      </w:pPr>
    </w:p>
    <w:p>
      <w:pPr>
        <w:pStyle w:val="BodyText"/>
        <w:spacing w:line="288" w:lineRule="auto"/>
        <w:ind w:left="740" w:right="1439"/>
        <w:jc w:val="both"/>
      </w:pPr>
      <w:r>
        <w:rPr/>
        <w:t>Është evidentuar edhe një burim të ujit mineral në vendin e ashtuquajtur Uji i Tharte, afër rrugës magjistrale</w:t>
      </w:r>
      <w:r>
        <w:rPr>
          <w:spacing w:val="-8"/>
        </w:rPr>
        <w:t> </w:t>
      </w:r>
      <w:r>
        <w:rPr/>
        <w:t>Prishtinë-Hani</w:t>
      </w:r>
      <w:r>
        <w:rPr>
          <w:spacing w:val="-5"/>
        </w:rPr>
        <w:t> </w:t>
      </w:r>
      <w:r>
        <w:rPr/>
        <w:t>i</w:t>
      </w:r>
      <w:r>
        <w:rPr>
          <w:spacing w:val="-5"/>
        </w:rPr>
        <w:t> </w:t>
      </w:r>
      <w:r>
        <w:rPr/>
        <w:t>Elezit.</w:t>
      </w:r>
      <w:r>
        <w:rPr>
          <w:spacing w:val="-6"/>
        </w:rPr>
        <w:t> </w:t>
      </w:r>
      <w:r>
        <w:rPr/>
        <w:t>Ka</w:t>
      </w:r>
      <w:r>
        <w:rPr>
          <w:spacing w:val="-6"/>
        </w:rPr>
        <w:t> </w:t>
      </w:r>
      <w:r>
        <w:rPr/>
        <w:t>burime</w:t>
      </w:r>
      <w:r>
        <w:rPr>
          <w:spacing w:val="-5"/>
        </w:rPr>
        <w:t> </w:t>
      </w:r>
      <w:r>
        <w:rPr/>
        <w:t>të</w:t>
      </w:r>
      <w:r>
        <w:rPr>
          <w:spacing w:val="-8"/>
        </w:rPr>
        <w:t> </w:t>
      </w:r>
      <w:r>
        <w:rPr/>
        <w:t>ujit</w:t>
      </w:r>
      <w:r>
        <w:rPr>
          <w:spacing w:val="-5"/>
        </w:rPr>
        <w:t> </w:t>
      </w:r>
      <w:r>
        <w:rPr/>
        <w:t>natyral</w:t>
      </w:r>
      <w:r>
        <w:rPr>
          <w:spacing w:val="-5"/>
        </w:rPr>
        <w:t> </w:t>
      </w:r>
      <w:r>
        <w:rPr/>
        <w:t>në</w:t>
      </w:r>
      <w:r>
        <w:rPr>
          <w:spacing w:val="-6"/>
        </w:rPr>
        <w:t> </w:t>
      </w:r>
      <w:r>
        <w:rPr/>
        <w:t>pothuajse</w:t>
      </w:r>
      <w:r>
        <w:rPr>
          <w:spacing w:val="-6"/>
        </w:rPr>
        <w:t> </w:t>
      </w:r>
      <w:r>
        <w:rPr/>
        <w:t>të</w:t>
      </w:r>
      <w:r>
        <w:rPr>
          <w:spacing w:val="-6"/>
        </w:rPr>
        <w:t> </w:t>
      </w:r>
      <w:r>
        <w:rPr/>
        <w:t>gjitha</w:t>
      </w:r>
      <w:r>
        <w:rPr>
          <w:spacing w:val="-5"/>
        </w:rPr>
        <w:t> </w:t>
      </w:r>
      <w:r>
        <w:rPr/>
        <w:t>fshatrat</w:t>
      </w:r>
      <w:r>
        <w:rPr>
          <w:spacing w:val="-5"/>
        </w:rPr>
        <w:t> </w:t>
      </w:r>
      <w:r>
        <w:rPr/>
        <w:t>e</w:t>
      </w:r>
      <w:r>
        <w:rPr>
          <w:spacing w:val="-6"/>
        </w:rPr>
        <w:t> </w:t>
      </w:r>
      <w:r>
        <w:rPr/>
        <w:t>Hanit të Elezit. Ujërat nëntokësore janë vlerësuar në një thellësi të madhe dhe që nuk arrijnë standardet e zbatueshme të cilësisë për ujë të pijes.</w:t>
      </w:r>
    </w:p>
    <w:p>
      <w:pPr>
        <w:pStyle w:val="Heading2"/>
        <w:numPr>
          <w:ilvl w:val="1"/>
          <w:numId w:val="11"/>
        </w:numPr>
        <w:tabs>
          <w:tab w:pos="1101" w:val="left" w:leader="none"/>
        </w:tabs>
        <w:spacing w:line="240" w:lineRule="auto" w:before="200" w:after="0"/>
        <w:ind w:left="1101" w:right="0" w:hanging="361"/>
        <w:jc w:val="left"/>
        <w:rPr>
          <w:b w:val="0"/>
          <w:sz w:val="22"/>
        </w:rPr>
      </w:pPr>
      <w:r>
        <w:rPr/>
        <w:t>Mbulimi</w:t>
      </w:r>
      <w:r>
        <w:rPr>
          <w:spacing w:val="-8"/>
        </w:rPr>
        <w:t> </w:t>
      </w:r>
      <w:r>
        <w:rPr/>
        <w:t>me</w:t>
      </w:r>
      <w:r>
        <w:rPr>
          <w:spacing w:val="-7"/>
        </w:rPr>
        <w:t> </w:t>
      </w:r>
      <w:r>
        <w:rPr/>
        <w:t>shërbimin</w:t>
      </w:r>
      <w:r>
        <w:rPr>
          <w:spacing w:val="-6"/>
        </w:rPr>
        <w:t> </w:t>
      </w:r>
      <w:r>
        <w:rPr/>
        <w:t>e</w:t>
      </w:r>
      <w:r>
        <w:rPr>
          <w:spacing w:val="-6"/>
        </w:rPr>
        <w:t> </w:t>
      </w:r>
      <w:r>
        <w:rPr>
          <w:spacing w:val="-2"/>
        </w:rPr>
        <w:t>ujësjellësit</w:t>
      </w:r>
      <w:r>
        <w:rPr>
          <w:b w:val="0"/>
          <w:spacing w:val="-2"/>
        </w:rPr>
        <w:t>-</w:t>
      </w:r>
    </w:p>
    <w:p>
      <w:pPr>
        <w:pStyle w:val="BodyText"/>
        <w:spacing w:before="2"/>
        <w:rPr>
          <w:sz w:val="22"/>
        </w:rPr>
      </w:pPr>
    </w:p>
    <w:p>
      <w:pPr>
        <w:pStyle w:val="BodyText"/>
        <w:spacing w:line="288" w:lineRule="auto" w:before="1"/>
        <w:ind w:left="740" w:right="1438"/>
        <w:jc w:val="both"/>
      </w:pPr>
      <w:r>
        <w:rPr/>
        <w:t>Hani</w:t>
      </w:r>
      <w:r>
        <w:rPr/>
        <w:t> i</w:t>
      </w:r>
      <w:r>
        <w:rPr/>
        <w:t> Elezit,</w:t>
      </w:r>
      <w:r>
        <w:rPr/>
        <w:t> me</w:t>
      </w:r>
      <w:r>
        <w:rPr/>
        <w:t> ujësjellës furnizohet nga dy burime. Burimi i Glloboqicës dhe nga burimi i prrockës së Dimcës. Me burimin e Glloboqicës janë të mbualuara: Lagjja e re, Lagjja nën Hekurudhë, Seqishtë, dhe lagjet Meliq e Brava. Ky sistem menaxhohet nga KRU</w:t>
      </w:r>
      <w:r>
        <w:rPr>
          <w:spacing w:val="40"/>
        </w:rPr>
        <w:t> </w:t>
      </w:r>
      <w:r>
        <w:rPr/>
        <w:t>Bifurkacioni, nën-njësia në Han të Elezit.</w:t>
      </w:r>
    </w:p>
    <w:p>
      <w:pPr>
        <w:pStyle w:val="BodyText"/>
        <w:spacing w:line="288" w:lineRule="auto" w:before="200"/>
        <w:ind w:left="740" w:right="1440"/>
        <w:jc w:val="both"/>
      </w:pPr>
      <w:r>
        <w:rPr/>
        <w:t>Nga burimi i prrockës së Dimcës me shërbimin e ujësjellësit mbulohet zona urbane e Hanit të Elezit</w:t>
      </w:r>
      <w:r>
        <w:rPr>
          <w:spacing w:val="-4"/>
        </w:rPr>
        <w:t> </w:t>
      </w:r>
      <w:r>
        <w:rPr/>
        <w:t>dhe</w:t>
      </w:r>
      <w:r>
        <w:rPr>
          <w:spacing w:val="-4"/>
        </w:rPr>
        <w:t> </w:t>
      </w:r>
      <w:r>
        <w:rPr/>
        <w:t>Lagjja</w:t>
      </w:r>
      <w:r>
        <w:rPr>
          <w:spacing w:val="-6"/>
        </w:rPr>
        <w:t> </w:t>
      </w:r>
      <w:r>
        <w:rPr/>
        <w:t>e</w:t>
      </w:r>
      <w:r>
        <w:rPr>
          <w:spacing w:val="-4"/>
        </w:rPr>
        <w:t> </w:t>
      </w:r>
      <w:r>
        <w:rPr/>
        <w:t>Ujit</w:t>
      </w:r>
      <w:r>
        <w:rPr>
          <w:spacing w:val="-5"/>
        </w:rPr>
        <w:t> </w:t>
      </w:r>
      <w:r>
        <w:rPr/>
        <w:t>të</w:t>
      </w:r>
      <w:r>
        <w:rPr>
          <w:spacing w:val="-5"/>
        </w:rPr>
        <w:t> </w:t>
      </w:r>
      <w:r>
        <w:rPr/>
        <w:t>Thartë.</w:t>
      </w:r>
      <w:r>
        <w:rPr>
          <w:spacing w:val="-5"/>
        </w:rPr>
        <w:t> </w:t>
      </w:r>
      <w:r>
        <w:rPr/>
        <w:t>Kjo</w:t>
      </w:r>
      <w:r>
        <w:rPr>
          <w:spacing w:val="-5"/>
        </w:rPr>
        <w:t> </w:t>
      </w:r>
      <w:r>
        <w:rPr/>
        <w:t>pjesë</w:t>
      </w:r>
      <w:r>
        <w:rPr>
          <w:spacing w:val="-6"/>
        </w:rPr>
        <w:t> </w:t>
      </w:r>
      <w:r>
        <w:rPr/>
        <w:t>e</w:t>
      </w:r>
      <w:r>
        <w:rPr>
          <w:spacing w:val="-4"/>
        </w:rPr>
        <w:t> </w:t>
      </w:r>
      <w:r>
        <w:rPr/>
        <w:t>ujësjellësit</w:t>
      </w:r>
      <w:r>
        <w:rPr>
          <w:spacing w:val="-5"/>
        </w:rPr>
        <w:t> </w:t>
      </w:r>
      <w:r>
        <w:rPr/>
        <w:t>menaxhohet</w:t>
      </w:r>
      <w:r>
        <w:rPr>
          <w:spacing w:val="-3"/>
        </w:rPr>
        <w:t> </w:t>
      </w:r>
      <w:r>
        <w:rPr/>
        <w:t>nga</w:t>
      </w:r>
      <w:r>
        <w:rPr>
          <w:spacing w:val="-8"/>
        </w:rPr>
        <w:t> </w:t>
      </w:r>
      <w:r>
        <w:rPr/>
        <w:t>Drejtoria</w:t>
      </w:r>
      <w:r>
        <w:rPr>
          <w:spacing w:val="-6"/>
        </w:rPr>
        <w:t> </w:t>
      </w:r>
      <w:r>
        <w:rPr/>
        <w:t>e</w:t>
      </w:r>
      <w:r>
        <w:rPr>
          <w:spacing w:val="-4"/>
        </w:rPr>
        <w:t> </w:t>
      </w:r>
      <w:r>
        <w:rPr/>
        <w:t>Shërbimeve Publike të Komunës së Hanit të Elezit.</w:t>
      </w:r>
    </w:p>
    <w:p>
      <w:pPr>
        <w:spacing w:after="0" w:line="288" w:lineRule="auto"/>
        <w:jc w:val="both"/>
        <w:sectPr>
          <w:pgSz w:w="12240" w:h="15840"/>
          <w:pgMar w:header="0" w:footer="990" w:top="1440" w:bottom="1180" w:left="700" w:right="0"/>
        </w:sect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0"/>
        <w:gridCol w:w="2284"/>
        <w:gridCol w:w="2868"/>
        <w:gridCol w:w="2157"/>
      </w:tblGrid>
      <w:tr>
        <w:trPr>
          <w:trHeight w:val="515" w:hRule="atLeast"/>
        </w:trPr>
        <w:tc>
          <w:tcPr>
            <w:tcW w:w="2040" w:type="dxa"/>
            <w:shd w:val="clear" w:color="auto" w:fill="EAB8A3"/>
          </w:tcPr>
          <w:p>
            <w:pPr>
              <w:pStyle w:val="TableParagraph"/>
              <w:spacing w:line="246" w:lineRule="exact"/>
              <w:ind w:left="107"/>
              <w:rPr>
                <w:rFonts w:ascii="Cambria"/>
                <w:b/>
                <w:sz w:val="21"/>
              </w:rPr>
            </w:pPr>
            <w:r>
              <w:rPr>
                <w:rFonts w:ascii="Cambria"/>
                <w:b/>
                <w:sz w:val="21"/>
              </w:rPr>
              <w:t>Burimi</w:t>
            </w:r>
            <w:r>
              <w:rPr>
                <w:rFonts w:ascii="Cambria"/>
                <w:b/>
                <w:spacing w:val="-2"/>
                <w:sz w:val="21"/>
              </w:rPr>
              <w:t> </w:t>
            </w:r>
            <w:r>
              <w:rPr>
                <w:rFonts w:ascii="Cambria"/>
                <w:b/>
                <w:sz w:val="21"/>
              </w:rPr>
              <w:t>i</w:t>
            </w:r>
            <w:r>
              <w:rPr>
                <w:rFonts w:ascii="Cambria"/>
                <w:b/>
                <w:spacing w:val="-3"/>
                <w:sz w:val="21"/>
              </w:rPr>
              <w:t> </w:t>
            </w:r>
            <w:r>
              <w:rPr>
                <w:rFonts w:ascii="Cambria"/>
                <w:b/>
                <w:spacing w:val="-2"/>
                <w:sz w:val="21"/>
              </w:rPr>
              <w:t>furnizimit</w:t>
            </w:r>
          </w:p>
        </w:tc>
        <w:tc>
          <w:tcPr>
            <w:tcW w:w="2284" w:type="dxa"/>
            <w:shd w:val="clear" w:color="auto" w:fill="EAB8A3"/>
          </w:tcPr>
          <w:p>
            <w:pPr>
              <w:pStyle w:val="TableParagraph"/>
              <w:spacing w:line="246" w:lineRule="exact"/>
              <w:ind w:left="108"/>
              <w:rPr>
                <w:rFonts w:ascii="Cambria" w:hAnsi="Cambria"/>
                <w:b/>
                <w:sz w:val="21"/>
              </w:rPr>
            </w:pPr>
            <w:r>
              <w:rPr>
                <w:rFonts w:ascii="Cambria" w:hAnsi="Cambria"/>
                <w:b/>
                <w:sz w:val="21"/>
              </w:rPr>
              <w:t>Rrjeti i</w:t>
            </w:r>
            <w:r>
              <w:rPr>
                <w:rFonts w:ascii="Cambria" w:hAnsi="Cambria"/>
                <w:b/>
                <w:spacing w:val="-2"/>
                <w:sz w:val="21"/>
              </w:rPr>
              <w:t> ujësjellësit</w:t>
            </w:r>
          </w:p>
        </w:tc>
        <w:tc>
          <w:tcPr>
            <w:tcW w:w="2868" w:type="dxa"/>
            <w:shd w:val="clear" w:color="auto" w:fill="EAB8A3"/>
          </w:tcPr>
          <w:p>
            <w:pPr>
              <w:pStyle w:val="TableParagraph"/>
              <w:spacing w:line="246" w:lineRule="exact"/>
              <w:ind w:left="107"/>
              <w:rPr>
                <w:rFonts w:ascii="Cambria" w:hAnsi="Cambria"/>
                <w:b/>
                <w:sz w:val="21"/>
              </w:rPr>
            </w:pPr>
            <w:r>
              <w:rPr>
                <w:rFonts w:ascii="Cambria" w:hAnsi="Cambria"/>
                <w:b/>
                <w:sz w:val="21"/>
              </w:rPr>
              <w:t>Vendbanimet</w:t>
            </w:r>
            <w:r>
              <w:rPr>
                <w:rFonts w:ascii="Cambria" w:hAnsi="Cambria"/>
                <w:b/>
                <w:spacing w:val="-4"/>
                <w:sz w:val="21"/>
              </w:rPr>
              <w:t> </w:t>
            </w:r>
            <w:r>
              <w:rPr>
                <w:rFonts w:ascii="Cambria" w:hAnsi="Cambria"/>
                <w:b/>
                <w:sz w:val="21"/>
              </w:rPr>
              <w:t>e</w:t>
            </w:r>
            <w:r>
              <w:rPr>
                <w:rFonts w:ascii="Cambria" w:hAnsi="Cambria"/>
                <w:b/>
                <w:spacing w:val="-4"/>
                <w:sz w:val="21"/>
              </w:rPr>
              <w:t> </w:t>
            </w:r>
            <w:r>
              <w:rPr>
                <w:rFonts w:ascii="Cambria" w:hAnsi="Cambria"/>
                <w:b/>
                <w:spacing w:val="-2"/>
                <w:sz w:val="21"/>
              </w:rPr>
              <w:t>përfshira</w:t>
            </w:r>
          </w:p>
        </w:tc>
        <w:tc>
          <w:tcPr>
            <w:tcW w:w="2157" w:type="dxa"/>
            <w:shd w:val="clear" w:color="auto" w:fill="EAB8A3"/>
          </w:tcPr>
          <w:p>
            <w:pPr>
              <w:pStyle w:val="TableParagraph"/>
              <w:spacing w:line="246" w:lineRule="exact"/>
              <w:ind w:left="109"/>
              <w:rPr>
                <w:rFonts w:ascii="Cambria"/>
                <w:b/>
                <w:sz w:val="21"/>
              </w:rPr>
            </w:pPr>
            <w:r>
              <w:rPr>
                <w:rFonts w:ascii="Cambria"/>
                <w:b/>
                <w:sz w:val="21"/>
              </w:rPr>
              <w:t>Organi</w:t>
            </w:r>
            <w:r>
              <w:rPr>
                <w:rFonts w:ascii="Cambria"/>
                <w:b/>
                <w:spacing w:val="-3"/>
                <w:sz w:val="21"/>
              </w:rPr>
              <w:t> </w:t>
            </w:r>
            <w:r>
              <w:rPr>
                <w:rFonts w:ascii="Cambria"/>
                <w:b/>
                <w:spacing w:val="-2"/>
                <w:sz w:val="21"/>
              </w:rPr>
              <w:t>menaxhues</w:t>
            </w:r>
          </w:p>
        </w:tc>
      </w:tr>
      <w:tr>
        <w:trPr>
          <w:trHeight w:val="1381" w:hRule="atLeast"/>
        </w:trPr>
        <w:tc>
          <w:tcPr>
            <w:tcW w:w="2040" w:type="dxa"/>
          </w:tcPr>
          <w:p>
            <w:pPr>
              <w:pStyle w:val="TableParagraph"/>
              <w:spacing w:line="246" w:lineRule="exact"/>
              <w:ind w:left="107"/>
              <w:rPr>
                <w:rFonts w:ascii="Cambria" w:hAnsi="Cambria"/>
                <w:sz w:val="21"/>
              </w:rPr>
            </w:pPr>
            <w:r>
              <w:rPr>
                <w:rFonts w:ascii="Cambria" w:hAnsi="Cambria"/>
                <w:sz w:val="21"/>
              </w:rPr>
              <w:t>Burimi</w:t>
            </w:r>
            <w:r>
              <w:rPr>
                <w:rFonts w:ascii="Cambria" w:hAnsi="Cambria"/>
                <w:spacing w:val="-3"/>
                <w:sz w:val="21"/>
              </w:rPr>
              <w:t> </w:t>
            </w:r>
            <w:r>
              <w:rPr>
                <w:rFonts w:ascii="Cambria" w:hAnsi="Cambria"/>
                <w:sz w:val="21"/>
              </w:rPr>
              <w:t>i</w:t>
            </w:r>
            <w:r>
              <w:rPr>
                <w:rFonts w:ascii="Cambria" w:hAnsi="Cambria"/>
                <w:spacing w:val="-2"/>
                <w:sz w:val="21"/>
              </w:rPr>
              <w:t> Glloboqicës</w:t>
            </w:r>
          </w:p>
        </w:tc>
        <w:tc>
          <w:tcPr>
            <w:tcW w:w="2284" w:type="dxa"/>
          </w:tcPr>
          <w:p>
            <w:pPr>
              <w:pStyle w:val="TableParagraph"/>
              <w:spacing w:line="288" w:lineRule="auto"/>
              <w:ind w:left="108"/>
              <w:rPr>
                <w:rFonts w:ascii="Cambria" w:hAnsi="Cambria"/>
                <w:sz w:val="21"/>
              </w:rPr>
            </w:pPr>
            <w:r>
              <w:rPr>
                <w:rFonts w:ascii="Cambria" w:hAnsi="Cambria"/>
                <w:sz w:val="21"/>
              </w:rPr>
              <w:t>Rrjeti</w:t>
            </w:r>
            <w:r>
              <w:rPr>
                <w:rFonts w:ascii="Cambria" w:hAnsi="Cambria"/>
                <w:spacing w:val="-12"/>
                <w:sz w:val="21"/>
              </w:rPr>
              <w:t> </w:t>
            </w:r>
            <w:r>
              <w:rPr>
                <w:rFonts w:ascii="Cambria" w:hAnsi="Cambria"/>
                <w:sz w:val="21"/>
              </w:rPr>
              <w:t>i</w:t>
            </w:r>
            <w:r>
              <w:rPr>
                <w:rFonts w:ascii="Cambria" w:hAnsi="Cambria"/>
                <w:spacing w:val="-12"/>
                <w:sz w:val="21"/>
              </w:rPr>
              <w:t> </w:t>
            </w:r>
            <w:r>
              <w:rPr>
                <w:rFonts w:ascii="Cambria" w:hAnsi="Cambria"/>
                <w:sz w:val="21"/>
              </w:rPr>
              <w:t>furnizimit</w:t>
            </w:r>
            <w:r>
              <w:rPr>
                <w:rFonts w:ascii="Cambria" w:hAnsi="Cambria"/>
                <w:spacing w:val="-11"/>
                <w:sz w:val="21"/>
              </w:rPr>
              <w:t> </w:t>
            </w:r>
            <w:r>
              <w:rPr>
                <w:rFonts w:ascii="Cambria" w:hAnsi="Cambria"/>
                <w:sz w:val="21"/>
              </w:rPr>
              <w:t>nga burimi i Glloboqicës</w:t>
            </w:r>
          </w:p>
        </w:tc>
        <w:tc>
          <w:tcPr>
            <w:tcW w:w="2868" w:type="dxa"/>
          </w:tcPr>
          <w:p>
            <w:pPr>
              <w:pStyle w:val="TableParagraph"/>
              <w:spacing w:line="288" w:lineRule="auto"/>
              <w:ind w:left="107"/>
              <w:rPr>
                <w:rFonts w:ascii="Cambria" w:hAnsi="Cambria"/>
                <w:sz w:val="21"/>
              </w:rPr>
            </w:pPr>
            <w:r>
              <w:rPr>
                <w:rFonts w:ascii="Cambria" w:hAnsi="Cambria"/>
                <w:sz w:val="21"/>
              </w:rPr>
              <w:t>Lagjja</w:t>
            </w:r>
            <w:r>
              <w:rPr>
                <w:rFonts w:ascii="Cambria" w:hAnsi="Cambria"/>
                <w:spacing w:val="-7"/>
                <w:sz w:val="21"/>
              </w:rPr>
              <w:t> </w:t>
            </w:r>
            <w:r>
              <w:rPr>
                <w:rFonts w:ascii="Cambria" w:hAnsi="Cambria"/>
                <w:sz w:val="21"/>
              </w:rPr>
              <w:t>e</w:t>
            </w:r>
            <w:r>
              <w:rPr>
                <w:rFonts w:ascii="Cambria" w:hAnsi="Cambria"/>
                <w:spacing w:val="-7"/>
                <w:sz w:val="21"/>
              </w:rPr>
              <w:t> </w:t>
            </w:r>
            <w:r>
              <w:rPr>
                <w:rFonts w:ascii="Cambria" w:hAnsi="Cambria"/>
                <w:sz w:val="21"/>
              </w:rPr>
              <w:t>Re</w:t>
            </w:r>
            <w:r>
              <w:rPr>
                <w:rFonts w:ascii="Cambria" w:hAnsi="Cambria"/>
                <w:spacing w:val="-8"/>
                <w:sz w:val="21"/>
              </w:rPr>
              <w:t> </w:t>
            </w:r>
            <w:r>
              <w:rPr>
                <w:rFonts w:ascii="Cambria" w:hAnsi="Cambria"/>
                <w:sz w:val="21"/>
              </w:rPr>
              <w:t>e</w:t>
            </w:r>
            <w:r>
              <w:rPr>
                <w:rFonts w:ascii="Cambria" w:hAnsi="Cambria"/>
                <w:spacing w:val="-7"/>
                <w:sz w:val="21"/>
              </w:rPr>
              <w:t> </w:t>
            </w:r>
            <w:r>
              <w:rPr>
                <w:rFonts w:ascii="Cambria" w:hAnsi="Cambria"/>
                <w:sz w:val="21"/>
              </w:rPr>
              <w:t>Hanit</w:t>
            </w:r>
            <w:r>
              <w:rPr>
                <w:rFonts w:ascii="Cambria" w:hAnsi="Cambria"/>
                <w:spacing w:val="-7"/>
                <w:sz w:val="21"/>
              </w:rPr>
              <w:t> </w:t>
            </w:r>
            <w:r>
              <w:rPr>
                <w:rFonts w:ascii="Cambria" w:hAnsi="Cambria"/>
                <w:sz w:val="21"/>
              </w:rPr>
              <w:t>të</w:t>
            </w:r>
            <w:r>
              <w:rPr>
                <w:rFonts w:ascii="Cambria" w:hAnsi="Cambria"/>
                <w:spacing w:val="-8"/>
                <w:sz w:val="21"/>
              </w:rPr>
              <w:t> </w:t>
            </w:r>
            <w:r>
              <w:rPr>
                <w:rFonts w:ascii="Cambria" w:hAnsi="Cambria"/>
                <w:sz w:val="21"/>
              </w:rPr>
              <w:t>Elezit, Lagjja nën Hekurudhë, Seqishtë, Lagjja Meliq, </w:t>
            </w:r>
            <w:r>
              <w:rPr>
                <w:rFonts w:ascii="Cambria" w:hAnsi="Cambria"/>
                <w:spacing w:val="-2"/>
                <w:sz w:val="21"/>
              </w:rPr>
              <w:t>Lagjjaa–Brava.</w:t>
            </w:r>
          </w:p>
        </w:tc>
        <w:tc>
          <w:tcPr>
            <w:tcW w:w="2157" w:type="dxa"/>
          </w:tcPr>
          <w:p>
            <w:pPr>
              <w:pStyle w:val="TableParagraph"/>
              <w:spacing w:line="288" w:lineRule="auto"/>
              <w:ind w:left="109" w:right="224"/>
              <w:rPr>
                <w:rFonts w:ascii="Cambria" w:hAnsi="Cambria"/>
                <w:sz w:val="21"/>
              </w:rPr>
            </w:pPr>
            <w:r>
              <w:rPr>
                <w:rFonts w:ascii="Cambria" w:hAnsi="Cambria"/>
                <w:sz w:val="21"/>
              </w:rPr>
              <w:t>KRU Bifurkacioni, Nën-njësia</w:t>
            </w:r>
            <w:r>
              <w:rPr>
                <w:rFonts w:ascii="Cambria" w:hAnsi="Cambria"/>
                <w:spacing w:val="-12"/>
                <w:sz w:val="21"/>
              </w:rPr>
              <w:t> </w:t>
            </w:r>
            <w:r>
              <w:rPr>
                <w:rFonts w:ascii="Cambria" w:hAnsi="Cambria"/>
                <w:sz w:val="21"/>
              </w:rPr>
              <w:t>në</w:t>
            </w:r>
            <w:r>
              <w:rPr>
                <w:rFonts w:ascii="Cambria" w:hAnsi="Cambria"/>
                <w:spacing w:val="-12"/>
                <w:sz w:val="21"/>
              </w:rPr>
              <w:t> </w:t>
            </w:r>
            <w:r>
              <w:rPr>
                <w:rFonts w:ascii="Cambria" w:hAnsi="Cambria"/>
                <w:sz w:val="21"/>
              </w:rPr>
              <w:t>Hanin e Elezit</w:t>
            </w:r>
          </w:p>
        </w:tc>
      </w:tr>
      <w:tr>
        <w:trPr>
          <w:trHeight w:val="1086" w:hRule="atLeast"/>
        </w:trPr>
        <w:tc>
          <w:tcPr>
            <w:tcW w:w="2040" w:type="dxa"/>
          </w:tcPr>
          <w:p>
            <w:pPr>
              <w:pStyle w:val="TableParagraph"/>
              <w:spacing w:line="288" w:lineRule="auto"/>
              <w:ind w:left="107"/>
              <w:rPr>
                <w:rFonts w:ascii="Cambria" w:hAnsi="Cambria"/>
                <w:sz w:val="21"/>
              </w:rPr>
            </w:pPr>
            <w:r>
              <w:rPr>
                <w:rFonts w:ascii="Cambria" w:hAnsi="Cambria"/>
                <w:sz w:val="21"/>
              </w:rPr>
              <w:t>Burimi</w:t>
            </w:r>
            <w:r>
              <w:rPr>
                <w:rFonts w:ascii="Cambria" w:hAnsi="Cambria"/>
                <w:spacing w:val="-12"/>
                <w:sz w:val="21"/>
              </w:rPr>
              <w:t> </w:t>
            </w:r>
            <w:r>
              <w:rPr>
                <w:rFonts w:ascii="Cambria" w:hAnsi="Cambria"/>
                <w:sz w:val="21"/>
              </w:rPr>
              <w:t>i</w:t>
            </w:r>
            <w:r>
              <w:rPr>
                <w:rFonts w:ascii="Cambria" w:hAnsi="Cambria"/>
                <w:spacing w:val="-12"/>
                <w:sz w:val="21"/>
              </w:rPr>
              <w:t> </w:t>
            </w:r>
            <w:r>
              <w:rPr>
                <w:rFonts w:ascii="Cambria" w:hAnsi="Cambria"/>
                <w:sz w:val="21"/>
              </w:rPr>
              <w:t>Prrockës</w:t>
            </w:r>
            <w:r>
              <w:rPr>
                <w:rFonts w:ascii="Cambria" w:hAnsi="Cambria"/>
                <w:spacing w:val="-11"/>
                <w:sz w:val="21"/>
              </w:rPr>
              <w:t> </w:t>
            </w:r>
            <w:r>
              <w:rPr>
                <w:rFonts w:ascii="Cambria" w:hAnsi="Cambria"/>
                <w:sz w:val="21"/>
              </w:rPr>
              <w:t>së </w:t>
            </w:r>
            <w:r>
              <w:rPr>
                <w:rFonts w:ascii="Cambria" w:hAnsi="Cambria"/>
                <w:spacing w:val="-2"/>
                <w:sz w:val="21"/>
              </w:rPr>
              <w:t>Dimcës</w:t>
            </w:r>
          </w:p>
        </w:tc>
        <w:tc>
          <w:tcPr>
            <w:tcW w:w="2284" w:type="dxa"/>
          </w:tcPr>
          <w:p>
            <w:pPr>
              <w:pStyle w:val="TableParagraph"/>
              <w:spacing w:line="288" w:lineRule="auto"/>
              <w:ind w:left="108"/>
              <w:rPr>
                <w:rFonts w:ascii="Cambria" w:hAnsi="Cambria"/>
                <w:sz w:val="21"/>
              </w:rPr>
            </w:pPr>
            <w:r>
              <w:rPr>
                <w:rFonts w:ascii="Cambria" w:hAnsi="Cambria"/>
                <w:sz w:val="21"/>
              </w:rPr>
              <w:t>Rrjeti</w:t>
            </w:r>
            <w:r>
              <w:rPr>
                <w:rFonts w:ascii="Cambria" w:hAnsi="Cambria"/>
                <w:spacing w:val="-12"/>
                <w:sz w:val="21"/>
              </w:rPr>
              <w:t> </w:t>
            </w:r>
            <w:r>
              <w:rPr>
                <w:rFonts w:ascii="Cambria" w:hAnsi="Cambria"/>
                <w:sz w:val="21"/>
              </w:rPr>
              <w:t>i</w:t>
            </w:r>
            <w:r>
              <w:rPr>
                <w:rFonts w:ascii="Cambria" w:hAnsi="Cambria"/>
                <w:spacing w:val="-12"/>
                <w:sz w:val="21"/>
              </w:rPr>
              <w:t> </w:t>
            </w:r>
            <w:r>
              <w:rPr>
                <w:rFonts w:ascii="Cambria" w:hAnsi="Cambria"/>
                <w:sz w:val="21"/>
              </w:rPr>
              <w:t>furnizimit</w:t>
            </w:r>
            <w:r>
              <w:rPr>
                <w:rFonts w:ascii="Cambria" w:hAnsi="Cambria"/>
                <w:spacing w:val="-11"/>
                <w:sz w:val="21"/>
              </w:rPr>
              <w:t> </w:t>
            </w:r>
            <w:r>
              <w:rPr>
                <w:rFonts w:ascii="Cambria" w:hAnsi="Cambria"/>
                <w:sz w:val="21"/>
              </w:rPr>
              <w:t>nga Prrocka e Dimcës</w:t>
            </w:r>
          </w:p>
        </w:tc>
        <w:tc>
          <w:tcPr>
            <w:tcW w:w="2868" w:type="dxa"/>
          </w:tcPr>
          <w:p>
            <w:pPr>
              <w:pStyle w:val="TableParagraph"/>
              <w:spacing w:line="288" w:lineRule="auto"/>
              <w:ind w:left="107"/>
              <w:rPr>
                <w:rFonts w:ascii="Cambria" w:hAnsi="Cambria"/>
                <w:sz w:val="21"/>
              </w:rPr>
            </w:pPr>
            <w:r>
              <w:rPr>
                <w:rFonts w:ascii="Cambria" w:hAnsi="Cambria"/>
                <w:sz w:val="21"/>
              </w:rPr>
              <w:t>Zona</w:t>
            </w:r>
            <w:r>
              <w:rPr>
                <w:rFonts w:ascii="Cambria" w:hAnsi="Cambria"/>
                <w:spacing w:val="-7"/>
                <w:sz w:val="21"/>
              </w:rPr>
              <w:t> </w:t>
            </w:r>
            <w:r>
              <w:rPr>
                <w:rFonts w:ascii="Cambria" w:hAnsi="Cambria"/>
                <w:sz w:val="21"/>
              </w:rPr>
              <w:t>urbane</w:t>
            </w:r>
            <w:r>
              <w:rPr>
                <w:rFonts w:ascii="Cambria" w:hAnsi="Cambria"/>
                <w:spacing w:val="-8"/>
                <w:sz w:val="21"/>
              </w:rPr>
              <w:t> </w:t>
            </w:r>
            <w:r>
              <w:rPr>
                <w:rFonts w:ascii="Cambria" w:hAnsi="Cambria"/>
                <w:sz w:val="21"/>
              </w:rPr>
              <w:t>e</w:t>
            </w:r>
            <w:r>
              <w:rPr>
                <w:rFonts w:ascii="Cambria" w:hAnsi="Cambria"/>
                <w:spacing w:val="-7"/>
                <w:sz w:val="21"/>
              </w:rPr>
              <w:t> </w:t>
            </w:r>
            <w:r>
              <w:rPr>
                <w:rFonts w:ascii="Cambria" w:hAnsi="Cambria"/>
                <w:sz w:val="21"/>
              </w:rPr>
              <w:t>Hanit</w:t>
            </w:r>
            <w:r>
              <w:rPr>
                <w:rFonts w:ascii="Cambria" w:hAnsi="Cambria"/>
                <w:spacing w:val="-8"/>
                <w:sz w:val="21"/>
              </w:rPr>
              <w:t> </w:t>
            </w:r>
            <w:r>
              <w:rPr>
                <w:rFonts w:ascii="Cambria" w:hAnsi="Cambria"/>
                <w:sz w:val="21"/>
              </w:rPr>
              <w:t>të</w:t>
            </w:r>
            <w:r>
              <w:rPr>
                <w:rFonts w:ascii="Cambria" w:hAnsi="Cambria"/>
                <w:spacing w:val="-8"/>
                <w:sz w:val="21"/>
              </w:rPr>
              <w:t> </w:t>
            </w:r>
            <w:r>
              <w:rPr>
                <w:rFonts w:ascii="Cambria" w:hAnsi="Cambria"/>
                <w:sz w:val="21"/>
              </w:rPr>
              <w:t>Elezit dhe Lagjja e Ujit të Thartë</w:t>
            </w:r>
          </w:p>
        </w:tc>
        <w:tc>
          <w:tcPr>
            <w:tcW w:w="2157" w:type="dxa"/>
          </w:tcPr>
          <w:p>
            <w:pPr>
              <w:pStyle w:val="TableParagraph"/>
              <w:spacing w:line="288" w:lineRule="auto"/>
              <w:ind w:left="109" w:right="237"/>
              <w:rPr>
                <w:rFonts w:ascii="Cambria" w:hAnsi="Cambria"/>
                <w:sz w:val="21"/>
              </w:rPr>
            </w:pPr>
            <w:r>
              <w:rPr>
                <w:rFonts w:ascii="Cambria" w:hAnsi="Cambria"/>
                <w:sz w:val="21"/>
              </w:rPr>
              <w:t>Komuna e Hanit të Elezit, Drejtoria e Shërbimeve</w:t>
            </w:r>
            <w:r>
              <w:rPr>
                <w:rFonts w:ascii="Cambria" w:hAnsi="Cambria"/>
                <w:spacing w:val="-12"/>
                <w:sz w:val="21"/>
              </w:rPr>
              <w:t> </w:t>
            </w:r>
            <w:r>
              <w:rPr>
                <w:rFonts w:ascii="Cambria" w:hAnsi="Cambria"/>
                <w:sz w:val="21"/>
              </w:rPr>
              <w:t>Publike</w:t>
            </w:r>
          </w:p>
        </w:tc>
      </w:tr>
      <w:tr>
        <w:trPr>
          <w:trHeight w:val="1086" w:hRule="atLeast"/>
        </w:trPr>
        <w:tc>
          <w:tcPr>
            <w:tcW w:w="2040" w:type="dxa"/>
          </w:tcPr>
          <w:p>
            <w:pPr>
              <w:pStyle w:val="TableParagraph"/>
              <w:spacing w:line="288" w:lineRule="auto"/>
              <w:ind w:left="107" w:right="150"/>
              <w:rPr>
                <w:rFonts w:ascii="Cambria" w:hAnsi="Cambria"/>
                <w:sz w:val="21"/>
              </w:rPr>
            </w:pPr>
            <w:r>
              <w:rPr>
                <w:rFonts w:ascii="Cambria" w:hAnsi="Cambria"/>
                <w:sz w:val="21"/>
              </w:rPr>
              <w:t>Pa</w:t>
            </w:r>
            <w:r>
              <w:rPr>
                <w:rFonts w:ascii="Cambria" w:hAnsi="Cambria"/>
                <w:spacing w:val="-12"/>
                <w:sz w:val="21"/>
              </w:rPr>
              <w:t> </w:t>
            </w:r>
            <w:r>
              <w:rPr>
                <w:rFonts w:ascii="Cambria" w:hAnsi="Cambria"/>
                <w:sz w:val="21"/>
              </w:rPr>
              <w:t>burime</w:t>
            </w:r>
            <w:r>
              <w:rPr>
                <w:rFonts w:ascii="Cambria" w:hAnsi="Cambria"/>
                <w:spacing w:val="-12"/>
                <w:sz w:val="21"/>
              </w:rPr>
              <w:t> </w:t>
            </w:r>
            <w:r>
              <w:rPr>
                <w:rFonts w:ascii="Cambria" w:hAnsi="Cambria"/>
                <w:sz w:val="21"/>
              </w:rPr>
              <w:t>publike të ujit të pijes</w:t>
            </w:r>
          </w:p>
        </w:tc>
        <w:tc>
          <w:tcPr>
            <w:tcW w:w="2284" w:type="dxa"/>
          </w:tcPr>
          <w:p>
            <w:pPr>
              <w:pStyle w:val="TableParagraph"/>
              <w:spacing w:line="288" w:lineRule="auto"/>
              <w:ind w:left="108"/>
              <w:rPr>
                <w:rFonts w:ascii="Cambria" w:hAnsi="Cambria"/>
                <w:sz w:val="21"/>
              </w:rPr>
            </w:pPr>
            <w:r>
              <w:rPr>
                <w:rFonts w:ascii="Cambria" w:hAnsi="Cambria"/>
                <w:sz w:val="21"/>
              </w:rPr>
              <w:t>Pa</w:t>
            </w:r>
            <w:r>
              <w:rPr>
                <w:rFonts w:ascii="Cambria" w:hAnsi="Cambria"/>
                <w:spacing w:val="-12"/>
                <w:sz w:val="21"/>
              </w:rPr>
              <w:t> </w:t>
            </w:r>
            <w:r>
              <w:rPr>
                <w:rFonts w:ascii="Cambria" w:hAnsi="Cambria"/>
                <w:sz w:val="21"/>
              </w:rPr>
              <w:t>rrjet</w:t>
            </w:r>
            <w:r>
              <w:rPr>
                <w:rFonts w:ascii="Cambria" w:hAnsi="Cambria"/>
                <w:spacing w:val="-12"/>
                <w:sz w:val="21"/>
              </w:rPr>
              <w:t> </w:t>
            </w:r>
            <w:r>
              <w:rPr>
                <w:rFonts w:ascii="Cambria" w:hAnsi="Cambria"/>
                <w:sz w:val="21"/>
              </w:rPr>
              <w:t>të</w:t>
            </w:r>
            <w:r>
              <w:rPr>
                <w:rFonts w:ascii="Cambria" w:hAnsi="Cambria"/>
                <w:spacing w:val="-11"/>
                <w:sz w:val="21"/>
              </w:rPr>
              <w:t> </w:t>
            </w:r>
            <w:r>
              <w:rPr>
                <w:rFonts w:ascii="Cambria" w:hAnsi="Cambria"/>
                <w:sz w:val="21"/>
              </w:rPr>
              <w:t>furnizimit publik të ujësjellësit</w:t>
            </w:r>
          </w:p>
        </w:tc>
        <w:tc>
          <w:tcPr>
            <w:tcW w:w="2868" w:type="dxa"/>
          </w:tcPr>
          <w:p>
            <w:pPr>
              <w:pStyle w:val="TableParagraph"/>
              <w:spacing w:line="288" w:lineRule="auto"/>
              <w:ind w:left="107"/>
              <w:rPr>
                <w:rFonts w:ascii="Cambria" w:hAnsi="Cambria"/>
                <w:sz w:val="21"/>
              </w:rPr>
            </w:pPr>
            <w:r>
              <w:rPr>
                <w:rFonts w:ascii="Cambria" w:hAnsi="Cambria"/>
                <w:sz w:val="21"/>
              </w:rPr>
              <w:t>Paldenicë, Krivenik, Dimcë, Dërmjak,</w:t>
            </w:r>
            <w:r>
              <w:rPr>
                <w:rFonts w:ascii="Cambria" w:hAnsi="Cambria"/>
                <w:spacing w:val="-12"/>
                <w:sz w:val="21"/>
              </w:rPr>
              <w:t> </w:t>
            </w:r>
            <w:r>
              <w:rPr>
                <w:rFonts w:ascii="Cambria" w:hAnsi="Cambria"/>
                <w:sz w:val="21"/>
              </w:rPr>
              <w:t>Neqavc,</w:t>
            </w:r>
            <w:r>
              <w:rPr>
                <w:rFonts w:ascii="Cambria" w:hAnsi="Cambria"/>
                <w:spacing w:val="-12"/>
                <w:sz w:val="21"/>
              </w:rPr>
              <w:t> </w:t>
            </w:r>
            <w:r>
              <w:rPr>
                <w:rFonts w:ascii="Cambria" w:hAnsi="Cambria"/>
                <w:sz w:val="21"/>
              </w:rPr>
              <w:t>Vërtomicë dhe Pustenik</w:t>
            </w:r>
          </w:p>
        </w:tc>
        <w:tc>
          <w:tcPr>
            <w:tcW w:w="2157" w:type="dxa"/>
          </w:tcPr>
          <w:p>
            <w:pPr>
              <w:pStyle w:val="TableParagraph"/>
              <w:spacing w:line="246" w:lineRule="exact"/>
              <w:ind w:left="109"/>
              <w:rPr>
                <w:rFonts w:ascii="Cambria" w:hAnsi="Cambria"/>
                <w:sz w:val="21"/>
              </w:rPr>
            </w:pPr>
            <w:r>
              <w:rPr>
                <w:rFonts w:ascii="Cambria" w:hAnsi="Cambria"/>
                <w:sz w:val="21"/>
              </w:rPr>
              <w:t>I</w:t>
            </w:r>
            <w:r>
              <w:rPr>
                <w:rFonts w:ascii="Cambria" w:hAnsi="Cambria"/>
                <w:spacing w:val="-1"/>
                <w:sz w:val="21"/>
              </w:rPr>
              <w:t> </w:t>
            </w:r>
            <w:r>
              <w:rPr>
                <w:rFonts w:ascii="Cambria" w:hAnsi="Cambria"/>
                <w:sz w:val="21"/>
              </w:rPr>
              <w:t>pa</w:t>
            </w:r>
            <w:r>
              <w:rPr>
                <w:rFonts w:ascii="Cambria" w:hAnsi="Cambria"/>
                <w:spacing w:val="-1"/>
                <w:sz w:val="21"/>
              </w:rPr>
              <w:t> </w:t>
            </w:r>
            <w:r>
              <w:rPr>
                <w:rFonts w:ascii="Cambria" w:hAnsi="Cambria"/>
                <w:spacing w:val="-2"/>
                <w:sz w:val="21"/>
              </w:rPr>
              <w:t>përcaktuar</w:t>
            </w:r>
          </w:p>
        </w:tc>
      </w:tr>
    </w:tbl>
    <w:p>
      <w:pPr>
        <w:spacing w:before="22"/>
        <w:ind w:left="2799" w:right="0" w:firstLine="0"/>
        <w:jc w:val="left"/>
        <w:rPr>
          <w:sz w:val="24"/>
        </w:rPr>
      </w:pPr>
      <w:r>
        <w:rPr>
          <w:b/>
          <w:sz w:val="24"/>
        </w:rPr>
        <w:t>Tabela</w:t>
      </w:r>
      <w:r>
        <w:rPr>
          <w:b/>
          <w:spacing w:val="-8"/>
          <w:sz w:val="24"/>
        </w:rPr>
        <w:t> </w:t>
      </w:r>
      <w:r>
        <w:rPr>
          <w:b/>
          <w:sz w:val="24"/>
        </w:rPr>
        <w:t>16:</w:t>
      </w:r>
      <w:r>
        <w:rPr>
          <w:b/>
          <w:spacing w:val="-6"/>
          <w:sz w:val="24"/>
        </w:rPr>
        <w:t> </w:t>
      </w:r>
      <w:r>
        <w:rPr>
          <w:sz w:val="24"/>
        </w:rPr>
        <w:t>Shërbimi</w:t>
      </w:r>
      <w:r>
        <w:rPr>
          <w:spacing w:val="-7"/>
          <w:sz w:val="24"/>
        </w:rPr>
        <w:t> </w:t>
      </w:r>
      <w:r>
        <w:rPr>
          <w:sz w:val="24"/>
        </w:rPr>
        <w:t>i</w:t>
      </w:r>
      <w:r>
        <w:rPr>
          <w:spacing w:val="-7"/>
          <w:sz w:val="24"/>
        </w:rPr>
        <w:t> </w:t>
      </w:r>
      <w:r>
        <w:rPr>
          <w:sz w:val="24"/>
        </w:rPr>
        <w:t>ujësjellësit</w:t>
      </w:r>
      <w:r>
        <w:rPr>
          <w:spacing w:val="-8"/>
          <w:sz w:val="24"/>
        </w:rPr>
        <w:t> </w:t>
      </w:r>
      <w:r>
        <w:rPr>
          <w:sz w:val="24"/>
        </w:rPr>
        <w:t>sipas</w:t>
      </w:r>
      <w:r>
        <w:rPr>
          <w:spacing w:val="-7"/>
          <w:sz w:val="24"/>
        </w:rPr>
        <w:t> </w:t>
      </w:r>
      <w:r>
        <w:rPr>
          <w:spacing w:val="-2"/>
          <w:sz w:val="24"/>
        </w:rPr>
        <w:t>vendbanimeve</w:t>
      </w:r>
    </w:p>
    <w:p>
      <w:pPr>
        <w:pStyle w:val="BodyText"/>
        <w:spacing w:before="1"/>
        <w:rPr>
          <w:sz w:val="22"/>
        </w:rPr>
      </w:pPr>
    </w:p>
    <w:p>
      <w:pPr>
        <w:pStyle w:val="BodyText"/>
        <w:spacing w:line="288" w:lineRule="auto"/>
        <w:ind w:left="740" w:right="1435"/>
      </w:pPr>
      <w:r>
        <w:rPr/>
        <w:t>Sa</w:t>
      </w:r>
      <w:r>
        <w:rPr>
          <w:spacing w:val="33"/>
        </w:rPr>
        <w:t> </w:t>
      </w:r>
      <w:r>
        <w:rPr/>
        <w:t>i</w:t>
      </w:r>
      <w:r>
        <w:rPr>
          <w:spacing w:val="34"/>
        </w:rPr>
        <w:t> </w:t>
      </w:r>
      <w:r>
        <w:rPr/>
        <w:t>përket</w:t>
      </w:r>
      <w:r>
        <w:rPr>
          <w:spacing w:val="32"/>
        </w:rPr>
        <w:t> </w:t>
      </w:r>
      <w:r>
        <w:rPr/>
        <w:t>mbulueshmërisë</w:t>
      </w:r>
      <w:r>
        <w:rPr>
          <w:spacing w:val="33"/>
        </w:rPr>
        <w:t> </w:t>
      </w:r>
      <w:r>
        <w:rPr/>
        <w:t>me</w:t>
      </w:r>
      <w:r>
        <w:rPr>
          <w:spacing w:val="33"/>
        </w:rPr>
        <w:t> </w:t>
      </w:r>
      <w:r>
        <w:rPr/>
        <w:t>shërbimin</w:t>
      </w:r>
      <w:r>
        <w:rPr>
          <w:spacing w:val="33"/>
        </w:rPr>
        <w:t> </w:t>
      </w:r>
      <w:r>
        <w:rPr/>
        <w:t>e</w:t>
      </w:r>
      <w:r>
        <w:rPr>
          <w:spacing w:val="32"/>
        </w:rPr>
        <w:t> </w:t>
      </w:r>
      <w:r>
        <w:rPr/>
        <w:t>ujësjellësit,</w:t>
      </w:r>
      <w:r>
        <w:rPr>
          <w:spacing w:val="32"/>
        </w:rPr>
        <w:t> </w:t>
      </w:r>
      <w:r>
        <w:rPr/>
        <w:t>ky</w:t>
      </w:r>
      <w:r>
        <w:rPr>
          <w:spacing w:val="38"/>
        </w:rPr>
        <w:t> </w:t>
      </w:r>
      <w:r>
        <w:rPr/>
        <w:t>shërbim</w:t>
      </w:r>
      <w:r>
        <w:rPr>
          <w:spacing w:val="34"/>
        </w:rPr>
        <w:t> </w:t>
      </w:r>
      <w:r>
        <w:rPr/>
        <w:t>ofrohet</w:t>
      </w:r>
      <w:r>
        <w:rPr>
          <w:spacing w:val="33"/>
        </w:rPr>
        <w:t> </w:t>
      </w:r>
      <w:r>
        <w:rPr/>
        <w:t>për</w:t>
      </w:r>
      <w:r>
        <w:rPr>
          <w:spacing w:val="33"/>
        </w:rPr>
        <w:t> </w:t>
      </w:r>
      <w:r>
        <w:rPr/>
        <w:t>rreth</w:t>
      </w:r>
      <w:r>
        <w:rPr>
          <w:spacing w:val="34"/>
        </w:rPr>
        <w:t> </w:t>
      </w:r>
      <w:r>
        <w:rPr/>
        <w:t>62%</w:t>
      </w:r>
      <w:r>
        <w:rPr>
          <w:spacing w:val="33"/>
        </w:rPr>
        <w:t> </w:t>
      </w:r>
      <w:r>
        <w:rPr/>
        <w:t>të banorëve të komunës ose për 1452 ekonomi familjare. Për më shumë shihni tabela 17.</w:t>
      </w:r>
    </w:p>
    <w:p>
      <w:pPr>
        <w:pStyle w:val="BodyText"/>
        <w:rPr>
          <w:sz w:val="20"/>
        </w:rPr>
      </w:pPr>
    </w:p>
    <w:p>
      <w:pPr>
        <w:pStyle w:val="BodyText"/>
        <w:spacing w:before="9" w:after="1"/>
        <w:rPr>
          <w:sz w:val="18"/>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88"/>
        <w:gridCol w:w="1080"/>
        <w:gridCol w:w="930"/>
      </w:tblGrid>
      <w:tr>
        <w:trPr>
          <w:trHeight w:val="292" w:hRule="atLeast"/>
        </w:trPr>
        <w:tc>
          <w:tcPr>
            <w:tcW w:w="7388" w:type="dxa"/>
            <w:shd w:val="clear" w:color="auto" w:fill="CCDDEA"/>
          </w:tcPr>
          <w:p>
            <w:pPr>
              <w:pStyle w:val="TableParagraph"/>
              <w:ind w:left="109"/>
              <w:rPr>
                <w:rFonts w:ascii="Cambria" w:hAnsi="Cambria"/>
                <w:b/>
                <w:sz w:val="21"/>
              </w:rPr>
            </w:pPr>
            <w:r>
              <w:rPr>
                <w:rFonts w:ascii="Cambria" w:hAnsi="Cambria"/>
                <w:b/>
                <w:sz w:val="21"/>
              </w:rPr>
              <w:t>Mbulimi</w:t>
            </w:r>
            <w:r>
              <w:rPr>
                <w:rFonts w:ascii="Cambria" w:hAnsi="Cambria"/>
                <w:b/>
                <w:spacing w:val="-5"/>
                <w:sz w:val="21"/>
              </w:rPr>
              <w:t> </w:t>
            </w:r>
            <w:r>
              <w:rPr>
                <w:rFonts w:ascii="Cambria" w:hAnsi="Cambria"/>
                <w:b/>
                <w:sz w:val="21"/>
              </w:rPr>
              <w:t>me</w:t>
            </w:r>
            <w:r>
              <w:rPr>
                <w:rFonts w:ascii="Cambria" w:hAnsi="Cambria"/>
                <w:b/>
                <w:spacing w:val="-4"/>
                <w:sz w:val="21"/>
              </w:rPr>
              <w:t> </w:t>
            </w:r>
            <w:r>
              <w:rPr>
                <w:rFonts w:ascii="Cambria" w:hAnsi="Cambria"/>
                <w:b/>
                <w:sz w:val="21"/>
              </w:rPr>
              <w:t>shërbimin</w:t>
            </w:r>
            <w:r>
              <w:rPr>
                <w:rFonts w:ascii="Cambria" w:hAnsi="Cambria"/>
                <w:b/>
                <w:spacing w:val="-3"/>
                <w:sz w:val="21"/>
              </w:rPr>
              <w:t> </w:t>
            </w:r>
            <w:r>
              <w:rPr>
                <w:rFonts w:ascii="Cambria" w:hAnsi="Cambria"/>
                <w:b/>
                <w:sz w:val="21"/>
              </w:rPr>
              <w:t>e</w:t>
            </w:r>
            <w:r>
              <w:rPr>
                <w:rFonts w:ascii="Cambria" w:hAnsi="Cambria"/>
                <w:b/>
                <w:spacing w:val="-2"/>
                <w:sz w:val="21"/>
              </w:rPr>
              <w:t> </w:t>
            </w:r>
            <w:r>
              <w:rPr>
                <w:rFonts w:ascii="Cambria" w:hAnsi="Cambria"/>
                <w:b/>
                <w:sz w:val="21"/>
              </w:rPr>
              <w:t>ujësjellësin</w:t>
            </w:r>
            <w:r>
              <w:rPr>
                <w:rFonts w:ascii="Cambria" w:hAnsi="Cambria"/>
                <w:b/>
                <w:spacing w:val="-4"/>
                <w:sz w:val="21"/>
              </w:rPr>
              <w:t> </w:t>
            </w:r>
            <w:r>
              <w:rPr>
                <w:rFonts w:ascii="Cambria" w:hAnsi="Cambria"/>
                <w:b/>
                <w:sz w:val="21"/>
              </w:rPr>
              <w:t>në</w:t>
            </w:r>
            <w:r>
              <w:rPr>
                <w:rFonts w:ascii="Cambria" w:hAnsi="Cambria"/>
                <w:b/>
                <w:spacing w:val="-2"/>
                <w:sz w:val="21"/>
              </w:rPr>
              <w:t> </w:t>
            </w:r>
            <w:r>
              <w:rPr>
                <w:rFonts w:ascii="Cambria" w:hAnsi="Cambria"/>
                <w:b/>
                <w:sz w:val="21"/>
              </w:rPr>
              <w:t>komunën</w:t>
            </w:r>
            <w:r>
              <w:rPr>
                <w:rFonts w:ascii="Cambria" w:hAnsi="Cambria"/>
                <w:b/>
                <w:spacing w:val="-3"/>
                <w:sz w:val="21"/>
              </w:rPr>
              <w:t> </w:t>
            </w:r>
            <w:r>
              <w:rPr>
                <w:rFonts w:ascii="Cambria" w:hAnsi="Cambria"/>
                <w:b/>
                <w:sz w:val="21"/>
              </w:rPr>
              <w:t>e</w:t>
            </w:r>
            <w:r>
              <w:rPr>
                <w:rFonts w:ascii="Cambria" w:hAnsi="Cambria"/>
                <w:b/>
                <w:spacing w:val="-3"/>
                <w:sz w:val="21"/>
              </w:rPr>
              <w:t> </w:t>
            </w:r>
            <w:r>
              <w:rPr>
                <w:rFonts w:ascii="Cambria" w:hAnsi="Cambria"/>
                <w:b/>
                <w:sz w:val="21"/>
              </w:rPr>
              <w:t>Hanit</w:t>
            </w:r>
            <w:r>
              <w:rPr>
                <w:rFonts w:ascii="Cambria" w:hAnsi="Cambria"/>
                <w:b/>
                <w:spacing w:val="-3"/>
                <w:sz w:val="21"/>
              </w:rPr>
              <w:t> </w:t>
            </w:r>
            <w:r>
              <w:rPr>
                <w:rFonts w:ascii="Cambria" w:hAnsi="Cambria"/>
                <w:b/>
                <w:sz w:val="21"/>
              </w:rPr>
              <w:t>të</w:t>
            </w:r>
            <w:r>
              <w:rPr>
                <w:rFonts w:ascii="Cambria" w:hAnsi="Cambria"/>
                <w:b/>
                <w:spacing w:val="-4"/>
                <w:sz w:val="21"/>
              </w:rPr>
              <w:t> </w:t>
            </w:r>
            <w:r>
              <w:rPr>
                <w:rFonts w:ascii="Cambria" w:hAnsi="Cambria"/>
                <w:b/>
                <w:spacing w:val="-2"/>
                <w:sz w:val="21"/>
              </w:rPr>
              <w:t>Elezit</w:t>
            </w:r>
          </w:p>
        </w:tc>
        <w:tc>
          <w:tcPr>
            <w:tcW w:w="1080" w:type="dxa"/>
            <w:shd w:val="clear" w:color="auto" w:fill="CCDDEA"/>
          </w:tcPr>
          <w:p>
            <w:pPr>
              <w:pStyle w:val="TableParagraph"/>
              <w:ind w:left="107"/>
              <w:rPr>
                <w:rFonts w:ascii="Cambria"/>
                <w:b/>
                <w:sz w:val="21"/>
              </w:rPr>
            </w:pPr>
            <w:r>
              <w:rPr>
                <w:rFonts w:ascii="Cambria"/>
                <w:b/>
                <w:spacing w:val="-5"/>
                <w:sz w:val="21"/>
              </w:rPr>
              <w:t>Nr.</w:t>
            </w:r>
          </w:p>
        </w:tc>
        <w:tc>
          <w:tcPr>
            <w:tcW w:w="930" w:type="dxa"/>
            <w:shd w:val="clear" w:color="auto" w:fill="CCDDEA"/>
          </w:tcPr>
          <w:p>
            <w:pPr>
              <w:pStyle w:val="TableParagraph"/>
              <w:ind w:left="107"/>
              <w:rPr>
                <w:rFonts w:ascii="Cambria"/>
                <w:b/>
                <w:sz w:val="21"/>
              </w:rPr>
            </w:pPr>
            <w:r>
              <w:rPr>
                <w:rFonts w:ascii="Cambria"/>
                <w:b/>
                <w:sz w:val="21"/>
              </w:rPr>
              <w:t>%</w:t>
            </w:r>
          </w:p>
        </w:tc>
      </w:tr>
      <w:tr>
        <w:trPr>
          <w:trHeight w:val="292" w:hRule="atLeast"/>
        </w:trPr>
        <w:tc>
          <w:tcPr>
            <w:tcW w:w="7388"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4"/>
                <w:sz w:val="21"/>
              </w:rPr>
              <w:t> </w:t>
            </w:r>
            <w:r>
              <w:rPr>
                <w:rFonts w:ascii="Cambria" w:hAnsi="Cambria"/>
                <w:sz w:val="21"/>
              </w:rPr>
              <w:t>i</w:t>
            </w:r>
            <w:r>
              <w:rPr>
                <w:rFonts w:ascii="Cambria" w:hAnsi="Cambria"/>
                <w:spacing w:val="-3"/>
                <w:sz w:val="21"/>
              </w:rPr>
              <w:t> </w:t>
            </w:r>
            <w:r>
              <w:rPr>
                <w:rFonts w:ascii="Cambria" w:hAnsi="Cambria"/>
                <w:sz w:val="21"/>
              </w:rPr>
              <w:t>përgjithshëm</w:t>
            </w:r>
            <w:r>
              <w:rPr>
                <w:rFonts w:ascii="Cambria" w:hAnsi="Cambria"/>
                <w:spacing w:val="-4"/>
                <w:sz w:val="21"/>
              </w:rPr>
              <w:t> </w:t>
            </w:r>
            <w:r>
              <w:rPr>
                <w:rFonts w:ascii="Cambria" w:hAnsi="Cambria"/>
                <w:sz w:val="21"/>
              </w:rPr>
              <w:t>i</w:t>
            </w:r>
            <w:r>
              <w:rPr>
                <w:rFonts w:ascii="Cambria" w:hAnsi="Cambria"/>
                <w:spacing w:val="-2"/>
                <w:sz w:val="21"/>
              </w:rPr>
              <w:t> banorëve</w:t>
            </w:r>
          </w:p>
        </w:tc>
        <w:tc>
          <w:tcPr>
            <w:tcW w:w="1080" w:type="dxa"/>
          </w:tcPr>
          <w:p>
            <w:pPr>
              <w:pStyle w:val="TableParagraph"/>
              <w:spacing w:line="246" w:lineRule="exact"/>
              <w:ind w:left="107"/>
              <w:rPr>
                <w:rFonts w:ascii="Cambria"/>
                <w:sz w:val="21"/>
              </w:rPr>
            </w:pPr>
            <w:r>
              <w:rPr>
                <w:rFonts w:ascii="Cambria"/>
                <w:spacing w:val="-4"/>
                <w:sz w:val="21"/>
              </w:rPr>
              <w:t>9403</w:t>
            </w:r>
          </w:p>
        </w:tc>
        <w:tc>
          <w:tcPr>
            <w:tcW w:w="930" w:type="dxa"/>
          </w:tcPr>
          <w:p>
            <w:pPr>
              <w:pStyle w:val="TableParagraph"/>
              <w:spacing w:line="246" w:lineRule="exact"/>
              <w:ind w:left="107"/>
              <w:rPr>
                <w:rFonts w:ascii="Cambria"/>
                <w:sz w:val="21"/>
              </w:rPr>
            </w:pPr>
            <w:r>
              <w:rPr>
                <w:rFonts w:ascii="Cambria"/>
                <w:spacing w:val="-5"/>
                <w:sz w:val="21"/>
              </w:rPr>
              <w:t>100</w:t>
            </w:r>
          </w:p>
        </w:tc>
      </w:tr>
      <w:tr>
        <w:trPr>
          <w:trHeight w:val="291" w:hRule="atLeast"/>
        </w:trPr>
        <w:tc>
          <w:tcPr>
            <w:tcW w:w="7388"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6"/>
                <w:sz w:val="21"/>
              </w:rPr>
              <w:t> </w:t>
            </w:r>
            <w:r>
              <w:rPr>
                <w:rFonts w:ascii="Cambria" w:hAnsi="Cambria"/>
                <w:sz w:val="21"/>
              </w:rPr>
              <w:t>i</w:t>
            </w:r>
            <w:r>
              <w:rPr>
                <w:rFonts w:ascii="Cambria" w:hAnsi="Cambria"/>
                <w:spacing w:val="-4"/>
                <w:sz w:val="21"/>
              </w:rPr>
              <w:t> </w:t>
            </w:r>
            <w:r>
              <w:rPr>
                <w:rFonts w:ascii="Cambria" w:hAnsi="Cambria"/>
                <w:sz w:val="21"/>
              </w:rPr>
              <w:t>ekonomive</w:t>
            </w:r>
            <w:r>
              <w:rPr>
                <w:rFonts w:ascii="Cambria" w:hAnsi="Cambria"/>
                <w:spacing w:val="-5"/>
                <w:sz w:val="21"/>
              </w:rPr>
              <w:t> </w:t>
            </w:r>
            <w:r>
              <w:rPr>
                <w:rFonts w:ascii="Cambria" w:hAnsi="Cambria"/>
                <w:sz w:val="21"/>
              </w:rPr>
              <w:t>familjare</w:t>
            </w:r>
            <w:r>
              <w:rPr>
                <w:rFonts w:ascii="Cambria" w:hAnsi="Cambria"/>
                <w:spacing w:val="-5"/>
                <w:sz w:val="21"/>
              </w:rPr>
              <w:t> </w:t>
            </w:r>
            <w:r>
              <w:rPr>
                <w:rFonts w:ascii="Cambria" w:hAnsi="Cambria"/>
                <w:sz w:val="21"/>
              </w:rPr>
              <w:t>në</w:t>
            </w:r>
            <w:r>
              <w:rPr>
                <w:rFonts w:ascii="Cambria" w:hAnsi="Cambria"/>
                <w:spacing w:val="12"/>
                <w:sz w:val="21"/>
              </w:rPr>
              <w:t> </w:t>
            </w:r>
            <w:r>
              <w:rPr>
                <w:rFonts w:ascii="Cambria" w:hAnsi="Cambria"/>
                <w:spacing w:val="-2"/>
                <w:sz w:val="21"/>
              </w:rPr>
              <w:t>komunë</w:t>
            </w:r>
          </w:p>
        </w:tc>
        <w:tc>
          <w:tcPr>
            <w:tcW w:w="1080" w:type="dxa"/>
          </w:tcPr>
          <w:p>
            <w:pPr>
              <w:pStyle w:val="TableParagraph"/>
              <w:spacing w:line="246" w:lineRule="exact"/>
              <w:ind w:left="107"/>
              <w:rPr>
                <w:rFonts w:ascii="Cambria"/>
                <w:sz w:val="21"/>
              </w:rPr>
            </w:pPr>
            <w:r>
              <w:rPr>
                <w:rFonts w:ascii="Cambria"/>
                <w:spacing w:val="-4"/>
                <w:sz w:val="21"/>
              </w:rPr>
              <w:t>1452</w:t>
            </w:r>
          </w:p>
        </w:tc>
        <w:tc>
          <w:tcPr>
            <w:tcW w:w="930" w:type="dxa"/>
          </w:tcPr>
          <w:p>
            <w:pPr>
              <w:pStyle w:val="TableParagraph"/>
              <w:spacing w:line="246" w:lineRule="exact"/>
              <w:ind w:left="107"/>
              <w:rPr>
                <w:rFonts w:ascii="Cambria"/>
                <w:sz w:val="21"/>
              </w:rPr>
            </w:pPr>
            <w:r>
              <w:rPr>
                <w:rFonts w:ascii="Cambria"/>
                <w:spacing w:val="-5"/>
                <w:sz w:val="21"/>
              </w:rPr>
              <w:t>100</w:t>
            </w:r>
          </w:p>
        </w:tc>
      </w:tr>
      <w:tr>
        <w:trPr>
          <w:trHeight w:val="292" w:hRule="atLeast"/>
        </w:trPr>
        <w:tc>
          <w:tcPr>
            <w:tcW w:w="7388" w:type="dxa"/>
          </w:tcPr>
          <w:p>
            <w:pPr>
              <w:pStyle w:val="TableParagraph"/>
              <w:ind w:left="109"/>
              <w:rPr>
                <w:rFonts w:ascii="Cambria" w:hAnsi="Cambria"/>
                <w:sz w:val="21"/>
              </w:rPr>
            </w:pPr>
            <w:r>
              <w:rPr>
                <w:rFonts w:ascii="Cambria" w:hAnsi="Cambria"/>
                <w:sz w:val="21"/>
              </w:rPr>
              <w:t>Numri</w:t>
            </w:r>
            <w:r>
              <w:rPr>
                <w:rFonts w:ascii="Cambria" w:hAnsi="Cambria"/>
                <w:spacing w:val="-7"/>
                <w:sz w:val="21"/>
              </w:rPr>
              <w:t> </w:t>
            </w:r>
            <w:r>
              <w:rPr>
                <w:rFonts w:ascii="Cambria" w:hAnsi="Cambria"/>
                <w:sz w:val="21"/>
              </w:rPr>
              <w:t>i</w:t>
            </w:r>
            <w:r>
              <w:rPr>
                <w:rFonts w:ascii="Cambria" w:hAnsi="Cambria"/>
                <w:spacing w:val="-3"/>
                <w:sz w:val="21"/>
              </w:rPr>
              <w:t> </w:t>
            </w:r>
            <w:r>
              <w:rPr>
                <w:rFonts w:ascii="Cambria" w:hAnsi="Cambria"/>
                <w:sz w:val="21"/>
              </w:rPr>
              <w:t>ekonomive</w:t>
            </w:r>
            <w:r>
              <w:rPr>
                <w:rFonts w:ascii="Cambria" w:hAnsi="Cambria"/>
                <w:spacing w:val="-4"/>
                <w:sz w:val="21"/>
              </w:rPr>
              <w:t> </w:t>
            </w:r>
            <w:r>
              <w:rPr>
                <w:rFonts w:ascii="Cambria" w:hAnsi="Cambria"/>
                <w:sz w:val="21"/>
              </w:rPr>
              <w:t>familjare</w:t>
            </w:r>
            <w:r>
              <w:rPr>
                <w:rFonts w:ascii="Cambria" w:hAnsi="Cambria"/>
                <w:spacing w:val="-4"/>
                <w:sz w:val="21"/>
              </w:rPr>
              <w:t> </w:t>
            </w:r>
            <w:r>
              <w:rPr>
                <w:rFonts w:ascii="Cambria" w:hAnsi="Cambria"/>
                <w:sz w:val="21"/>
              </w:rPr>
              <w:t>të</w:t>
            </w:r>
            <w:r>
              <w:rPr>
                <w:rFonts w:ascii="Cambria" w:hAnsi="Cambria"/>
                <w:spacing w:val="14"/>
                <w:sz w:val="21"/>
              </w:rPr>
              <w:t> </w:t>
            </w:r>
            <w:r>
              <w:rPr>
                <w:rFonts w:ascii="Cambria" w:hAnsi="Cambria"/>
                <w:sz w:val="21"/>
              </w:rPr>
              <w:t>përfshira</w:t>
            </w:r>
            <w:r>
              <w:rPr>
                <w:rFonts w:ascii="Cambria" w:hAnsi="Cambria"/>
                <w:spacing w:val="-3"/>
                <w:sz w:val="21"/>
              </w:rPr>
              <w:t> </w:t>
            </w:r>
            <w:r>
              <w:rPr>
                <w:rFonts w:ascii="Cambria" w:hAnsi="Cambria"/>
                <w:sz w:val="21"/>
              </w:rPr>
              <w:t>me</w:t>
            </w:r>
            <w:r>
              <w:rPr>
                <w:rFonts w:ascii="Cambria" w:hAnsi="Cambria"/>
                <w:spacing w:val="-3"/>
                <w:sz w:val="21"/>
              </w:rPr>
              <w:t> </w:t>
            </w:r>
            <w:r>
              <w:rPr>
                <w:rFonts w:ascii="Cambria" w:hAnsi="Cambria"/>
                <w:sz w:val="21"/>
              </w:rPr>
              <w:t>shërbimin</w:t>
            </w:r>
            <w:r>
              <w:rPr>
                <w:rFonts w:ascii="Cambria" w:hAnsi="Cambria"/>
                <w:spacing w:val="-3"/>
                <w:sz w:val="21"/>
              </w:rPr>
              <w:t> </w:t>
            </w:r>
            <w:r>
              <w:rPr>
                <w:rFonts w:ascii="Cambria" w:hAnsi="Cambria"/>
                <w:sz w:val="21"/>
              </w:rPr>
              <w:t>e</w:t>
            </w:r>
            <w:r>
              <w:rPr>
                <w:rFonts w:ascii="Cambria" w:hAnsi="Cambria"/>
                <w:spacing w:val="-4"/>
                <w:sz w:val="21"/>
              </w:rPr>
              <w:t> </w:t>
            </w:r>
            <w:r>
              <w:rPr>
                <w:rFonts w:ascii="Cambria" w:hAnsi="Cambria"/>
                <w:spacing w:val="-2"/>
                <w:sz w:val="21"/>
              </w:rPr>
              <w:t>ujësjellësit</w:t>
            </w:r>
          </w:p>
        </w:tc>
        <w:tc>
          <w:tcPr>
            <w:tcW w:w="1080" w:type="dxa"/>
          </w:tcPr>
          <w:p>
            <w:pPr>
              <w:pStyle w:val="TableParagraph"/>
              <w:ind w:left="107"/>
              <w:rPr>
                <w:rFonts w:ascii="Cambria"/>
                <w:sz w:val="21"/>
              </w:rPr>
            </w:pPr>
            <w:r>
              <w:rPr>
                <w:rFonts w:ascii="Cambria"/>
                <w:spacing w:val="-5"/>
                <w:sz w:val="21"/>
              </w:rPr>
              <w:t>906</w:t>
            </w:r>
          </w:p>
        </w:tc>
        <w:tc>
          <w:tcPr>
            <w:tcW w:w="930" w:type="dxa"/>
          </w:tcPr>
          <w:p>
            <w:pPr>
              <w:pStyle w:val="TableParagraph"/>
              <w:ind w:left="107"/>
              <w:rPr>
                <w:rFonts w:ascii="Cambria"/>
                <w:sz w:val="21"/>
              </w:rPr>
            </w:pPr>
            <w:r>
              <w:rPr>
                <w:rFonts w:ascii="Cambria"/>
                <w:spacing w:val="-4"/>
                <w:sz w:val="21"/>
              </w:rPr>
              <w:t>62.3</w:t>
            </w:r>
          </w:p>
        </w:tc>
      </w:tr>
      <w:tr>
        <w:trPr>
          <w:trHeight w:val="292" w:hRule="atLeast"/>
        </w:trPr>
        <w:tc>
          <w:tcPr>
            <w:tcW w:w="7388" w:type="dxa"/>
          </w:tcPr>
          <w:p>
            <w:pPr>
              <w:pStyle w:val="TableParagraph"/>
              <w:spacing w:line="246" w:lineRule="exact"/>
              <w:ind w:left="109"/>
              <w:rPr>
                <w:rFonts w:ascii="Cambria" w:hAnsi="Cambria"/>
                <w:sz w:val="21"/>
              </w:rPr>
            </w:pPr>
            <w:r>
              <w:rPr>
                <w:rFonts w:ascii="Cambria" w:hAnsi="Cambria"/>
                <w:sz w:val="21"/>
              </w:rPr>
              <w:t>Objekte</w:t>
            </w:r>
            <w:r>
              <w:rPr>
                <w:rFonts w:ascii="Cambria" w:hAnsi="Cambria"/>
                <w:spacing w:val="-11"/>
                <w:sz w:val="21"/>
              </w:rPr>
              <w:t> </w:t>
            </w:r>
            <w:r>
              <w:rPr>
                <w:rFonts w:ascii="Cambria" w:hAnsi="Cambria"/>
                <w:sz w:val="21"/>
              </w:rPr>
              <w:t>të</w:t>
            </w:r>
            <w:r>
              <w:rPr>
                <w:rFonts w:ascii="Cambria" w:hAnsi="Cambria"/>
                <w:spacing w:val="4"/>
                <w:sz w:val="21"/>
              </w:rPr>
              <w:t> </w:t>
            </w:r>
            <w:r>
              <w:rPr>
                <w:rFonts w:ascii="Cambria" w:hAnsi="Cambria"/>
                <w:sz w:val="21"/>
              </w:rPr>
              <w:t>institucioneve</w:t>
            </w:r>
            <w:r>
              <w:rPr>
                <w:rFonts w:ascii="Cambria" w:hAnsi="Cambria"/>
                <w:spacing w:val="-10"/>
                <w:sz w:val="21"/>
              </w:rPr>
              <w:t> </w:t>
            </w:r>
            <w:r>
              <w:rPr>
                <w:rFonts w:ascii="Cambria" w:hAnsi="Cambria"/>
                <w:sz w:val="21"/>
              </w:rPr>
              <w:t>publike</w:t>
            </w:r>
            <w:r>
              <w:rPr>
                <w:rFonts w:ascii="Cambria" w:hAnsi="Cambria"/>
                <w:spacing w:val="-11"/>
                <w:sz w:val="21"/>
              </w:rPr>
              <w:t> </w:t>
            </w:r>
            <w:r>
              <w:rPr>
                <w:rFonts w:ascii="Cambria" w:hAnsi="Cambria"/>
                <w:sz w:val="21"/>
              </w:rPr>
              <w:t>në</w:t>
            </w:r>
            <w:r>
              <w:rPr>
                <w:rFonts w:ascii="Cambria" w:hAnsi="Cambria"/>
                <w:spacing w:val="5"/>
                <w:sz w:val="21"/>
              </w:rPr>
              <w:t> </w:t>
            </w:r>
            <w:r>
              <w:rPr>
                <w:rFonts w:ascii="Cambria" w:hAnsi="Cambria"/>
                <w:spacing w:val="-2"/>
                <w:sz w:val="21"/>
              </w:rPr>
              <w:t>komunë</w:t>
            </w:r>
          </w:p>
        </w:tc>
        <w:tc>
          <w:tcPr>
            <w:tcW w:w="1080" w:type="dxa"/>
          </w:tcPr>
          <w:p>
            <w:pPr>
              <w:pStyle w:val="TableParagraph"/>
              <w:spacing w:line="246" w:lineRule="exact"/>
              <w:ind w:left="107"/>
              <w:rPr>
                <w:rFonts w:ascii="Cambria"/>
                <w:sz w:val="21"/>
              </w:rPr>
            </w:pPr>
            <w:r>
              <w:rPr>
                <w:rFonts w:ascii="Cambria"/>
                <w:spacing w:val="-5"/>
                <w:sz w:val="21"/>
              </w:rPr>
              <w:t>16</w:t>
            </w:r>
          </w:p>
        </w:tc>
        <w:tc>
          <w:tcPr>
            <w:tcW w:w="930" w:type="dxa"/>
          </w:tcPr>
          <w:p>
            <w:pPr>
              <w:pStyle w:val="TableParagraph"/>
              <w:spacing w:line="246" w:lineRule="exact"/>
              <w:ind w:left="107"/>
              <w:rPr>
                <w:rFonts w:ascii="Cambria"/>
                <w:sz w:val="21"/>
              </w:rPr>
            </w:pPr>
            <w:r>
              <w:rPr>
                <w:rFonts w:ascii="Cambria"/>
                <w:spacing w:val="-5"/>
                <w:sz w:val="21"/>
              </w:rPr>
              <w:t>100</w:t>
            </w:r>
          </w:p>
        </w:tc>
      </w:tr>
      <w:tr>
        <w:trPr>
          <w:trHeight w:val="291" w:hRule="atLeast"/>
        </w:trPr>
        <w:tc>
          <w:tcPr>
            <w:tcW w:w="7388"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9"/>
                <w:sz w:val="21"/>
              </w:rPr>
              <w:t> </w:t>
            </w:r>
            <w:r>
              <w:rPr>
                <w:rFonts w:ascii="Cambria" w:hAnsi="Cambria"/>
                <w:sz w:val="21"/>
              </w:rPr>
              <w:t>i</w:t>
            </w:r>
            <w:r>
              <w:rPr>
                <w:rFonts w:ascii="Cambria" w:hAnsi="Cambria"/>
                <w:spacing w:val="-6"/>
                <w:sz w:val="21"/>
              </w:rPr>
              <w:t> </w:t>
            </w:r>
            <w:r>
              <w:rPr>
                <w:rFonts w:ascii="Cambria" w:hAnsi="Cambria"/>
                <w:sz w:val="21"/>
              </w:rPr>
              <w:t>objekteve</w:t>
            </w:r>
            <w:r>
              <w:rPr>
                <w:rFonts w:ascii="Cambria" w:hAnsi="Cambria"/>
                <w:spacing w:val="-6"/>
                <w:sz w:val="21"/>
              </w:rPr>
              <w:t> </w:t>
            </w:r>
            <w:r>
              <w:rPr>
                <w:rFonts w:ascii="Cambria" w:hAnsi="Cambria"/>
                <w:sz w:val="21"/>
              </w:rPr>
              <w:t>të</w:t>
            </w:r>
            <w:r>
              <w:rPr>
                <w:rFonts w:ascii="Cambria" w:hAnsi="Cambria"/>
                <w:spacing w:val="10"/>
                <w:sz w:val="21"/>
              </w:rPr>
              <w:t> </w:t>
            </w:r>
            <w:r>
              <w:rPr>
                <w:rFonts w:ascii="Cambria" w:hAnsi="Cambria"/>
                <w:sz w:val="21"/>
              </w:rPr>
              <w:t>institucioneve</w:t>
            </w:r>
            <w:r>
              <w:rPr>
                <w:rFonts w:ascii="Cambria" w:hAnsi="Cambria"/>
                <w:spacing w:val="-5"/>
                <w:sz w:val="21"/>
              </w:rPr>
              <w:t> </w:t>
            </w:r>
            <w:r>
              <w:rPr>
                <w:rFonts w:ascii="Cambria" w:hAnsi="Cambria"/>
                <w:sz w:val="21"/>
              </w:rPr>
              <w:t>të</w:t>
            </w:r>
            <w:r>
              <w:rPr>
                <w:rFonts w:ascii="Cambria" w:hAnsi="Cambria"/>
                <w:spacing w:val="10"/>
                <w:sz w:val="21"/>
              </w:rPr>
              <w:t> </w:t>
            </w:r>
            <w:r>
              <w:rPr>
                <w:rFonts w:ascii="Cambria" w:hAnsi="Cambria"/>
                <w:sz w:val="21"/>
              </w:rPr>
              <w:t>përfshira</w:t>
            </w:r>
            <w:r>
              <w:rPr>
                <w:rFonts w:ascii="Cambria" w:hAnsi="Cambria"/>
                <w:spacing w:val="-6"/>
                <w:sz w:val="21"/>
              </w:rPr>
              <w:t> </w:t>
            </w:r>
            <w:r>
              <w:rPr>
                <w:rFonts w:ascii="Cambria" w:hAnsi="Cambria"/>
                <w:sz w:val="21"/>
              </w:rPr>
              <w:t>me</w:t>
            </w:r>
            <w:r>
              <w:rPr>
                <w:rFonts w:ascii="Cambria" w:hAnsi="Cambria"/>
                <w:spacing w:val="-6"/>
                <w:sz w:val="21"/>
              </w:rPr>
              <w:t> </w:t>
            </w:r>
            <w:r>
              <w:rPr>
                <w:rFonts w:ascii="Cambria" w:hAnsi="Cambria"/>
                <w:sz w:val="21"/>
              </w:rPr>
              <w:t>shërbimin</w:t>
            </w:r>
            <w:r>
              <w:rPr>
                <w:rFonts w:ascii="Cambria" w:hAnsi="Cambria"/>
                <w:spacing w:val="-6"/>
                <w:sz w:val="21"/>
              </w:rPr>
              <w:t> </w:t>
            </w:r>
            <w:r>
              <w:rPr>
                <w:rFonts w:ascii="Cambria" w:hAnsi="Cambria"/>
                <w:sz w:val="21"/>
              </w:rPr>
              <w:t>e</w:t>
            </w:r>
            <w:r>
              <w:rPr>
                <w:rFonts w:ascii="Cambria" w:hAnsi="Cambria"/>
                <w:spacing w:val="-3"/>
                <w:sz w:val="21"/>
              </w:rPr>
              <w:t> </w:t>
            </w:r>
            <w:r>
              <w:rPr>
                <w:rFonts w:ascii="Cambria" w:hAnsi="Cambria"/>
                <w:spacing w:val="-2"/>
                <w:sz w:val="21"/>
              </w:rPr>
              <w:t>ujësjellësit</w:t>
            </w:r>
          </w:p>
        </w:tc>
        <w:tc>
          <w:tcPr>
            <w:tcW w:w="1080" w:type="dxa"/>
          </w:tcPr>
          <w:p>
            <w:pPr>
              <w:pStyle w:val="TableParagraph"/>
              <w:spacing w:line="246" w:lineRule="exact"/>
              <w:ind w:left="107"/>
              <w:rPr>
                <w:rFonts w:ascii="Cambria"/>
                <w:sz w:val="21"/>
              </w:rPr>
            </w:pPr>
            <w:r>
              <w:rPr>
                <w:rFonts w:ascii="Cambria"/>
                <w:spacing w:val="-5"/>
                <w:sz w:val="21"/>
              </w:rPr>
              <w:t>16</w:t>
            </w:r>
          </w:p>
        </w:tc>
        <w:tc>
          <w:tcPr>
            <w:tcW w:w="930" w:type="dxa"/>
          </w:tcPr>
          <w:p>
            <w:pPr>
              <w:pStyle w:val="TableParagraph"/>
              <w:spacing w:line="246" w:lineRule="exact"/>
              <w:ind w:left="107"/>
              <w:rPr>
                <w:rFonts w:ascii="Cambria"/>
                <w:sz w:val="21"/>
              </w:rPr>
            </w:pPr>
            <w:r>
              <w:rPr>
                <w:rFonts w:ascii="Cambria"/>
                <w:spacing w:val="-5"/>
                <w:sz w:val="21"/>
              </w:rPr>
              <w:t>100</w:t>
            </w:r>
          </w:p>
        </w:tc>
      </w:tr>
      <w:tr>
        <w:trPr>
          <w:trHeight w:val="292" w:hRule="atLeast"/>
        </w:trPr>
        <w:tc>
          <w:tcPr>
            <w:tcW w:w="7388" w:type="dxa"/>
          </w:tcPr>
          <w:p>
            <w:pPr>
              <w:pStyle w:val="TableParagraph"/>
              <w:ind w:left="109"/>
              <w:rPr>
                <w:rFonts w:ascii="Cambria" w:hAnsi="Cambria"/>
                <w:sz w:val="21"/>
              </w:rPr>
            </w:pPr>
            <w:r>
              <w:rPr>
                <w:rFonts w:ascii="Cambria" w:hAnsi="Cambria"/>
                <w:sz w:val="21"/>
              </w:rPr>
              <w:t>Numri</w:t>
            </w:r>
            <w:r>
              <w:rPr>
                <w:rFonts w:ascii="Cambria" w:hAnsi="Cambria"/>
                <w:spacing w:val="-7"/>
                <w:sz w:val="21"/>
              </w:rPr>
              <w:t> </w:t>
            </w:r>
            <w:r>
              <w:rPr>
                <w:rFonts w:ascii="Cambria" w:hAnsi="Cambria"/>
                <w:sz w:val="21"/>
              </w:rPr>
              <w:t>i</w:t>
            </w:r>
            <w:r>
              <w:rPr>
                <w:rFonts w:ascii="Cambria" w:hAnsi="Cambria"/>
                <w:spacing w:val="-5"/>
                <w:sz w:val="21"/>
              </w:rPr>
              <w:t> </w:t>
            </w:r>
            <w:r>
              <w:rPr>
                <w:rFonts w:ascii="Cambria" w:hAnsi="Cambria"/>
                <w:sz w:val="21"/>
              </w:rPr>
              <w:t>bizneseve</w:t>
            </w:r>
            <w:r>
              <w:rPr>
                <w:rFonts w:ascii="Cambria" w:hAnsi="Cambria"/>
                <w:spacing w:val="-6"/>
                <w:sz w:val="21"/>
              </w:rPr>
              <w:t> </w:t>
            </w:r>
            <w:r>
              <w:rPr>
                <w:rFonts w:ascii="Cambria" w:hAnsi="Cambria"/>
                <w:sz w:val="21"/>
              </w:rPr>
              <w:t>aktive</w:t>
            </w:r>
            <w:r>
              <w:rPr>
                <w:rFonts w:ascii="Cambria" w:hAnsi="Cambria"/>
                <w:spacing w:val="-6"/>
                <w:sz w:val="21"/>
              </w:rPr>
              <w:t> </w:t>
            </w:r>
            <w:r>
              <w:rPr>
                <w:rFonts w:ascii="Cambria" w:hAnsi="Cambria"/>
                <w:sz w:val="21"/>
              </w:rPr>
              <w:t>në</w:t>
            </w:r>
            <w:r>
              <w:rPr>
                <w:rFonts w:ascii="Cambria" w:hAnsi="Cambria"/>
                <w:spacing w:val="11"/>
                <w:sz w:val="21"/>
              </w:rPr>
              <w:t> </w:t>
            </w:r>
            <w:r>
              <w:rPr>
                <w:rFonts w:ascii="Cambria" w:hAnsi="Cambria"/>
                <w:spacing w:val="-2"/>
                <w:sz w:val="21"/>
              </w:rPr>
              <w:t>komunë</w:t>
            </w:r>
          </w:p>
        </w:tc>
        <w:tc>
          <w:tcPr>
            <w:tcW w:w="1080" w:type="dxa"/>
          </w:tcPr>
          <w:p>
            <w:pPr>
              <w:pStyle w:val="TableParagraph"/>
              <w:ind w:left="107"/>
              <w:rPr>
                <w:rFonts w:ascii="Cambria"/>
                <w:sz w:val="21"/>
              </w:rPr>
            </w:pPr>
            <w:r>
              <w:rPr>
                <w:rFonts w:ascii="Cambria"/>
                <w:spacing w:val="-5"/>
                <w:sz w:val="21"/>
              </w:rPr>
              <w:t>352</w:t>
            </w:r>
          </w:p>
        </w:tc>
        <w:tc>
          <w:tcPr>
            <w:tcW w:w="930" w:type="dxa"/>
          </w:tcPr>
          <w:p>
            <w:pPr>
              <w:pStyle w:val="TableParagraph"/>
              <w:ind w:left="107"/>
              <w:rPr>
                <w:rFonts w:ascii="Cambria"/>
                <w:sz w:val="21"/>
              </w:rPr>
            </w:pPr>
            <w:r>
              <w:rPr>
                <w:rFonts w:ascii="Cambria"/>
                <w:spacing w:val="-5"/>
                <w:sz w:val="21"/>
              </w:rPr>
              <w:t>100</w:t>
            </w:r>
          </w:p>
        </w:tc>
      </w:tr>
      <w:tr>
        <w:trPr>
          <w:trHeight w:val="292" w:hRule="atLeast"/>
        </w:trPr>
        <w:tc>
          <w:tcPr>
            <w:tcW w:w="7388"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7"/>
                <w:sz w:val="21"/>
              </w:rPr>
              <w:t> </w:t>
            </w:r>
            <w:r>
              <w:rPr>
                <w:rFonts w:ascii="Cambria" w:hAnsi="Cambria"/>
                <w:sz w:val="21"/>
              </w:rPr>
              <w:t>i</w:t>
            </w:r>
            <w:r>
              <w:rPr>
                <w:rFonts w:ascii="Cambria" w:hAnsi="Cambria"/>
                <w:spacing w:val="-4"/>
                <w:sz w:val="21"/>
              </w:rPr>
              <w:t> </w:t>
            </w:r>
            <w:r>
              <w:rPr>
                <w:rFonts w:ascii="Cambria" w:hAnsi="Cambria"/>
                <w:sz w:val="21"/>
              </w:rPr>
              <w:t>bizneseve</w:t>
            </w:r>
            <w:r>
              <w:rPr>
                <w:rFonts w:ascii="Cambria" w:hAnsi="Cambria"/>
                <w:spacing w:val="-5"/>
                <w:sz w:val="21"/>
              </w:rPr>
              <w:t> </w:t>
            </w:r>
            <w:r>
              <w:rPr>
                <w:rFonts w:ascii="Cambria" w:hAnsi="Cambria"/>
                <w:sz w:val="21"/>
              </w:rPr>
              <w:t>të</w:t>
            </w:r>
            <w:r>
              <w:rPr>
                <w:rFonts w:ascii="Cambria" w:hAnsi="Cambria"/>
                <w:spacing w:val="13"/>
                <w:sz w:val="21"/>
              </w:rPr>
              <w:t> </w:t>
            </w:r>
            <w:r>
              <w:rPr>
                <w:rFonts w:ascii="Cambria" w:hAnsi="Cambria"/>
                <w:sz w:val="21"/>
              </w:rPr>
              <w:t>përfshira</w:t>
            </w:r>
            <w:r>
              <w:rPr>
                <w:rFonts w:ascii="Cambria" w:hAnsi="Cambria"/>
                <w:spacing w:val="-3"/>
                <w:sz w:val="21"/>
              </w:rPr>
              <w:t> </w:t>
            </w:r>
            <w:r>
              <w:rPr>
                <w:rFonts w:ascii="Cambria" w:hAnsi="Cambria"/>
                <w:sz w:val="21"/>
              </w:rPr>
              <w:t>me</w:t>
            </w:r>
            <w:r>
              <w:rPr>
                <w:rFonts w:ascii="Cambria" w:hAnsi="Cambria"/>
                <w:spacing w:val="-5"/>
                <w:sz w:val="21"/>
              </w:rPr>
              <w:t> </w:t>
            </w:r>
            <w:r>
              <w:rPr>
                <w:rFonts w:ascii="Cambria" w:hAnsi="Cambria"/>
                <w:sz w:val="21"/>
              </w:rPr>
              <w:t>shërbimin</w:t>
            </w:r>
            <w:r>
              <w:rPr>
                <w:rFonts w:ascii="Cambria" w:hAnsi="Cambria"/>
                <w:spacing w:val="-4"/>
                <w:sz w:val="21"/>
              </w:rPr>
              <w:t> </w:t>
            </w:r>
            <w:r>
              <w:rPr>
                <w:rFonts w:ascii="Cambria" w:hAnsi="Cambria"/>
                <w:sz w:val="21"/>
              </w:rPr>
              <w:t>e</w:t>
            </w:r>
            <w:r>
              <w:rPr>
                <w:rFonts w:ascii="Cambria" w:hAnsi="Cambria"/>
                <w:spacing w:val="-4"/>
                <w:sz w:val="21"/>
              </w:rPr>
              <w:t> </w:t>
            </w:r>
            <w:r>
              <w:rPr>
                <w:rFonts w:ascii="Cambria" w:hAnsi="Cambria"/>
                <w:spacing w:val="-2"/>
                <w:sz w:val="21"/>
              </w:rPr>
              <w:t>ujësjellësit</w:t>
            </w:r>
          </w:p>
        </w:tc>
        <w:tc>
          <w:tcPr>
            <w:tcW w:w="1080" w:type="dxa"/>
          </w:tcPr>
          <w:p>
            <w:pPr>
              <w:pStyle w:val="TableParagraph"/>
              <w:spacing w:line="246" w:lineRule="exact"/>
              <w:ind w:left="107"/>
              <w:rPr>
                <w:rFonts w:ascii="Cambria"/>
                <w:sz w:val="21"/>
              </w:rPr>
            </w:pPr>
            <w:r>
              <w:rPr>
                <w:rFonts w:ascii="Cambria"/>
                <w:spacing w:val="-5"/>
                <w:sz w:val="21"/>
              </w:rPr>
              <w:t>230</w:t>
            </w:r>
          </w:p>
        </w:tc>
        <w:tc>
          <w:tcPr>
            <w:tcW w:w="930" w:type="dxa"/>
          </w:tcPr>
          <w:p>
            <w:pPr>
              <w:pStyle w:val="TableParagraph"/>
              <w:spacing w:line="246" w:lineRule="exact"/>
              <w:ind w:left="107"/>
              <w:rPr>
                <w:rFonts w:ascii="Cambria"/>
                <w:sz w:val="21"/>
              </w:rPr>
            </w:pPr>
            <w:r>
              <w:rPr>
                <w:rFonts w:ascii="Cambria"/>
                <w:spacing w:val="-4"/>
                <w:sz w:val="21"/>
              </w:rPr>
              <w:t>65.3</w:t>
            </w:r>
          </w:p>
        </w:tc>
      </w:tr>
    </w:tbl>
    <w:p>
      <w:pPr>
        <w:spacing w:before="3"/>
        <w:ind w:left="2834" w:right="0" w:firstLine="0"/>
        <w:jc w:val="left"/>
        <w:rPr>
          <w:sz w:val="24"/>
        </w:rPr>
      </w:pPr>
      <w:r>
        <w:rPr>
          <w:b/>
          <w:sz w:val="24"/>
        </w:rPr>
        <w:t>Tabela</w:t>
      </w:r>
      <w:r>
        <w:rPr>
          <w:b/>
          <w:spacing w:val="-8"/>
          <w:sz w:val="24"/>
        </w:rPr>
        <w:t> </w:t>
      </w:r>
      <w:r>
        <w:rPr>
          <w:b/>
          <w:sz w:val="24"/>
        </w:rPr>
        <w:t>17:</w:t>
      </w:r>
      <w:r>
        <w:rPr>
          <w:b/>
          <w:spacing w:val="-8"/>
          <w:sz w:val="24"/>
        </w:rPr>
        <w:t> </w:t>
      </w:r>
      <w:r>
        <w:rPr>
          <w:sz w:val="24"/>
        </w:rPr>
        <w:t>Mbulushmëria</w:t>
      </w:r>
      <w:r>
        <w:rPr>
          <w:spacing w:val="-7"/>
          <w:sz w:val="24"/>
        </w:rPr>
        <w:t> </w:t>
      </w:r>
      <w:r>
        <w:rPr>
          <w:sz w:val="24"/>
        </w:rPr>
        <w:t>me</w:t>
      </w:r>
      <w:r>
        <w:rPr>
          <w:spacing w:val="-9"/>
          <w:sz w:val="24"/>
        </w:rPr>
        <w:t> </w:t>
      </w:r>
      <w:r>
        <w:rPr>
          <w:sz w:val="24"/>
        </w:rPr>
        <w:t>shërbimin</w:t>
      </w:r>
      <w:r>
        <w:rPr>
          <w:spacing w:val="-7"/>
          <w:sz w:val="24"/>
        </w:rPr>
        <w:t> </w:t>
      </w:r>
      <w:r>
        <w:rPr>
          <w:sz w:val="24"/>
        </w:rPr>
        <w:t>e</w:t>
      </w:r>
      <w:r>
        <w:rPr>
          <w:spacing w:val="-8"/>
          <w:sz w:val="24"/>
        </w:rPr>
        <w:t> </w:t>
      </w:r>
      <w:r>
        <w:rPr>
          <w:spacing w:val="-2"/>
          <w:sz w:val="24"/>
        </w:rPr>
        <w:t>ujësjellësit</w:t>
      </w:r>
    </w:p>
    <w:p>
      <w:pPr>
        <w:pStyle w:val="BodyText"/>
        <w:spacing w:before="2"/>
        <w:rPr>
          <w:sz w:val="22"/>
        </w:rPr>
      </w:pPr>
    </w:p>
    <w:p>
      <w:pPr>
        <w:pStyle w:val="BodyText"/>
        <w:spacing w:line="288" w:lineRule="auto"/>
        <w:ind w:left="740" w:right="1438"/>
        <w:jc w:val="both"/>
      </w:pPr>
      <w:r>
        <w:rPr/>
        <w:t>Problemet kryesore me të cilat përballen banorët e Hanit të Elezit sa i përket furnizimit me ujë janë: mirëmbajtja jo e mirë dhe e rregullt e sistemeve</w:t>
      </w:r>
      <w:r>
        <w:rPr/>
        <w:t> të</w:t>
      </w:r>
      <w:r>
        <w:rPr/>
        <w:t> ujësjellësve,</w:t>
      </w:r>
      <w:r>
        <w:rPr/>
        <w:t> keqpërdorimet</w:t>
      </w:r>
      <w:r>
        <w:rPr/>
        <w:t> e</w:t>
      </w:r>
      <w:r>
        <w:rPr/>
        <w:t> ujit, mungesa e ujit gjatë sezonës së verës, mungesa e matësve të ujit, prishjet e shpeshta të pompave të ujit dhe mungesa e furnizimit të rregullt me ujë të pijshëm në disa lokalitete.</w:t>
      </w:r>
    </w:p>
    <w:p>
      <w:pPr>
        <w:pStyle w:val="BodyText"/>
        <w:spacing w:line="288" w:lineRule="auto" w:before="200"/>
        <w:ind w:left="740" w:right="1438"/>
        <w:jc w:val="both"/>
      </w:pPr>
      <w:r>
        <w:rPr/>
        <w:t>Në rrjetin e ujësjellësit që mbulohet nga Glloboqica qytetarët kryejnë obligimet ndaj kompanisë por</w:t>
      </w:r>
      <w:r>
        <w:rPr>
          <w:spacing w:val="-9"/>
        </w:rPr>
        <w:t> </w:t>
      </w:r>
      <w:r>
        <w:rPr/>
        <w:t>një</w:t>
      </w:r>
      <w:r>
        <w:rPr>
          <w:spacing w:val="-9"/>
        </w:rPr>
        <w:t> </w:t>
      </w:r>
      <w:r>
        <w:rPr/>
        <w:t>pjesë</w:t>
      </w:r>
      <w:r>
        <w:rPr>
          <w:spacing w:val="-11"/>
        </w:rPr>
        <w:t> </w:t>
      </w:r>
      <w:r>
        <w:rPr/>
        <w:t>janë</w:t>
      </w:r>
      <w:r>
        <w:rPr>
          <w:spacing w:val="-9"/>
        </w:rPr>
        <w:t> </w:t>
      </w:r>
      <w:r>
        <w:rPr/>
        <w:t>të</w:t>
      </w:r>
      <w:r>
        <w:rPr>
          <w:spacing w:val="-9"/>
        </w:rPr>
        <w:t> </w:t>
      </w:r>
      <w:r>
        <w:rPr/>
        <w:t>pa</w:t>
      </w:r>
      <w:r>
        <w:rPr>
          <w:spacing w:val="-9"/>
        </w:rPr>
        <w:t> </w:t>
      </w:r>
      <w:r>
        <w:rPr/>
        <w:t>kujdesshëm</w:t>
      </w:r>
      <w:r>
        <w:rPr>
          <w:spacing w:val="-9"/>
        </w:rPr>
        <w:t> </w:t>
      </w:r>
      <w:r>
        <w:rPr/>
        <w:t>dhe</w:t>
      </w:r>
      <w:r>
        <w:rPr>
          <w:spacing w:val="-9"/>
        </w:rPr>
        <w:t> </w:t>
      </w:r>
      <w:r>
        <w:rPr/>
        <w:t>nuk</w:t>
      </w:r>
      <w:r>
        <w:rPr>
          <w:spacing w:val="-10"/>
        </w:rPr>
        <w:t> </w:t>
      </w:r>
      <w:r>
        <w:rPr/>
        <w:t>i</w:t>
      </w:r>
      <w:r>
        <w:rPr>
          <w:spacing w:val="-9"/>
        </w:rPr>
        <w:t> </w:t>
      </w:r>
      <w:r>
        <w:rPr/>
        <w:t>kryejnë</w:t>
      </w:r>
      <w:r>
        <w:rPr>
          <w:spacing w:val="-9"/>
        </w:rPr>
        <w:t> </w:t>
      </w:r>
      <w:r>
        <w:rPr/>
        <w:t>obligimet.</w:t>
      </w:r>
      <w:r>
        <w:rPr>
          <w:spacing w:val="-9"/>
        </w:rPr>
        <w:t> </w:t>
      </w:r>
      <w:r>
        <w:rPr/>
        <w:t>Problem</w:t>
      </w:r>
      <w:r>
        <w:rPr>
          <w:spacing w:val="-9"/>
        </w:rPr>
        <w:t> </w:t>
      </w:r>
      <w:r>
        <w:rPr/>
        <w:t>tjetër</w:t>
      </w:r>
      <w:r>
        <w:rPr>
          <w:spacing w:val="-10"/>
        </w:rPr>
        <w:t> </w:t>
      </w:r>
      <w:r>
        <w:rPr/>
        <w:t>është</w:t>
      </w:r>
      <w:r>
        <w:rPr>
          <w:spacing w:val="-10"/>
        </w:rPr>
        <w:t> </w:t>
      </w:r>
      <w:r>
        <w:rPr/>
        <w:t>humbja</w:t>
      </w:r>
      <w:r>
        <w:rPr>
          <w:spacing w:val="-9"/>
        </w:rPr>
        <w:t> </w:t>
      </w:r>
      <w:r>
        <w:rPr/>
        <w:t>e</w:t>
      </w:r>
      <w:r>
        <w:rPr>
          <w:spacing w:val="-9"/>
        </w:rPr>
        <w:t> </w:t>
      </w:r>
      <w:r>
        <w:rPr/>
        <w:t>ujit në rrjetin e ujësjellësit për shkak se në këtë rrjet ka kyçje ilegale.</w:t>
      </w:r>
    </w:p>
    <w:p>
      <w:pPr>
        <w:pStyle w:val="BodyText"/>
        <w:spacing w:line="288" w:lineRule="auto" w:before="200"/>
        <w:ind w:left="740" w:right="1438"/>
        <w:jc w:val="both"/>
      </w:pPr>
      <w:r>
        <w:rPr/>
        <w:t>Në pjesën e rrjetit të ujësjellësit i cili furnizohet nga prrocka e Dimcës uji është jo i pijshëm për arsye se uji nuk përpunohet. Uji turbullohet dhe është i papërshtatshëm për pijë sidomos gjatë reshjeve</w:t>
      </w:r>
      <w:r>
        <w:rPr>
          <w:spacing w:val="-14"/>
        </w:rPr>
        <w:t> </w:t>
      </w:r>
      <w:r>
        <w:rPr/>
        <w:t>atmosferike</w:t>
      </w:r>
      <w:r>
        <w:rPr>
          <w:spacing w:val="-13"/>
        </w:rPr>
        <w:t> </w:t>
      </w:r>
      <w:r>
        <w:rPr/>
        <w:t>dhe</w:t>
      </w:r>
      <w:r>
        <w:rPr>
          <w:spacing w:val="-14"/>
        </w:rPr>
        <w:t> </w:t>
      </w:r>
      <w:r>
        <w:rPr/>
        <w:t>gjatë</w:t>
      </w:r>
      <w:r>
        <w:rPr>
          <w:spacing w:val="-13"/>
        </w:rPr>
        <w:t> </w:t>
      </w:r>
      <w:r>
        <w:rPr/>
        <w:t>sezonës</w:t>
      </w:r>
      <w:r>
        <w:rPr>
          <w:spacing w:val="-14"/>
        </w:rPr>
        <w:t> </w:t>
      </w:r>
      <w:r>
        <w:rPr/>
        <w:t>dimrit.</w:t>
      </w:r>
      <w:r>
        <w:rPr>
          <w:spacing w:val="-14"/>
        </w:rPr>
        <w:t> </w:t>
      </w:r>
      <w:r>
        <w:rPr/>
        <w:t>Për</w:t>
      </w:r>
      <w:r>
        <w:rPr>
          <w:spacing w:val="-15"/>
        </w:rPr>
        <w:t> </w:t>
      </w:r>
      <w:r>
        <w:rPr/>
        <w:t>shkak</w:t>
      </w:r>
      <w:r>
        <w:rPr>
          <w:spacing w:val="-14"/>
        </w:rPr>
        <w:t> </w:t>
      </w:r>
      <w:r>
        <w:rPr/>
        <w:t>të</w:t>
      </w:r>
      <w:r>
        <w:rPr>
          <w:spacing w:val="-11"/>
        </w:rPr>
        <w:t> </w:t>
      </w:r>
      <w:r>
        <w:rPr/>
        <w:t>problemeve</w:t>
      </w:r>
      <w:r>
        <w:rPr>
          <w:spacing w:val="-15"/>
        </w:rPr>
        <w:t> </w:t>
      </w:r>
      <w:r>
        <w:rPr/>
        <w:t>ligjore</w:t>
      </w:r>
      <w:r>
        <w:rPr>
          <w:spacing w:val="-14"/>
        </w:rPr>
        <w:t> </w:t>
      </w:r>
      <w:r>
        <w:rPr/>
        <w:t>ende</w:t>
      </w:r>
      <w:r>
        <w:rPr>
          <w:spacing w:val="-14"/>
        </w:rPr>
        <w:t> </w:t>
      </w:r>
      <w:r>
        <w:rPr/>
        <w:t>nuk</w:t>
      </w:r>
      <w:r>
        <w:rPr>
          <w:spacing w:val="-15"/>
        </w:rPr>
        <w:t> </w:t>
      </w:r>
      <w:r>
        <w:rPr/>
        <w:t>ka</w:t>
      </w:r>
      <w:r>
        <w:rPr>
          <w:spacing w:val="-14"/>
        </w:rPr>
        <w:t> </w:t>
      </w:r>
      <w:r>
        <w:rPr/>
        <w:t>fabrikë për</w:t>
      </w:r>
      <w:r>
        <w:rPr>
          <w:spacing w:val="-14"/>
        </w:rPr>
        <w:t> </w:t>
      </w:r>
      <w:r>
        <w:rPr/>
        <w:t>përpunimin</w:t>
      </w:r>
      <w:r>
        <w:rPr>
          <w:spacing w:val="-13"/>
        </w:rPr>
        <w:t> </w:t>
      </w:r>
      <w:r>
        <w:rPr/>
        <w:t>e</w:t>
      </w:r>
      <w:r>
        <w:rPr>
          <w:spacing w:val="-13"/>
        </w:rPr>
        <w:t> </w:t>
      </w:r>
      <w:r>
        <w:rPr/>
        <w:t>ujit</w:t>
      </w:r>
      <w:r>
        <w:rPr>
          <w:spacing w:val="-13"/>
        </w:rPr>
        <w:t> </w:t>
      </w:r>
      <w:r>
        <w:rPr/>
        <w:t>që</w:t>
      </w:r>
      <w:r>
        <w:rPr>
          <w:spacing w:val="-15"/>
        </w:rPr>
        <w:t> </w:t>
      </w:r>
      <w:r>
        <w:rPr/>
        <w:t>nga</w:t>
      </w:r>
      <w:r>
        <w:rPr>
          <w:spacing w:val="-13"/>
        </w:rPr>
        <w:t> </w:t>
      </w:r>
      <w:r>
        <w:rPr/>
        <w:t>viti</w:t>
      </w:r>
      <w:r>
        <w:rPr>
          <w:spacing w:val="-14"/>
        </w:rPr>
        <w:t> </w:t>
      </w:r>
      <w:r>
        <w:rPr/>
        <w:t>2010.</w:t>
      </w:r>
      <w:r>
        <w:rPr>
          <w:spacing w:val="-14"/>
        </w:rPr>
        <w:t> </w:t>
      </w:r>
      <w:r>
        <w:rPr/>
        <w:t>Komuna</w:t>
      </w:r>
      <w:r>
        <w:rPr>
          <w:spacing w:val="-13"/>
        </w:rPr>
        <w:t> </w:t>
      </w:r>
      <w:r>
        <w:rPr/>
        <w:t>nuk</w:t>
      </w:r>
      <w:r>
        <w:rPr>
          <w:spacing w:val="-14"/>
        </w:rPr>
        <w:t> </w:t>
      </w:r>
      <w:r>
        <w:rPr/>
        <w:t>ka</w:t>
      </w:r>
      <w:r>
        <w:rPr>
          <w:spacing w:val="-13"/>
        </w:rPr>
        <w:t> </w:t>
      </w:r>
      <w:r>
        <w:rPr/>
        <w:t>kompetenca</w:t>
      </w:r>
      <w:r>
        <w:rPr>
          <w:spacing w:val="-15"/>
        </w:rPr>
        <w:t> </w:t>
      </w:r>
      <w:r>
        <w:rPr/>
        <w:t>ligjore</w:t>
      </w:r>
      <w:r>
        <w:rPr>
          <w:spacing w:val="-13"/>
        </w:rPr>
        <w:t> </w:t>
      </w:r>
      <w:r>
        <w:rPr/>
        <w:t>për</w:t>
      </w:r>
      <w:r>
        <w:rPr>
          <w:spacing w:val="-14"/>
        </w:rPr>
        <w:t> </w:t>
      </w:r>
      <w:r>
        <w:rPr/>
        <w:t>menaxhimin</w:t>
      </w:r>
      <w:r>
        <w:rPr>
          <w:spacing w:val="-13"/>
        </w:rPr>
        <w:t> </w:t>
      </w:r>
      <w:r>
        <w:rPr/>
        <w:t>e</w:t>
      </w:r>
      <w:r>
        <w:rPr>
          <w:spacing w:val="-13"/>
        </w:rPr>
        <w:t> </w:t>
      </w:r>
      <w:r>
        <w:rPr>
          <w:spacing w:val="-2"/>
        </w:rPr>
        <w:t>këtij</w:t>
      </w:r>
    </w:p>
    <w:p>
      <w:pPr>
        <w:spacing w:after="0" w:line="288" w:lineRule="auto"/>
        <w:jc w:val="both"/>
        <w:sectPr>
          <w:pgSz w:w="12240" w:h="15840"/>
          <w:pgMar w:header="0" w:footer="990" w:top="1420" w:bottom="1180" w:left="700" w:right="0"/>
        </w:sectPr>
      </w:pPr>
    </w:p>
    <w:p>
      <w:pPr>
        <w:pStyle w:val="BodyText"/>
        <w:spacing w:line="288" w:lineRule="auto" w:before="60"/>
        <w:ind w:left="740" w:right="1439"/>
        <w:jc w:val="both"/>
      </w:pPr>
      <w:r>
        <w:rPr/>
        <w:t>problemi</w:t>
      </w:r>
      <w:r>
        <w:rPr>
          <w:spacing w:val="-10"/>
        </w:rPr>
        <w:t> </w:t>
      </w:r>
      <w:r>
        <w:rPr/>
        <w:t>ndërsa</w:t>
      </w:r>
      <w:r>
        <w:rPr>
          <w:spacing w:val="-10"/>
        </w:rPr>
        <w:t> </w:t>
      </w:r>
      <w:r>
        <w:rPr/>
        <w:t>KRU</w:t>
      </w:r>
      <w:r>
        <w:rPr>
          <w:spacing w:val="-11"/>
        </w:rPr>
        <w:t> </w:t>
      </w:r>
      <w:r>
        <w:rPr/>
        <w:t>Bifrukacioni</w:t>
      </w:r>
      <w:r>
        <w:rPr>
          <w:spacing w:val="-11"/>
        </w:rPr>
        <w:t> </w:t>
      </w:r>
      <w:r>
        <w:rPr/>
        <w:t>edhe</w:t>
      </w:r>
      <w:r>
        <w:rPr>
          <w:spacing w:val="-10"/>
        </w:rPr>
        <w:t> </w:t>
      </w:r>
      <w:r>
        <w:rPr/>
        <w:t>pse</w:t>
      </w:r>
      <w:r>
        <w:rPr>
          <w:spacing w:val="-10"/>
        </w:rPr>
        <w:t> </w:t>
      </w:r>
      <w:r>
        <w:rPr/>
        <w:t>ka</w:t>
      </w:r>
      <w:r>
        <w:rPr>
          <w:spacing w:val="-12"/>
        </w:rPr>
        <w:t> </w:t>
      </w:r>
      <w:r>
        <w:rPr/>
        <w:t>qenë</w:t>
      </w:r>
      <w:r>
        <w:rPr>
          <w:spacing w:val="-10"/>
        </w:rPr>
        <w:t> </w:t>
      </w:r>
      <w:r>
        <w:rPr/>
        <w:t>nënshkruese</w:t>
      </w:r>
      <w:r>
        <w:rPr>
          <w:spacing w:val="-11"/>
        </w:rPr>
        <w:t> </w:t>
      </w:r>
      <w:r>
        <w:rPr/>
        <w:t>e</w:t>
      </w:r>
      <w:r>
        <w:rPr>
          <w:spacing w:val="-12"/>
        </w:rPr>
        <w:t> </w:t>
      </w:r>
      <w:r>
        <w:rPr/>
        <w:t>marrëveshjes</w:t>
      </w:r>
      <w:r>
        <w:rPr>
          <w:spacing w:val="-12"/>
        </w:rPr>
        <w:t> </w:t>
      </w:r>
      <w:r>
        <w:rPr/>
        <w:t>për</w:t>
      </w:r>
      <w:r>
        <w:rPr>
          <w:spacing w:val="-11"/>
        </w:rPr>
        <w:t> </w:t>
      </w:r>
      <w:r>
        <w:rPr/>
        <w:t>menaxhimin e</w:t>
      </w:r>
      <w:r>
        <w:rPr>
          <w:spacing w:val="-12"/>
        </w:rPr>
        <w:t> </w:t>
      </w:r>
      <w:r>
        <w:rPr/>
        <w:t>kësaj</w:t>
      </w:r>
      <w:r>
        <w:rPr>
          <w:spacing w:val="-12"/>
        </w:rPr>
        <w:t> </w:t>
      </w:r>
      <w:r>
        <w:rPr/>
        <w:t>fabrike</w:t>
      </w:r>
      <w:r>
        <w:rPr>
          <w:spacing w:val="-12"/>
        </w:rPr>
        <w:t> </w:t>
      </w:r>
      <w:r>
        <w:rPr/>
        <w:t>si</w:t>
      </w:r>
      <w:r>
        <w:rPr>
          <w:spacing w:val="-11"/>
        </w:rPr>
        <w:t> </w:t>
      </w:r>
      <w:r>
        <w:rPr/>
        <w:t>dhe</w:t>
      </w:r>
      <w:r>
        <w:rPr>
          <w:spacing w:val="-12"/>
        </w:rPr>
        <w:t> </w:t>
      </w:r>
      <w:r>
        <w:rPr/>
        <w:t>rrjetit</w:t>
      </w:r>
      <w:r>
        <w:rPr>
          <w:spacing w:val="-13"/>
        </w:rPr>
        <w:t> </w:t>
      </w:r>
      <w:r>
        <w:rPr/>
        <w:t>të</w:t>
      </w:r>
      <w:r>
        <w:rPr>
          <w:spacing w:val="-11"/>
        </w:rPr>
        <w:t> </w:t>
      </w:r>
      <w:r>
        <w:rPr/>
        <w:t>ujësjellësit</w:t>
      </w:r>
      <w:r>
        <w:rPr>
          <w:spacing w:val="-12"/>
        </w:rPr>
        <w:t> </w:t>
      </w:r>
      <w:r>
        <w:rPr/>
        <w:t>kjo</w:t>
      </w:r>
      <w:r>
        <w:rPr>
          <w:spacing w:val="-12"/>
        </w:rPr>
        <w:t> </w:t>
      </w:r>
      <w:r>
        <w:rPr/>
        <w:t>e</w:t>
      </w:r>
      <w:r>
        <w:rPr>
          <w:spacing w:val="-12"/>
        </w:rPr>
        <w:t> </w:t>
      </w:r>
      <w:r>
        <w:rPr/>
        <w:t>fundit</w:t>
      </w:r>
      <w:r>
        <w:rPr>
          <w:spacing w:val="38"/>
        </w:rPr>
        <w:t> </w:t>
      </w:r>
      <w:r>
        <w:rPr/>
        <w:t>nuk</w:t>
      </w:r>
      <w:r>
        <w:rPr>
          <w:spacing w:val="-12"/>
        </w:rPr>
        <w:t> </w:t>
      </w:r>
      <w:r>
        <w:rPr/>
        <w:t>i</w:t>
      </w:r>
      <w:r>
        <w:rPr>
          <w:spacing w:val="-12"/>
        </w:rPr>
        <w:t> </w:t>
      </w:r>
      <w:r>
        <w:rPr/>
        <w:t>ka</w:t>
      </w:r>
      <w:r>
        <w:rPr>
          <w:spacing w:val="-13"/>
        </w:rPr>
        <w:t> </w:t>
      </w:r>
      <w:r>
        <w:rPr/>
        <w:t>marra</w:t>
      </w:r>
      <w:r>
        <w:rPr>
          <w:spacing w:val="-13"/>
        </w:rPr>
        <w:t> </w:t>
      </w:r>
      <w:r>
        <w:rPr/>
        <w:t>obligimet,</w:t>
      </w:r>
      <w:r>
        <w:rPr>
          <w:spacing w:val="-12"/>
        </w:rPr>
        <w:t> </w:t>
      </w:r>
      <w:r>
        <w:rPr/>
        <w:t>kështu</w:t>
      </w:r>
      <w:r>
        <w:rPr>
          <w:spacing w:val="-13"/>
        </w:rPr>
        <w:t> </w:t>
      </w:r>
      <w:r>
        <w:rPr/>
        <w:t>që</w:t>
      </w:r>
      <w:r>
        <w:rPr>
          <w:spacing w:val="-12"/>
        </w:rPr>
        <w:t> </w:t>
      </w:r>
      <w:r>
        <w:rPr/>
        <w:t>kjo</w:t>
      </w:r>
      <w:r>
        <w:rPr>
          <w:spacing w:val="-12"/>
        </w:rPr>
        <w:t> </w:t>
      </w:r>
      <w:r>
        <w:rPr/>
        <w:t>pjesë e ujësjellësit që 11 vite mirëmbahet nga organet komunale.</w:t>
      </w:r>
    </w:p>
    <w:p>
      <w:pPr>
        <w:pStyle w:val="BodyText"/>
        <w:spacing w:line="288" w:lineRule="auto" w:before="201"/>
        <w:ind w:left="740" w:right="1438"/>
        <w:jc w:val="both"/>
      </w:pPr>
      <w:r>
        <w:rPr/>
        <w:t>Komuna ka në plan që bashkëpunim me zyrën zvicerane CDI, dhe KRU Bifurkacioni të realizoj projektin për</w:t>
      </w:r>
      <w:r>
        <w:rPr>
          <w:spacing w:val="40"/>
        </w:rPr>
        <w:t> </w:t>
      </w:r>
      <w:r>
        <w:rPr/>
        <w:t>funksionalizimin e fabrikës, rehabilitimin e një pjese të rrjetit të ujësjellësit, vendosjen</w:t>
      </w:r>
      <w:r>
        <w:rPr>
          <w:spacing w:val="40"/>
        </w:rPr>
        <w:t> </w:t>
      </w:r>
      <w:r>
        <w:rPr/>
        <w:t>e ujëmatësve. Menaxhimin i këtij rrjeti të ujësjellësit pritet të kalojë në kompetenca nga KRU Bifurkacioni. Vendbanimet të cilat nuk kanë rrjet të ujësjellësit janë: Paldenicë, Krivenik,Dimcë,</w:t>
      </w:r>
      <w:r>
        <w:rPr>
          <w:spacing w:val="22"/>
        </w:rPr>
        <w:t> </w:t>
      </w:r>
      <w:r>
        <w:rPr/>
        <w:t>ndërsa</w:t>
      </w:r>
      <w:r>
        <w:rPr>
          <w:spacing w:val="-15"/>
        </w:rPr>
        <w:t> </w:t>
      </w:r>
      <w:r>
        <w:rPr/>
        <w:t>për</w:t>
      </w:r>
      <w:r>
        <w:rPr>
          <w:spacing w:val="-15"/>
        </w:rPr>
        <w:t> </w:t>
      </w:r>
      <w:r>
        <w:rPr/>
        <w:t>arsye</w:t>
      </w:r>
      <w:r>
        <w:rPr>
          <w:spacing w:val="-15"/>
        </w:rPr>
        <w:t> </w:t>
      </w:r>
      <w:r>
        <w:rPr/>
        <w:t>të</w:t>
      </w:r>
      <w:r>
        <w:rPr>
          <w:spacing w:val="-15"/>
        </w:rPr>
        <w:t> </w:t>
      </w:r>
      <w:r>
        <w:rPr/>
        <w:t>numrit</w:t>
      </w:r>
      <w:r>
        <w:rPr>
          <w:spacing w:val="-15"/>
        </w:rPr>
        <w:t> </w:t>
      </w:r>
      <w:r>
        <w:rPr/>
        <w:t>të</w:t>
      </w:r>
      <w:r>
        <w:rPr>
          <w:spacing w:val="-15"/>
        </w:rPr>
        <w:t> </w:t>
      </w:r>
      <w:r>
        <w:rPr/>
        <w:t>vogël</w:t>
      </w:r>
      <w:r>
        <w:rPr>
          <w:spacing w:val="-15"/>
        </w:rPr>
        <w:t> </w:t>
      </w:r>
      <w:r>
        <w:rPr/>
        <w:t>në</w:t>
      </w:r>
      <w:r>
        <w:rPr>
          <w:spacing w:val="-15"/>
        </w:rPr>
        <w:t> </w:t>
      </w:r>
      <w:r>
        <w:rPr/>
        <w:t>vendbanimet</w:t>
      </w:r>
      <w:r>
        <w:rPr>
          <w:spacing w:val="-15"/>
        </w:rPr>
        <w:t> </w:t>
      </w:r>
      <w:r>
        <w:rPr/>
        <w:t>Dërmjak,</w:t>
      </w:r>
      <w:r>
        <w:rPr>
          <w:spacing w:val="-15"/>
        </w:rPr>
        <w:t> </w:t>
      </w:r>
      <w:r>
        <w:rPr/>
        <w:t>Neqavc,</w:t>
      </w:r>
      <w:r>
        <w:rPr>
          <w:spacing w:val="-15"/>
        </w:rPr>
        <w:t> </w:t>
      </w:r>
      <w:r>
        <w:rPr/>
        <w:t>Vërtomicë dhe Pustenik banorët bëjnë zgjidhej individuale.</w:t>
      </w:r>
    </w:p>
    <w:p>
      <w:pPr>
        <w:pStyle w:val="BodyText"/>
        <w:spacing w:line="288" w:lineRule="auto" w:before="199"/>
        <w:ind w:left="740" w:right="1436"/>
        <w:jc w:val="both"/>
      </w:pPr>
      <w:r>
        <w:rPr/>
        <w:t>Cilësia</w:t>
      </w:r>
      <w:r>
        <w:rPr>
          <w:spacing w:val="-1"/>
        </w:rPr>
        <w:t> </w:t>
      </w:r>
      <w:r>
        <w:rPr/>
        <w:t>e ujit</w:t>
      </w:r>
      <w:r>
        <w:rPr>
          <w:spacing w:val="-1"/>
        </w:rPr>
        <w:t> </w:t>
      </w:r>
      <w:r>
        <w:rPr/>
        <w:t>të pijes i referohet karakteristikave mikrobiologjike dhe fiziko-kimike. Cilësia e ujit të pijshëm është një</w:t>
      </w:r>
      <w:r>
        <w:rPr>
          <w:spacing w:val="-1"/>
        </w:rPr>
        <w:t> </w:t>
      </w:r>
      <w:r>
        <w:rPr/>
        <w:t>tregues i</w:t>
      </w:r>
      <w:r>
        <w:rPr>
          <w:spacing w:val="-1"/>
        </w:rPr>
        <w:t> </w:t>
      </w:r>
      <w:r>
        <w:rPr/>
        <w:t>rëndësishëm për mirëqenien dhe shëndetin</w:t>
      </w:r>
      <w:r>
        <w:rPr>
          <w:spacing w:val="-1"/>
        </w:rPr>
        <w:t> </w:t>
      </w:r>
      <w:r>
        <w:rPr/>
        <w:t>e popullsisë.</w:t>
      </w:r>
      <w:r>
        <w:rPr>
          <w:spacing w:val="-1"/>
        </w:rPr>
        <w:t> </w:t>
      </w:r>
      <w:r>
        <w:rPr/>
        <w:t>Udhëzimin Administrativ Nr. 16/2012, dhe Udhëzimin Administrativ Nr.15/2017, janë aktet nënligjore që e rregullojë mbrojtën e ujërave të pijshëm.</w:t>
      </w:r>
      <w:r>
        <w:rPr>
          <w:spacing w:val="80"/>
        </w:rPr>
        <w:t> </w:t>
      </w:r>
      <w:r>
        <w:rPr/>
        <w:t>Sa i përket përgjegjësive institucionale Kompanitë Regjionale të Ujësjellësit (KRU)</w:t>
      </w:r>
      <w:r>
        <w:rPr/>
        <w:t> kanë</w:t>
      </w:r>
      <w:r>
        <w:rPr/>
        <w:t> përgjegjësinë</w:t>
      </w:r>
      <w:r>
        <w:rPr/>
        <w:t> për</w:t>
      </w:r>
      <w:r>
        <w:rPr/>
        <w:t> të</w:t>
      </w:r>
      <w:r>
        <w:rPr/>
        <w:t> furnizuar</w:t>
      </w:r>
      <w:r>
        <w:rPr/>
        <w:t> me</w:t>
      </w:r>
      <w:r>
        <w:rPr/>
        <w:t> ujë</w:t>
      </w:r>
      <w:r>
        <w:rPr/>
        <w:t> cilësor për konsumatorët e tyre, ato gjithashtu kanë obligim për të bërë monitorimin/testimin intern të kualitetit</w:t>
      </w:r>
      <w:r>
        <w:rPr>
          <w:spacing w:val="-14"/>
        </w:rPr>
        <w:t> </w:t>
      </w:r>
      <w:r>
        <w:rPr/>
        <w:t>të</w:t>
      </w:r>
      <w:r>
        <w:rPr>
          <w:spacing w:val="-14"/>
        </w:rPr>
        <w:t> </w:t>
      </w:r>
      <w:r>
        <w:rPr/>
        <w:t>ujit.</w:t>
      </w:r>
      <w:r>
        <w:rPr>
          <w:spacing w:val="35"/>
        </w:rPr>
        <w:t> </w:t>
      </w:r>
      <w:r>
        <w:rPr/>
        <w:t>Instituti</w:t>
      </w:r>
      <w:r>
        <w:rPr>
          <w:spacing w:val="-13"/>
        </w:rPr>
        <w:t> </w:t>
      </w:r>
      <w:r>
        <w:rPr/>
        <w:t>Kombëtarë</w:t>
      </w:r>
      <w:r>
        <w:rPr>
          <w:spacing w:val="-15"/>
        </w:rPr>
        <w:t> </w:t>
      </w:r>
      <w:r>
        <w:rPr/>
        <w:t>i</w:t>
      </w:r>
      <w:r>
        <w:rPr>
          <w:spacing w:val="-13"/>
        </w:rPr>
        <w:t> </w:t>
      </w:r>
      <w:r>
        <w:rPr/>
        <w:t>Shëndetit</w:t>
      </w:r>
      <w:r>
        <w:rPr>
          <w:spacing w:val="-13"/>
        </w:rPr>
        <w:t> </w:t>
      </w:r>
      <w:r>
        <w:rPr/>
        <w:t>Publik</w:t>
      </w:r>
      <w:r>
        <w:rPr>
          <w:spacing w:val="-13"/>
        </w:rPr>
        <w:t> </w:t>
      </w:r>
      <w:r>
        <w:rPr/>
        <w:t>(IKSHPK),</w:t>
      </w:r>
      <w:r>
        <w:rPr>
          <w:spacing w:val="-13"/>
        </w:rPr>
        <w:t> </w:t>
      </w:r>
      <w:r>
        <w:rPr/>
        <w:t>është</w:t>
      </w:r>
      <w:r>
        <w:rPr>
          <w:spacing w:val="-13"/>
        </w:rPr>
        <w:t> </w:t>
      </w:r>
      <w:r>
        <w:rPr/>
        <w:t>institucion</w:t>
      </w:r>
      <w:r>
        <w:rPr>
          <w:spacing w:val="-12"/>
        </w:rPr>
        <w:t> </w:t>
      </w:r>
      <w:r>
        <w:rPr/>
        <w:t>përgjegjës</w:t>
      </w:r>
      <w:r>
        <w:rPr>
          <w:spacing w:val="-13"/>
        </w:rPr>
        <w:t> </w:t>
      </w:r>
      <w:r>
        <w:rPr/>
        <w:t>për kontrollin</w:t>
      </w:r>
      <w:r>
        <w:rPr>
          <w:spacing w:val="-6"/>
        </w:rPr>
        <w:t> </w:t>
      </w:r>
      <w:r>
        <w:rPr/>
        <w:t>dhe</w:t>
      </w:r>
      <w:r>
        <w:rPr>
          <w:spacing w:val="-6"/>
        </w:rPr>
        <w:t> </w:t>
      </w:r>
      <w:r>
        <w:rPr/>
        <w:t>monitorimin</w:t>
      </w:r>
      <w:r>
        <w:rPr>
          <w:spacing w:val="-6"/>
        </w:rPr>
        <w:t> </w:t>
      </w:r>
      <w:r>
        <w:rPr/>
        <w:t>e</w:t>
      </w:r>
      <w:r>
        <w:rPr>
          <w:spacing w:val="-6"/>
        </w:rPr>
        <w:t> </w:t>
      </w:r>
      <w:r>
        <w:rPr/>
        <w:t>ujërave</w:t>
      </w:r>
      <w:r>
        <w:rPr>
          <w:spacing w:val="-6"/>
        </w:rPr>
        <w:t> </w:t>
      </w:r>
      <w:r>
        <w:rPr/>
        <w:t>të</w:t>
      </w:r>
      <w:r>
        <w:rPr>
          <w:spacing w:val="-5"/>
        </w:rPr>
        <w:t> </w:t>
      </w:r>
      <w:r>
        <w:rPr/>
        <w:t>pijshëm</w:t>
      </w:r>
      <w:r>
        <w:rPr>
          <w:spacing w:val="-7"/>
        </w:rPr>
        <w:t> </w:t>
      </w:r>
      <w:r>
        <w:rPr/>
        <w:t>në</w:t>
      </w:r>
      <w:r>
        <w:rPr>
          <w:spacing w:val="-6"/>
        </w:rPr>
        <w:t> </w:t>
      </w:r>
      <w:r>
        <w:rPr/>
        <w:t>tërë</w:t>
      </w:r>
      <w:r>
        <w:rPr>
          <w:spacing w:val="-7"/>
        </w:rPr>
        <w:t> </w:t>
      </w:r>
      <w:r>
        <w:rPr/>
        <w:t>territorin</w:t>
      </w:r>
      <w:r>
        <w:rPr>
          <w:spacing w:val="-6"/>
        </w:rPr>
        <w:t> </w:t>
      </w:r>
      <w:r>
        <w:rPr/>
        <w:t>e</w:t>
      </w:r>
      <w:r>
        <w:rPr>
          <w:spacing w:val="-6"/>
        </w:rPr>
        <w:t> </w:t>
      </w:r>
      <w:r>
        <w:rPr/>
        <w:t>vendit.</w:t>
      </w:r>
      <w:r>
        <w:rPr>
          <w:spacing w:val="-6"/>
        </w:rPr>
        <w:t> </w:t>
      </w:r>
      <w:r>
        <w:rPr/>
        <w:t>IKSHPK</w:t>
      </w:r>
      <w:r>
        <w:rPr>
          <w:spacing w:val="-6"/>
        </w:rPr>
        <w:t> </w:t>
      </w:r>
      <w:r>
        <w:rPr/>
        <w:t>ka</w:t>
      </w:r>
      <w:r>
        <w:rPr>
          <w:spacing w:val="-6"/>
        </w:rPr>
        <w:t> </w:t>
      </w:r>
      <w:r>
        <w:rPr/>
        <w:t>obligim</w:t>
      </w:r>
      <w:r>
        <w:rPr>
          <w:spacing w:val="-6"/>
        </w:rPr>
        <w:t> </w:t>
      </w:r>
      <w:r>
        <w:rPr/>
        <w:t>që të sigurojë që uji i distribuuar nga KRU</w:t>
      </w:r>
      <w:r>
        <w:rPr>
          <w:spacing w:val="-1"/>
        </w:rPr>
        <w:t> </w:t>
      </w:r>
      <w:r>
        <w:rPr/>
        <w:t>është në përputhje me vlerat sipas standardit</w:t>
      </w:r>
      <w:r>
        <w:rPr>
          <w:spacing w:val="-1"/>
        </w:rPr>
        <w:t> </w:t>
      </w:r>
      <w:r>
        <w:rPr/>
        <w:t>vendore për parametrat mikrobiologjik dhe fiziko-kimik.</w:t>
      </w:r>
    </w:p>
    <w:p>
      <w:pPr>
        <w:pStyle w:val="BodyText"/>
        <w:spacing w:line="288" w:lineRule="auto" w:before="201"/>
        <w:ind w:left="740" w:right="1440"/>
        <w:jc w:val="both"/>
      </w:pPr>
      <w:r>
        <w:rPr/>
        <w:t>Komuna e Hanit të Elezit, ndodhet në zonën e shërbimit të KRU Bifurkacioni. Sipas raporteve të </w:t>
      </w:r>
      <w:r>
        <w:rPr>
          <w:spacing w:val="-2"/>
        </w:rPr>
        <w:t>IKSHP,</w:t>
      </w:r>
      <w:r>
        <w:rPr>
          <w:spacing w:val="-7"/>
        </w:rPr>
        <w:t> </w:t>
      </w:r>
      <w:r>
        <w:rPr>
          <w:spacing w:val="-2"/>
        </w:rPr>
        <w:t>cilësia</w:t>
      </w:r>
      <w:r>
        <w:rPr>
          <w:spacing w:val="-6"/>
        </w:rPr>
        <w:t> </w:t>
      </w:r>
      <w:r>
        <w:rPr>
          <w:spacing w:val="-2"/>
        </w:rPr>
        <w:t>e</w:t>
      </w:r>
      <w:r>
        <w:rPr>
          <w:spacing w:val="-7"/>
        </w:rPr>
        <w:t> </w:t>
      </w:r>
      <w:r>
        <w:rPr>
          <w:spacing w:val="-2"/>
        </w:rPr>
        <w:t>ujit</w:t>
      </w:r>
      <w:r>
        <w:rPr>
          <w:spacing w:val="-7"/>
        </w:rPr>
        <w:t> </w:t>
      </w:r>
      <w:r>
        <w:rPr>
          <w:spacing w:val="-2"/>
        </w:rPr>
        <w:t>të</w:t>
      </w:r>
      <w:r>
        <w:rPr>
          <w:spacing w:val="-6"/>
        </w:rPr>
        <w:t> </w:t>
      </w:r>
      <w:r>
        <w:rPr>
          <w:spacing w:val="-2"/>
        </w:rPr>
        <w:t>pijes</w:t>
      </w:r>
      <w:r>
        <w:rPr>
          <w:spacing w:val="-6"/>
        </w:rPr>
        <w:t> </w:t>
      </w:r>
      <w:r>
        <w:rPr>
          <w:spacing w:val="-2"/>
        </w:rPr>
        <w:t>për</w:t>
      </w:r>
      <w:r>
        <w:rPr>
          <w:spacing w:val="-6"/>
        </w:rPr>
        <w:t> </w:t>
      </w:r>
      <w:r>
        <w:rPr>
          <w:spacing w:val="-2"/>
        </w:rPr>
        <w:t>zonën</w:t>
      </w:r>
      <w:r>
        <w:rPr>
          <w:spacing w:val="-7"/>
        </w:rPr>
        <w:t> </w:t>
      </w:r>
      <w:r>
        <w:rPr>
          <w:spacing w:val="-2"/>
        </w:rPr>
        <w:t>e</w:t>
      </w:r>
      <w:r>
        <w:rPr>
          <w:spacing w:val="-7"/>
        </w:rPr>
        <w:t> </w:t>
      </w:r>
      <w:r>
        <w:rPr>
          <w:spacing w:val="-2"/>
        </w:rPr>
        <w:t>KRU</w:t>
      </w:r>
      <w:r>
        <w:rPr>
          <w:spacing w:val="-7"/>
        </w:rPr>
        <w:t> </w:t>
      </w:r>
      <w:r>
        <w:rPr>
          <w:spacing w:val="-2"/>
        </w:rPr>
        <w:t>Bifurkacioni,</w:t>
      </w:r>
      <w:r>
        <w:rPr>
          <w:spacing w:val="-6"/>
        </w:rPr>
        <w:t> </w:t>
      </w:r>
      <w:r>
        <w:rPr>
          <w:spacing w:val="-2"/>
        </w:rPr>
        <w:t>sa</w:t>
      </w:r>
      <w:r>
        <w:rPr>
          <w:spacing w:val="-8"/>
        </w:rPr>
        <w:t> </w:t>
      </w:r>
      <w:r>
        <w:rPr>
          <w:spacing w:val="-2"/>
        </w:rPr>
        <w:t>i</w:t>
      </w:r>
      <w:r>
        <w:rPr>
          <w:spacing w:val="-6"/>
        </w:rPr>
        <w:t> </w:t>
      </w:r>
      <w:r>
        <w:rPr>
          <w:spacing w:val="-2"/>
        </w:rPr>
        <w:t>përket</w:t>
      </w:r>
      <w:r>
        <w:rPr>
          <w:spacing w:val="-6"/>
        </w:rPr>
        <w:t> </w:t>
      </w:r>
      <w:r>
        <w:rPr>
          <w:spacing w:val="-2"/>
        </w:rPr>
        <w:t>parametrave</w:t>
      </w:r>
      <w:r>
        <w:rPr>
          <w:spacing w:val="-8"/>
        </w:rPr>
        <w:t> </w:t>
      </w:r>
      <w:r>
        <w:rPr>
          <w:spacing w:val="-2"/>
        </w:rPr>
        <w:t>mikrobiologjik </w:t>
      </w:r>
      <w:r>
        <w:rPr/>
        <w:t>ka</w:t>
      </w:r>
      <w:r>
        <w:rPr>
          <w:spacing w:val="-1"/>
        </w:rPr>
        <w:t> </w:t>
      </w:r>
      <w:r>
        <w:rPr/>
        <w:t>përputhshmëri</w:t>
      </w:r>
      <w:r>
        <w:rPr>
          <w:spacing w:val="-1"/>
        </w:rPr>
        <w:t> </w:t>
      </w:r>
      <w:r>
        <w:rPr/>
        <w:t>me standardet</w:t>
      </w:r>
      <w:r>
        <w:rPr>
          <w:spacing w:val="58"/>
        </w:rPr>
        <w:t> </w:t>
      </w:r>
      <w:r>
        <w:rPr/>
        <w:t>98.6%,</w:t>
      </w:r>
      <w:r>
        <w:rPr>
          <w:spacing w:val="-1"/>
        </w:rPr>
        <w:t> </w:t>
      </w:r>
      <w:r>
        <w:rPr/>
        <w:t>ndërkaq</w:t>
      </w:r>
      <w:r>
        <w:rPr>
          <w:spacing w:val="-1"/>
        </w:rPr>
        <w:t> </w:t>
      </w:r>
      <w:r>
        <w:rPr/>
        <w:t>përputhshmëria</w:t>
      </w:r>
      <w:r>
        <w:rPr>
          <w:spacing w:val="2"/>
        </w:rPr>
        <w:t> </w:t>
      </w:r>
      <w:r>
        <w:rPr/>
        <w:t>me parametrat</w:t>
      </w:r>
      <w:r>
        <w:rPr>
          <w:spacing w:val="-1"/>
        </w:rPr>
        <w:t> </w:t>
      </w:r>
      <w:r>
        <w:rPr/>
        <w:t>kimik është</w:t>
      </w:r>
      <w:r>
        <w:rPr>
          <w:spacing w:val="-2"/>
        </w:rPr>
        <w:t> </w:t>
      </w:r>
      <w:r>
        <w:rPr>
          <w:spacing w:val="-4"/>
        </w:rPr>
        <w:t>96.7</w:t>
      </w:r>
    </w:p>
    <w:p>
      <w:pPr>
        <w:pStyle w:val="BodyText"/>
        <w:spacing w:line="288" w:lineRule="auto"/>
        <w:ind w:left="740" w:right="1438"/>
        <w:jc w:val="both"/>
      </w:pPr>
      <w:r>
        <w:rPr/>
        <w:t>%</w:t>
      </w:r>
      <w:r>
        <w:rPr>
          <w:vertAlign w:val="superscript"/>
        </w:rPr>
        <w:t>13</w:t>
      </w:r>
      <w:r>
        <w:rPr>
          <w:vertAlign w:val="baseline"/>
        </w:rPr>
        <w:t>. Rezultate pak a shumë të ngjashme për cilësinë e ujit të pijes në zonën e shërbimit të KRU Bifurkacioni, raportohen edhe sipas Raportit të performancës së KRU-ve për vitin 2019, ku sa i përket parametrave mikrobiologjik përputhshmëria është 95.5%, ndërkaq përputhshmëria me parametrat kimik është 92.1%</w:t>
      </w:r>
      <w:r>
        <w:rPr>
          <w:vertAlign w:val="superscript"/>
        </w:rPr>
        <w:t>14</w:t>
      </w:r>
      <w:r>
        <w:rPr>
          <w:vertAlign w:val="baseline"/>
        </w:rPr>
        <w:t>.</w:t>
      </w:r>
    </w:p>
    <w:p>
      <w:pPr>
        <w:pStyle w:val="BodyText"/>
        <w:rPr>
          <w:sz w:val="20"/>
        </w:rPr>
      </w:pPr>
    </w:p>
    <w:p>
      <w:pPr>
        <w:pStyle w:val="BodyText"/>
        <w:rPr>
          <w:sz w:val="20"/>
        </w:rPr>
      </w:pPr>
    </w:p>
    <w:p>
      <w:pPr>
        <w:pStyle w:val="BodyText"/>
        <w:spacing w:before="9"/>
        <w:rPr>
          <w:sz w:val="15"/>
        </w:rPr>
      </w:pPr>
    </w:p>
    <w:p>
      <w:pPr>
        <w:pStyle w:val="Heading2"/>
        <w:numPr>
          <w:ilvl w:val="1"/>
          <w:numId w:val="11"/>
        </w:numPr>
        <w:tabs>
          <w:tab w:pos="1160" w:val="left" w:leader="none"/>
          <w:tab w:pos="10131" w:val="left" w:leader="none"/>
        </w:tabs>
        <w:spacing w:line="240" w:lineRule="auto" w:before="90" w:after="0"/>
        <w:ind w:left="1160" w:right="0" w:hanging="450"/>
        <w:jc w:val="both"/>
        <w:rPr>
          <w:color w:val="FFFFFF"/>
        </w:rPr>
      </w:pPr>
      <w:r>
        <w:rPr>
          <w:color w:val="FFFFFF"/>
          <w:shd w:fill="EAB8A3" w:color="auto" w:val="clear"/>
        </w:rPr>
        <w:t>Mbulimi</w:t>
      </w:r>
      <w:r>
        <w:rPr>
          <w:color w:val="FFFFFF"/>
          <w:spacing w:val="-7"/>
          <w:shd w:fill="EAB8A3" w:color="auto" w:val="clear"/>
        </w:rPr>
        <w:t> </w:t>
      </w:r>
      <w:r>
        <w:rPr>
          <w:color w:val="FFFFFF"/>
          <w:shd w:fill="EAB8A3" w:color="auto" w:val="clear"/>
        </w:rPr>
        <w:t>me</w:t>
      </w:r>
      <w:r>
        <w:rPr>
          <w:color w:val="FFFFFF"/>
          <w:spacing w:val="-7"/>
          <w:shd w:fill="EAB8A3" w:color="auto" w:val="clear"/>
        </w:rPr>
        <w:t> </w:t>
      </w:r>
      <w:r>
        <w:rPr>
          <w:color w:val="FFFFFF"/>
          <w:shd w:fill="EAB8A3" w:color="auto" w:val="clear"/>
        </w:rPr>
        <w:t>shërbimin</w:t>
      </w:r>
      <w:r>
        <w:rPr>
          <w:color w:val="FFFFFF"/>
          <w:spacing w:val="-6"/>
          <w:shd w:fill="EAB8A3" w:color="auto" w:val="clear"/>
        </w:rPr>
        <w:t> </w:t>
      </w:r>
      <w:r>
        <w:rPr>
          <w:color w:val="FFFFFF"/>
          <w:shd w:fill="EAB8A3" w:color="auto" w:val="clear"/>
        </w:rPr>
        <w:t>e</w:t>
      </w:r>
      <w:r>
        <w:rPr>
          <w:color w:val="FFFFFF"/>
          <w:spacing w:val="-6"/>
          <w:shd w:fill="EAB8A3" w:color="auto" w:val="clear"/>
        </w:rPr>
        <w:t> </w:t>
      </w:r>
      <w:r>
        <w:rPr>
          <w:color w:val="FFFFFF"/>
          <w:spacing w:val="-2"/>
          <w:shd w:fill="EAB8A3" w:color="auto" w:val="clear"/>
        </w:rPr>
        <w:t>kanalizimit</w:t>
      </w:r>
      <w:r>
        <w:rPr>
          <w:color w:val="FFFFFF"/>
          <w:shd w:fill="EAB8A3" w:color="auto" w:val="clear"/>
        </w:rPr>
        <w:tab/>
      </w:r>
    </w:p>
    <w:p>
      <w:pPr>
        <w:pStyle w:val="BodyText"/>
        <w:spacing w:before="1"/>
        <w:rPr>
          <w:b/>
          <w:sz w:val="22"/>
        </w:rPr>
      </w:pPr>
    </w:p>
    <w:p>
      <w:pPr>
        <w:pStyle w:val="BodyText"/>
        <w:spacing w:line="288" w:lineRule="auto"/>
        <w:ind w:left="740" w:right="1437" w:firstLine="60"/>
        <w:jc w:val="both"/>
      </w:pPr>
      <w:r>
        <w:rPr/>
        <w:t>Në territorin e komunës së Hanit të Elezit</w:t>
      </w:r>
      <w:r>
        <w:rPr>
          <w:spacing w:val="40"/>
        </w:rPr>
        <w:t> </w:t>
      </w:r>
      <w:r>
        <w:rPr/>
        <w:t>nga 11 vendbanime në rrjetin e kanalizimit janë të përfshira:</w:t>
      </w:r>
      <w:r>
        <w:rPr>
          <w:spacing w:val="-1"/>
        </w:rPr>
        <w:t> </w:t>
      </w:r>
      <w:r>
        <w:rPr/>
        <w:t>zona</w:t>
      </w:r>
      <w:r>
        <w:rPr>
          <w:spacing w:val="-1"/>
        </w:rPr>
        <w:t> </w:t>
      </w:r>
      <w:r>
        <w:rPr/>
        <w:t>urbane –Hani</w:t>
      </w:r>
      <w:r>
        <w:rPr>
          <w:spacing w:val="-1"/>
        </w:rPr>
        <w:t> </w:t>
      </w:r>
      <w:r>
        <w:rPr/>
        <w:t>i</w:t>
      </w:r>
      <w:r>
        <w:rPr>
          <w:spacing w:val="-1"/>
        </w:rPr>
        <w:t> </w:t>
      </w:r>
      <w:r>
        <w:rPr/>
        <w:t>Elezit,</w:t>
      </w:r>
      <w:r>
        <w:rPr>
          <w:spacing w:val="-1"/>
        </w:rPr>
        <w:t> </w:t>
      </w:r>
      <w:r>
        <w:rPr/>
        <w:t>fshatrat</w:t>
      </w:r>
      <w:r>
        <w:rPr>
          <w:spacing w:val="-1"/>
        </w:rPr>
        <w:t> </w:t>
      </w:r>
      <w:r>
        <w:rPr/>
        <w:t>Paldenicë,</w:t>
      </w:r>
      <w:r>
        <w:rPr>
          <w:spacing w:val="-1"/>
        </w:rPr>
        <w:t> </w:t>
      </w:r>
      <w:r>
        <w:rPr/>
        <w:t>Seqishtë,</w:t>
      </w:r>
      <w:r>
        <w:rPr>
          <w:spacing w:val="-1"/>
        </w:rPr>
        <w:t> </w:t>
      </w:r>
      <w:r>
        <w:rPr/>
        <w:t>Gorancë,</w:t>
      </w:r>
      <w:r>
        <w:rPr>
          <w:spacing w:val="-1"/>
        </w:rPr>
        <w:t> </w:t>
      </w:r>
      <w:r>
        <w:rPr/>
        <w:t>Rezhancë,</w:t>
      </w:r>
      <w:r>
        <w:rPr>
          <w:spacing w:val="-1"/>
        </w:rPr>
        <w:t> </w:t>
      </w:r>
      <w:r>
        <w:rPr/>
        <w:t>Krivenik, dhe</w:t>
      </w:r>
      <w:r>
        <w:rPr>
          <w:spacing w:val="-14"/>
        </w:rPr>
        <w:t> </w:t>
      </w:r>
      <w:r>
        <w:rPr/>
        <w:t>lagjet</w:t>
      </w:r>
      <w:r>
        <w:rPr>
          <w:spacing w:val="-14"/>
        </w:rPr>
        <w:t> </w:t>
      </w:r>
      <w:r>
        <w:rPr/>
        <w:t>Meliq-Brav.</w:t>
      </w:r>
      <w:r>
        <w:rPr>
          <w:spacing w:val="-14"/>
        </w:rPr>
        <w:t> </w:t>
      </w:r>
      <w:r>
        <w:rPr/>
        <w:t>Një</w:t>
      </w:r>
      <w:r>
        <w:rPr>
          <w:spacing w:val="-14"/>
        </w:rPr>
        <w:t> </w:t>
      </w:r>
      <w:r>
        <w:rPr/>
        <w:t>pjesë</w:t>
      </w:r>
      <w:r>
        <w:rPr>
          <w:spacing w:val="-14"/>
        </w:rPr>
        <w:t> </w:t>
      </w:r>
      <w:r>
        <w:rPr/>
        <w:t>e</w:t>
      </w:r>
      <w:r>
        <w:rPr>
          <w:spacing w:val="-14"/>
        </w:rPr>
        <w:t> </w:t>
      </w:r>
      <w:r>
        <w:rPr/>
        <w:t>rrjetit</w:t>
      </w:r>
      <w:r>
        <w:rPr>
          <w:spacing w:val="-14"/>
        </w:rPr>
        <w:t> </w:t>
      </w:r>
      <w:r>
        <w:rPr/>
        <w:t>të</w:t>
      </w:r>
      <w:r>
        <w:rPr>
          <w:spacing w:val="-14"/>
        </w:rPr>
        <w:t> </w:t>
      </w:r>
      <w:r>
        <w:rPr/>
        <w:t>kanalizimeve</w:t>
      </w:r>
      <w:r>
        <w:rPr>
          <w:spacing w:val="-14"/>
        </w:rPr>
        <w:t> </w:t>
      </w:r>
      <w:r>
        <w:rPr/>
        <w:t>menaxhohet</w:t>
      </w:r>
      <w:r>
        <w:rPr>
          <w:spacing w:val="-14"/>
        </w:rPr>
        <w:t> </w:t>
      </w:r>
      <w:r>
        <w:rPr/>
        <w:t>nga</w:t>
      </w:r>
      <w:r>
        <w:rPr>
          <w:spacing w:val="-15"/>
        </w:rPr>
        <w:t> </w:t>
      </w:r>
      <w:r>
        <w:rPr/>
        <w:t>KRU</w:t>
      </w:r>
      <w:r>
        <w:rPr>
          <w:spacing w:val="-14"/>
        </w:rPr>
        <w:t> </w:t>
      </w:r>
      <w:r>
        <w:rPr/>
        <w:t>Bifurkacioni,</w:t>
      </w:r>
      <w:r>
        <w:rPr>
          <w:spacing w:val="-14"/>
        </w:rPr>
        <w:t> </w:t>
      </w:r>
      <w:r>
        <w:rPr/>
        <w:t>nën- njësia</w:t>
      </w:r>
      <w:r>
        <w:rPr>
          <w:spacing w:val="23"/>
        </w:rPr>
        <w:t> </w:t>
      </w:r>
      <w:r>
        <w:rPr/>
        <w:t>në</w:t>
      </w:r>
      <w:r>
        <w:rPr>
          <w:spacing w:val="24"/>
        </w:rPr>
        <w:t> </w:t>
      </w:r>
      <w:r>
        <w:rPr/>
        <w:t>Han</w:t>
      </w:r>
      <w:r>
        <w:rPr>
          <w:spacing w:val="24"/>
        </w:rPr>
        <w:t> </w:t>
      </w:r>
      <w:r>
        <w:rPr/>
        <w:t>të</w:t>
      </w:r>
      <w:r>
        <w:rPr>
          <w:spacing w:val="24"/>
        </w:rPr>
        <w:t> </w:t>
      </w:r>
      <w:r>
        <w:rPr/>
        <w:t>Elezit,</w:t>
      </w:r>
      <w:r>
        <w:rPr>
          <w:spacing w:val="23"/>
        </w:rPr>
        <w:t> </w:t>
      </w:r>
      <w:r>
        <w:rPr/>
        <w:t>ndërsa</w:t>
      </w:r>
      <w:r>
        <w:rPr>
          <w:spacing w:val="24"/>
        </w:rPr>
        <w:t> </w:t>
      </w:r>
      <w:r>
        <w:rPr/>
        <w:t>pjesa</w:t>
      </w:r>
      <w:r>
        <w:rPr>
          <w:spacing w:val="24"/>
        </w:rPr>
        <w:t> </w:t>
      </w:r>
      <w:r>
        <w:rPr/>
        <w:t>tjetër</w:t>
      </w:r>
      <w:r>
        <w:rPr>
          <w:spacing w:val="24"/>
        </w:rPr>
        <w:t> </w:t>
      </w:r>
      <w:r>
        <w:rPr/>
        <w:t>nga</w:t>
      </w:r>
      <w:r>
        <w:rPr>
          <w:spacing w:val="23"/>
        </w:rPr>
        <w:t> </w:t>
      </w:r>
      <w:r>
        <w:rPr/>
        <w:t>Drejtoria</w:t>
      </w:r>
      <w:r>
        <w:rPr>
          <w:spacing w:val="23"/>
        </w:rPr>
        <w:t> </w:t>
      </w:r>
      <w:r>
        <w:rPr/>
        <w:t>e</w:t>
      </w:r>
      <w:r>
        <w:rPr>
          <w:spacing w:val="21"/>
        </w:rPr>
        <w:t> </w:t>
      </w:r>
      <w:r>
        <w:rPr/>
        <w:t>Shërbimeve</w:t>
      </w:r>
      <w:r>
        <w:rPr>
          <w:spacing w:val="23"/>
        </w:rPr>
        <w:t> </w:t>
      </w:r>
      <w:r>
        <w:rPr/>
        <w:t>Publike</w:t>
      </w:r>
      <w:r>
        <w:rPr>
          <w:spacing w:val="23"/>
        </w:rPr>
        <w:t> </w:t>
      </w:r>
      <w:r>
        <w:rPr/>
        <w:t>të</w:t>
      </w:r>
      <w:r>
        <w:rPr>
          <w:spacing w:val="23"/>
        </w:rPr>
        <w:t> </w:t>
      </w:r>
      <w:r>
        <w:rPr/>
        <w:t>Komunës</w:t>
      </w:r>
      <w:r>
        <w:rPr>
          <w:spacing w:val="24"/>
        </w:rPr>
        <w:t> </w:t>
      </w:r>
      <w:r>
        <w:rPr>
          <w:spacing w:val="-5"/>
        </w:rPr>
        <w:t>së</w:t>
      </w:r>
    </w:p>
    <w:p>
      <w:pPr>
        <w:pStyle w:val="BodyText"/>
        <w:rPr>
          <w:sz w:val="20"/>
        </w:rPr>
      </w:pPr>
    </w:p>
    <w:p>
      <w:pPr>
        <w:pStyle w:val="BodyText"/>
        <w:spacing w:before="4"/>
        <w:rPr>
          <w:sz w:val="20"/>
        </w:rPr>
      </w:pPr>
      <w:r>
        <w:rPr/>
        <w:pict>
          <v:rect style="position:absolute;margin-left:72pt;margin-top:12.943126pt;width:144.020pt;height:.65997pt;mso-position-horizontal-relative:page;mso-position-vertical-relative:paragraph;z-index:-15697920;mso-wrap-distance-left:0;mso-wrap-distance-right:0" id="docshape281" filled="true" fillcolor="#000000" stroked="false">
            <v:fill type="solid"/>
            <w10:wrap type="topAndBottom"/>
          </v:rect>
        </w:pict>
      </w:r>
    </w:p>
    <w:p>
      <w:pPr>
        <w:spacing w:before="96"/>
        <w:ind w:left="740" w:right="0" w:firstLine="0"/>
        <w:jc w:val="left"/>
        <w:rPr>
          <w:rFonts w:ascii="Cambria" w:hAnsi="Cambria"/>
          <w:i/>
          <w:sz w:val="22"/>
        </w:rPr>
      </w:pPr>
      <w:r>
        <w:rPr>
          <w:rFonts w:ascii="Cambria" w:hAnsi="Cambria"/>
          <w:i/>
          <w:position w:val="5"/>
          <w:sz w:val="14"/>
        </w:rPr>
        <w:t>13</w:t>
      </w:r>
      <w:r>
        <w:rPr>
          <w:rFonts w:ascii="Cambria" w:hAnsi="Cambria"/>
          <w:i/>
          <w:spacing w:val="11"/>
          <w:position w:val="5"/>
          <w:sz w:val="14"/>
        </w:rPr>
        <w:t> </w:t>
      </w:r>
      <w:r>
        <w:rPr>
          <w:rFonts w:ascii="Cambria" w:hAnsi="Cambria"/>
          <w:i/>
          <w:sz w:val="22"/>
        </w:rPr>
        <w:t>Cilësia</w:t>
      </w:r>
      <w:r>
        <w:rPr>
          <w:rFonts w:ascii="Cambria" w:hAnsi="Cambria"/>
          <w:i/>
          <w:spacing w:val="-5"/>
          <w:sz w:val="22"/>
        </w:rPr>
        <w:t> </w:t>
      </w:r>
      <w:r>
        <w:rPr>
          <w:rFonts w:ascii="Cambria" w:hAnsi="Cambria"/>
          <w:i/>
          <w:sz w:val="22"/>
        </w:rPr>
        <w:t>e</w:t>
      </w:r>
      <w:r>
        <w:rPr>
          <w:rFonts w:ascii="Cambria" w:hAnsi="Cambria"/>
          <w:i/>
          <w:spacing w:val="-6"/>
          <w:sz w:val="22"/>
        </w:rPr>
        <w:t> </w:t>
      </w:r>
      <w:r>
        <w:rPr>
          <w:rFonts w:ascii="Cambria" w:hAnsi="Cambria"/>
          <w:i/>
          <w:sz w:val="22"/>
        </w:rPr>
        <w:t>ujit</w:t>
      </w:r>
      <w:r>
        <w:rPr>
          <w:rFonts w:ascii="Cambria" w:hAnsi="Cambria"/>
          <w:i/>
          <w:spacing w:val="-5"/>
          <w:sz w:val="22"/>
        </w:rPr>
        <w:t> </w:t>
      </w:r>
      <w:r>
        <w:rPr>
          <w:rFonts w:ascii="Cambria" w:hAnsi="Cambria"/>
          <w:i/>
          <w:sz w:val="22"/>
        </w:rPr>
        <w:t>të</w:t>
      </w:r>
      <w:r>
        <w:rPr>
          <w:rFonts w:ascii="Cambria" w:hAnsi="Cambria"/>
          <w:i/>
          <w:spacing w:val="-6"/>
          <w:sz w:val="22"/>
        </w:rPr>
        <w:t> </w:t>
      </w:r>
      <w:r>
        <w:rPr>
          <w:rFonts w:ascii="Cambria" w:hAnsi="Cambria"/>
          <w:i/>
          <w:sz w:val="22"/>
        </w:rPr>
        <w:t>pijshëm</w:t>
      </w:r>
      <w:r>
        <w:rPr>
          <w:rFonts w:ascii="Cambria" w:hAnsi="Cambria"/>
          <w:i/>
          <w:spacing w:val="-5"/>
          <w:sz w:val="22"/>
        </w:rPr>
        <w:t> </w:t>
      </w:r>
      <w:r>
        <w:rPr>
          <w:rFonts w:ascii="Cambria" w:hAnsi="Cambria"/>
          <w:i/>
          <w:sz w:val="22"/>
        </w:rPr>
        <w:t>në</w:t>
      </w:r>
      <w:r>
        <w:rPr>
          <w:rFonts w:ascii="Cambria" w:hAnsi="Cambria"/>
          <w:i/>
          <w:spacing w:val="-4"/>
          <w:sz w:val="22"/>
        </w:rPr>
        <w:t> </w:t>
      </w:r>
      <w:r>
        <w:rPr>
          <w:rFonts w:ascii="Cambria" w:hAnsi="Cambria"/>
          <w:i/>
          <w:sz w:val="22"/>
        </w:rPr>
        <w:t>Kosovë</w:t>
      </w:r>
      <w:r>
        <w:rPr>
          <w:rFonts w:ascii="Cambria" w:hAnsi="Cambria"/>
          <w:i/>
          <w:spacing w:val="-5"/>
          <w:sz w:val="22"/>
        </w:rPr>
        <w:t> </w:t>
      </w:r>
      <w:r>
        <w:rPr>
          <w:rFonts w:ascii="Cambria" w:hAnsi="Cambria"/>
          <w:i/>
          <w:sz w:val="22"/>
        </w:rPr>
        <w:t>2016,</w:t>
      </w:r>
      <w:r>
        <w:rPr>
          <w:rFonts w:ascii="Cambria" w:hAnsi="Cambria"/>
          <w:i/>
          <w:spacing w:val="-6"/>
          <w:sz w:val="22"/>
        </w:rPr>
        <w:t> </w:t>
      </w:r>
      <w:r>
        <w:rPr>
          <w:rFonts w:ascii="Cambria" w:hAnsi="Cambria"/>
          <w:i/>
          <w:spacing w:val="-2"/>
          <w:sz w:val="22"/>
        </w:rPr>
        <w:t>IKSHPK.</w:t>
      </w:r>
    </w:p>
    <w:p>
      <w:pPr>
        <w:spacing w:before="0"/>
        <w:ind w:left="740" w:right="0" w:firstLine="0"/>
        <w:jc w:val="left"/>
        <w:rPr>
          <w:rFonts w:ascii="Cambria" w:hAnsi="Cambria"/>
          <w:i/>
          <w:sz w:val="22"/>
        </w:rPr>
      </w:pPr>
      <w:r>
        <w:rPr>
          <w:rFonts w:ascii="Cambria" w:hAnsi="Cambria"/>
          <w:i/>
          <w:position w:val="5"/>
          <w:sz w:val="14"/>
        </w:rPr>
        <w:t>14</w:t>
      </w:r>
      <w:r>
        <w:rPr>
          <w:rFonts w:ascii="Cambria" w:hAnsi="Cambria"/>
          <w:i/>
          <w:spacing w:val="9"/>
          <w:position w:val="5"/>
          <w:sz w:val="14"/>
        </w:rPr>
        <w:t> </w:t>
      </w:r>
      <w:r>
        <w:rPr>
          <w:rFonts w:ascii="Cambria" w:hAnsi="Cambria"/>
          <w:i/>
          <w:sz w:val="22"/>
        </w:rPr>
        <w:t>Raporti</w:t>
      </w:r>
      <w:r>
        <w:rPr>
          <w:rFonts w:ascii="Cambria" w:hAnsi="Cambria"/>
          <w:i/>
          <w:spacing w:val="-6"/>
          <w:sz w:val="22"/>
        </w:rPr>
        <w:t> </w:t>
      </w:r>
      <w:r>
        <w:rPr>
          <w:rFonts w:ascii="Cambria" w:hAnsi="Cambria"/>
          <w:i/>
          <w:sz w:val="22"/>
        </w:rPr>
        <w:t>i</w:t>
      </w:r>
      <w:r>
        <w:rPr>
          <w:rFonts w:ascii="Cambria" w:hAnsi="Cambria"/>
          <w:i/>
          <w:spacing w:val="-8"/>
          <w:sz w:val="22"/>
        </w:rPr>
        <w:t> </w:t>
      </w:r>
      <w:r>
        <w:rPr>
          <w:rFonts w:ascii="Cambria" w:hAnsi="Cambria"/>
          <w:i/>
          <w:sz w:val="22"/>
        </w:rPr>
        <w:t>Performancës</w:t>
      </w:r>
      <w:r>
        <w:rPr>
          <w:rFonts w:ascii="Cambria" w:hAnsi="Cambria"/>
          <w:i/>
          <w:spacing w:val="-7"/>
          <w:sz w:val="22"/>
        </w:rPr>
        <w:t> </w:t>
      </w:r>
      <w:r>
        <w:rPr>
          <w:rFonts w:ascii="Cambria" w:hAnsi="Cambria"/>
          <w:i/>
          <w:sz w:val="22"/>
        </w:rPr>
        <w:t>së</w:t>
      </w:r>
      <w:r>
        <w:rPr>
          <w:rFonts w:ascii="Cambria" w:hAnsi="Cambria"/>
          <w:i/>
          <w:spacing w:val="-7"/>
          <w:sz w:val="22"/>
        </w:rPr>
        <w:t> </w:t>
      </w:r>
      <w:r>
        <w:rPr>
          <w:rFonts w:ascii="Cambria" w:hAnsi="Cambria"/>
          <w:i/>
          <w:sz w:val="22"/>
        </w:rPr>
        <w:t>KRU-2018,</w:t>
      </w:r>
      <w:r>
        <w:rPr>
          <w:rFonts w:ascii="Cambria" w:hAnsi="Cambria"/>
          <w:i/>
          <w:spacing w:val="-8"/>
          <w:sz w:val="22"/>
        </w:rPr>
        <w:t> </w:t>
      </w:r>
      <w:r>
        <w:rPr>
          <w:rFonts w:ascii="Cambria" w:hAnsi="Cambria"/>
          <w:i/>
          <w:spacing w:val="-2"/>
          <w:sz w:val="22"/>
        </w:rPr>
        <w:t>ARRU.</w:t>
      </w:r>
    </w:p>
    <w:p>
      <w:pPr>
        <w:spacing w:after="0"/>
        <w:jc w:val="left"/>
        <w:rPr>
          <w:rFonts w:ascii="Cambria" w:hAnsi="Cambria"/>
          <w:sz w:val="22"/>
        </w:rPr>
        <w:sectPr>
          <w:pgSz w:w="12240" w:h="15840"/>
          <w:pgMar w:header="0" w:footer="990" w:top="1380" w:bottom="1180" w:left="700" w:right="0"/>
        </w:sectPr>
      </w:pPr>
    </w:p>
    <w:p>
      <w:pPr>
        <w:pStyle w:val="BodyText"/>
        <w:spacing w:line="288" w:lineRule="auto" w:before="60"/>
        <w:ind w:left="740" w:right="1435"/>
      </w:pPr>
      <w:r>
        <w:rPr/>
        <w:t>Hanit të Elezit. Vendbanimet: Neqavc, Vërtomic dhe Pustenik nuk janë të përfshira në rrjetin e</w:t>
      </w:r>
      <w:r>
        <w:rPr>
          <w:spacing w:val="40"/>
        </w:rPr>
        <w:t> </w:t>
      </w:r>
      <w:r>
        <w:rPr>
          <w:spacing w:val="-2"/>
        </w:rPr>
        <w:t>kanalizimit</w:t>
      </w:r>
      <w:r>
        <w:rPr>
          <w:spacing w:val="-2"/>
          <w:vertAlign w:val="superscript"/>
        </w:rPr>
        <w:t>15</w:t>
      </w:r>
      <w:r>
        <w:rPr>
          <w:spacing w:val="-2"/>
          <w:vertAlign w:val="baseline"/>
        </w:rPr>
        <w:t>.</w:t>
      </w:r>
    </w:p>
    <w:p>
      <w:pPr>
        <w:pStyle w:val="BodyText"/>
        <w:rPr>
          <w:sz w:val="20"/>
        </w:rPr>
      </w:pPr>
    </w:p>
    <w:p>
      <w:pPr>
        <w:pStyle w:val="BodyText"/>
        <w:spacing w:before="9"/>
        <w:rPr>
          <w:sz w:val="18"/>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1"/>
        <w:gridCol w:w="3852"/>
        <w:gridCol w:w="3237"/>
      </w:tblGrid>
      <w:tr>
        <w:trPr>
          <w:trHeight w:val="335" w:hRule="atLeast"/>
        </w:trPr>
        <w:tc>
          <w:tcPr>
            <w:tcW w:w="2261" w:type="dxa"/>
            <w:shd w:val="clear" w:color="auto" w:fill="EAB8A3"/>
          </w:tcPr>
          <w:p>
            <w:pPr>
              <w:pStyle w:val="TableParagraph"/>
              <w:spacing w:line="246" w:lineRule="exact"/>
              <w:ind w:left="107"/>
              <w:rPr>
                <w:rFonts w:ascii="Cambria"/>
                <w:b/>
                <w:sz w:val="21"/>
              </w:rPr>
            </w:pPr>
            <w:r>
              <w:rPr>
                <w:rFonts w:ascii="Cambria"/>
                <w:b/>
                <w:sz w:val="21"/>
              </w:rPr>
              <w:t>Rrjeti i</w:t>
            </w:r>
            <w:r>
              <w:rPr>
                <w:rFonts w:ascii="Cambria"/>
                <w:b/>
                <w:spacing w:val="-2"/>
                <w:sz w:val="21"/>
              </w:rPr>
              <w:t> kanalizimit</w:t>
            </w:r>
          </w:p>
        </w:tc>
        <w:tc>
          <w:tcPr>
            <w:tcW w:w="3852" w:type="dxa"/>
            <w:shd w:val="clear" w:color="auto" w:fill="EAB8A3"/>
          </w:tcPr>
          <w:p>
            <w:pPr>
              <w:pStyle w:val="TableParagraph"/>
              <w:spacing w:line="246" w:lineRule="exact"/>
              <w:ind w:left="108"/>
              <w:rPr>
                <w:rFonts w:ascii="Cambria" w:hAnsi="Cambria"/>
                <w:b/>
                <w:sz w:val="21"/>
              </w:rPr>
            </w:pPr>
            <w:r>
              <w:rPr>
                <w:rFonts w:ascii="Cambria" w:hAnsi="Cambria"/>
                <w:b/>
                <w:sz w:val="21"/>
              </w:rPr>
              <w:t>Vendbanimet</w:t>
            </w:r>
            <w:r>
              <w:rPr>
                <w:rFonts w:ascii="Cambria" w:hAnsi="Cambria"/>
                <w:b/>
                <w:spacing w:val="-4"/>
                <w:sz w:val="21"/>
              </w:rPr>
              <w:t> </w:t>
            </w:r>
            <w:r>
              <w:rPr>
                <w:rFonts w:ascii="Cambria" w:hAnsi="Cambria"/>
                <w:b/>
                <w:sz w:val="21"/>
              </w:rPr>
              <w:t>e</w:t>
            </w:r>
            <w:r>
              <w:rPr>
                <w:rFonts w:ascii="Cambria" w:hAnsi="Cambria"/>
                <w:b/>
                <w:spacing w:val="-4"/>
                <w:sz w:val="21"/>
              </w:rPr>
              <w:t> </w:t>
            </w:r>
            <w:r>
              <w:rPr>
                <w:rFonts w:ascii="Cambria" w:hAnsi="Cambria"/>
                <w:b/>
                <w:spacing w:val="-2"/>
                <w:sz w:val="21"/>
              </w:rPr>
              <w:t>përfshira</w:t>
            </w:r>
          </w:p>
        </w:tc>
        <w:tc>
          <w:tcPr>
            <w:tcW w:w="3237" w:type="dxa"/>
            <w:shd w:val="clear" w:color="auto" w:fill="EAB8A3"/>
          </w:tcPr>
          <w:p>
            <w:pPr>
              <w:pStyle w:val="TableParagraph"/>
              <w:spacing w:line="246" w:lineRule="exact"/>
              <w:ind w:left="108"/>
              <w:rPr>
                <w:rFonts w:ascii="Cambria"/>
                <w:b/>
                <w:sz w:val="21"/>
              </w:rPr>
            </w:pPr>
            <w:r>
              <w:rPr>
                <w:rFonts w:ascii="Cambria"/>
                <w:b/>
                <w:sz w:val="21"/>
              </w:rPr>
              <w:t>Organi</w:t>
            </w:r>
            <w:r>
              <w:rPr>
                <w:rFonts w:ascii="Cambria"/>
                <w:b/>
                <w:spacing w:val="-3"/>
                <w:sz w:val="21"/>
              </w:rPr>
              <w:t> </w:t>
            </w:r>
            <w:r>
              <w:rPr>
                <w:rFonts w:ascii="Cambria"/>
                <w:b/>
                <w:spacing w:val="-2"/>
                <w:sz w:val="21"/>
              </w:rPr>
              <w:t>menaxhues</w:t>
            </w:r>
          </w:p>
        </w:tc>
      </w:tr>
      <w:tr>
        <w:trPr>
          <w:trHeight w:val="881" w:hRule="atLeast"/>
        </w:trPr>
        <w:tc>
          <w:tcPr>
            <w:tcW w:w="2261" w:type="dxa"/>
          </w:tcPr>
          <w:p>
            <w:pPr>
              <w:pStyle w:val="TableParagraph"/>
              <w:spacing w:line="246" w:lineRule="exact"/>
              <w:ind w:left="107"/>
              <w:rPr>
                <w:rFonts w:ascii="Cambria" w:hAnsi="Cambria"/>
                <w:sz w:val="21"/>
              </w:rPr>
            </w:pPr>
            <w:r>
              <w:rPr>
                <w:rFonts w:ascii="Cambria" w:hAnsi="Cambria"/>
                <w:sz w:val="21"/>
              </w:rPr>
              <w:t>Rrjeti</w:t>
            </w:r>
            <w:r>
              <w:rPr>
                <w:rFonts w:ascii="Cambria" w:hAnsi="Cambria"/>
                <w:spacing w:val="-3"/>
                <w:sz w:val="21"/>
              </w:rPr>
              <w:t> </w:t>
            </w:r>
            <w:r>
              <w:rPr>
                <w:rFonts w:ascii="Cambria" w:hAnsi="Cambria"/>
                <w:sz w:val="21"/>
              </w:rPr>
              <w:t>i</w:t>
            </w:r>
            <w:r>
              <w:rPr>
                <w:rFonts w:ascii="Cambria" w:hAnsi="Cambria"/>
                <w:spacing w:val="-2"/>
                <w:sz w:val="21"/>
              </w:rPr>
              <w:t> Glloboqicës</w:t>
            </w:r>
          </w:p>
        </w:tc>
        <w:tc>
          <w:tcPr>
            <w:tcW w:w="3852" w:type="dxa"/>
          </w:tcPr>
          <w:p>
            <w:pPr>
              <w:pStyle w:val="TableParagraph"/>
              <w:ind w:left="108"/>
              <w:rPr>
                <w:rFonts w:ascii="Cambria" w:hAnsi="Cambria"/>
                <w:sz w:val="21"/>
              </w:rPr>
            </w:pPr>
            <w:r>
              <w:rPr>
                <w:rFonts w:ascii="Cambria" w:hAnsi="Cambria"/>
                <w:sz w:val="21"/>
              </w:rPr>
              <w:t>Lagjja</w:t>
            </w:r>
            <w:r>
              <w:rPr>
                <w:rFonts w:ascii="Cambria" w:hAnsi="Cambria"/>
                <w:spacing w:val="-4"/>
                <w:sz w:val="21"/>
              </w:rPr>
              <w:t> </w:t>
            </w:r>
            <w:r>
              <w:rPr>
                <w:rFonts w:ascii="Cambria" w:hAnsi="Cambria"/>
                <w:sz w:val="21"/>
              </w:rPr>
              <w:t>e</w:t>
            </w:r>
            <w:r>
              <w:rPr>
                <w:rFonts w:ascii="Cambria" w:hAnsi="Cambria"/>
                <w:spacing w:val="-4"/>
                <w:sz w:val="21"/>
              </w:rPr>
              <w:t> </w:t>
            </w:r>
            <w:r>
              <w:rPr>
                <w:rFonts w:ascii="Cambria" w:hAnsi="Cambria"/>
                <w:sz w:val="21"/>
              </w:rPr>
              <w:t>Re</w:t>
            </w:r>
            <w:r>
              <w:rPr>
                <w:rFonts w:ascii="Cambria" w:hAnsi="Cambria"/>
                <w:spacing w:val="-6"/>
                <w:sz w:val="21"/>
              </w:rPr>
              <w:t> </w:t>
            </w:r>
            <w:r>
              <w:rPr>
                <w:rFonts w:ascii="Cambria" w:hAnsi="Cambria"/>
                <w:sz w:val="21"/>
              </w:rPr>
              <w:t>e</w:t>
            </w:r>
            <w:r>
              <w:rPr>
                <w:rFonts w:ascii="Cambria" w:hAnsi="Cambria"/>
                <w:spacing w:val="-5"/>
                <w:sz w:val="21"/>
              </w:rPr>
              <w:t> </w:t>
            </w:r>
            <w:r>
              <w:rPr>
                <w:rFonts w:ascii="Cambria" w:hAnsi="Cambria"/>
                <w:sz w:val="21"/>
              </w:rPr>
              <w:t>Hanit</w:t>
            </w:r>
            <w:r>
              <w:rPr>
                <w:rFonts w:ascii="Cambria" w:hAnsi="Cambria"/>
                <w:spacing w:val="-5"/>
                <w:sz w:val="21"/>
              </w:rPr>
              <w:t> </w:t>
            </w:r>
            <w:r>
              <w:rPr>
                <w:rFonts w:ascii="Cambria" w:hAnsi="Cambria"/>
                <w:sz w:val="21"/>
              </w:rPr>
              <w:t>të</w:t>
            </w:r>
            <w:r>
              <w:rPr>
                <w:rFonts w:ascii="Cambria" w:hAnsi="Cambria"/>
                <w:spacing w:val="-5"/>
                <w:sz w:val="21"/>
              </w:rPr>
              <w:t> </w:t>
            </w:r>
            <w:r>
              <w:rPr>
                <w:rFonts w:ascii="Cambria" w:hAnsi="Cambria"/>
                <w:sz w:val="21"/>
              </w:rPr>
              <w:t>Elezit,</w:t>
            </w:r>
            <w:r>
              <w:rPr>
                <w:rFonts w:ascii="Cambria" w:hAnsi="Cambria"/>
                <w:spacing w:val="-5"/>
                <w:sz w:val="21"/>
              </w:rPr>
              <w:t> </w:t>
            </w:r>
            <w:r>
              <w:rPr>
                <w:rFonts w:ascii="Cambria" w:hAnsi="Cambria"/>
                <w:sz w:val="21"/>
              </w:rPr>
              <w:t>Lagjja</w:t>
            </w:r>
            <w:r>
              <w:rPr>
                <w:rFonts w:ascii="Cambria" w:hAnsi="Cambria"/>
                <w:spacing w:val="-6"/>
                <w:sz w:val="21"/>
              </w:rPr>
              <w:t> </w:t>
            </w:r>
            <w:r>
              <w:rPr>
                <w:rFonts w:ascii="Cambria" w:hAnsi="Cambria"/>
                <w:sz w:val="21"/>
              </w:rPr>
              <w:t>nën Hekurudhë, Seqishtë, Lagjja Meliq, </w:t>
            </w:r>
            <w:r>
              <w:rPr>
                <w:rFonts w:ascii="Cambria" w:hAnsi="Cambria"/>
                <w:spacing w:val="-2"/>
                <w:sz w:val="21"/>
              </w:rPr>
              <w:t>Lagjja–Brava.</w:t>
            </w:r>
          </w:p>
        </w:tc>
        <w:tc>
          <w:tcPr>
            <w:tcW w:w="3237" w:type="dxa"/>
          </w:tcPr>
          <w:p>
            <w:pPr>
              <w:pStyle w:val="TableParagraph"/>
              <w:ind w:left="108"/>
              <w:rPr>
                <w:rFonts w:ascii="Cambria" w:hAnsi="Cambria"/>
                <w:sz w:val="21"/>
              </w:rPr>
            </w:pPr>
            <w:r>
              <w:rPr>
                <w:rFonts w:ascii="Cambria" w:hAnsi="Cambria"/>
                <w:sz w:val="21"/>
              </w:rPr>
              <w:t>KRU</w:t>
            </w:r>
            <w:r>
              <w:rPr>
                <w:rFonts w:ascii="Cambria" w:hAnsi="Cambria"/>
                <w:spacing w:val="-12"/>
                <w:sz w:val="21"/>
              </w:rPr>
              <w:t> </w:t>
            </w:r>
            <w:r>
              <w:rPr>
                <w:rFonts w:ascii="Cambria" w:hAnsi="Cambria"/>
                <w:sz w:val="21"/>
              </w:rPr>
              <w:t>Bifurkacioni,</w:t>
            </w:r>
            <w:r>
              <w:rPr>
                <w:rFonts w:ascii="Cambria" w:hAnsi="Cambria"/>
                <w:spacing w:val="-12"/>
                <w:sz w:val="21"/>
              </w:rPr>
              <w:t> </w:t>
            </w:r>
            <w:r>
              <w:rPr>
                <w:rFonts w:ascii="Cambria" w:hAnsi="Cambria"/>
                <w:sz w:val="21"/>
              </w:rPr>
              <w:t>Nën-njësia</w:t>
            </w:r>
            <w:r>
              <w:rPr>
                <w:rFonts w:ascii="Cambria" w:hAnsi="Cambria"/>
                <w:spacing w:val="-11"/>
                <w:sz w:val="21"/>
              </w:rPr>
              <w:t> </w:t>
            </w:r>
            <w:r>
              <w:rPr>
                <w:rFonts w:ascii="Cambria" w:hAnsi="Cambria"/>
                <w:sz w:val="21"/>
              </w:rPr>
              <w:t>në Hanin e Elezit</w:t>
            </w:r>
          </w:p>
        </w:tc>
      </w:tr>
      <w:tr>
        <w:trPr>
          <w:trHeight w:val="548" w:hRule="atLeast"/>
        </w:trPr>
        <w:tc>
          <w:tcPr>
            <w:tcW w:w="2261" w:type="dxa"/>
          </w:tcPr>
          <w:p>
            <w:pPr>
              <w:pStyle w:val="TableParagraph"/>
              <w:ind w:left="107"/>
              <w:rPr>
                <w:rFonts w:ascii="Cambria" w:hAnsi="Cambria"/>
                <w:sz w:val="21"/>
              </w:rPr>
            </w:pPr>
            <w:r>
              <w:rPr>
                <w:rFonts w:ascii="Cambria" w:hAnsi="Cambria"/>
                <w:sz w:val="21"/>
              </w:rPr>
              <w:t>Rrjeti</w:t>
            </w:r>
            <w:r>
              <w:rPr>
                <w:rFonts w:ascii="Cambria" w:hAnsi="Cambria"/>
                <w:spacing w:val="-12"/>
                <w:sz w:val="21"/>
              </w:rPr>
              <w:t> </w:t>
            </w:r>
            <w:r>
              <w:rPr>
                <w:rFonts w:ascii="Cambria" w:hAnsi="Cambria"/>
                <w:sz w:val="21"/>
              </w:rPr>
              <w:t>i</w:t>
            </w:r>
            <w:r>
              <w:rPr>
                <w:rFonts w:ascii="Cambria" w:hAnsi="Cambria"/>
                <w:spacing w:val="-12"/>
                <w:sz w:val="21"/>
              </w:rPr>
              <w:t> </w:t>
            </w:r>
            <w:r>
              <w:rPr>
                <w:rFonts w:ascii="Cambria" w:hAnsi="Cambria"/>
                <w:sz w:val="21"/>
              </w:rPr>
              <w:t>Prrockës</w:t>
            </w:r>
            <w:r>
              <w:rPr>
                <w:rFonts w:ascii="Cambria" w:hAnsi="Cambria"/>
                <w:spacing w:val="-11"/>
                <w:sz w:val="21"/>
              </w:rPr>
              <w:t> </w:t>
            </w:r>
            <w:r>
              <w:rPr>
                <w:rFonts w:ascii="Cambria" w:hAnsi="Cambria"/>
                <w:sz w:val="21"/>
              </w:rPr>
              <w:t>së </w:t>
            </w:r>
            <w:r>
              <w:rPr>
                <w:rFonts w:ascii="Cambria" w:hAnsi="Cambria"/>
                <w:spacing w:val="-2"/>
                <w:sz w:val="21"/>
              </w:rPr>
              <w:t>Dimcës</w:t>
            </w:r>
          </w:p>
        </w:tc>
        <w:tc>
          <w:tcPr>
            <w:tcW w:w="3852" w:type="dxa"/>
          </w:tcPr>
          <w:p>
            <w:pPr>
              <w:pStyle w:val="TableParagraph"/>
              <w:ind w:left="108" w:right="142"/>
              <w:rPr>
                <w:rFonts w:ascii="Cambria" w:hAnsi="Cambria"/>
                <w:sz w:val="21"/>
              </w:rPr>
            </w:pPr>
            <w:r>
              <w:rPr>
                <w:rFonts w:ascii="Cambria" w:hAnsi="Cambria"/>
                <w:sz w:val="21"/>
              </w:rPr>
              <w:t>Zona</w:t>
            </w:r>
            <w:r>
              <w:rPr>
                <w:rFonts w:ascii="Cambria" w:hAnsi="Cambria"/>
                <w:spacing w:val="-5"/>
                <w:sz w:val="21"/>
              </w:rPr>
              <w:t> </w:t>
            </w:r>
            <w:r>
              <w:rPr>
                <w:rFonts w:ascii="Cambria" w:hAnsi="Cambria"/>
                <w:sz w:val="21"/>
              </w:rPr>
              <w:t>urbane</w:t>
            </w:r>
            <w:r>
              <w:rPr>
                <w:rFonts w:ascii="Cambria" w:hAnsi="Cambria"/>
                <w:spacing w:val="-6"/>
                <w:sz w:val="21"/>
              </w:rPr>
              <w:t> </w:t>
            </w:r>
            <w:r>
              <w:rPr>
                <w:rFonts w:ascii="Cambria" w:hAnsi="Cambria"/>
                <w:sz w:val="21"/>
              </w:rPr>
              <w:t>e</w:t>
            </w:r>
            <w:r>
              <w:rPr>
                <w:rFonts w:ascii="Cambria" w:hAnsi="Cambria"/>
                <w:spacing w:val="-5"/>
                <w:sz w:val="21"/>
              </w:rPr>
              <w:t> </w:t>
            </w:r>
            <w:r>
              <w:rPr>
                <w:rFonts w:ascii="Cambria" w:hAnsi="Cambria"/>
                <w:sz w:val="21"/>
              </w:rPr>
              <w:t>Hanit</w:t>
            </w:r>
            <w:r>
              <w:rPr>
                <w:rFonts w:ascii="Cambria" w:hAnsi="Cambria"/>
                <w:spacing w:val="-6"/>
                <w:sz w:val="21"/>
              </w:rPr>
              <w:t> </w:t>
            </w:r>
            <w:r>
              <w:rPr>
                <w:rFonts w:ascii="Cambria" w:hAnsi="Cambria"/>
                <w:sz w:val="21"/>
              </w:rPr>
              <w:t>të</w:t>
            </w:r>
            <w:r>
              <w:rPr>
                <w:rFonts w:ascii="Cambria" w:hAnsi="Cambria"/>
                <w:spacing w:val="-6"/>
                <w:sz w:val="21"/>
              </w:rPr>
              <w:t> </w:t>
            </w:r>
            <w:r>
              <w:rPr>
                <w:rFonts w:ascii="Cambria" w:hAnsi="Cambria"/>
                <w:sz w:val="21"/>
              </w:rPr>
              <w:t>Elezit</w:t>
            </w:r>
            <w:r>
              <w:rPr>
                <w:rFonts w:ascii="Cambria" w:hAnsi="Cambria"/>
                <w:spacing w:val="-6"/>
                <w:sz w:val="21"/>
              </w:rPr>
              <w:t> </w:t>
            </w:r>
            <w:r>
              <w:rPr>
                <w:rFonts w:ascii="Cambria" w:hAnsi="Cambria"/>
                <w:sz w:val="21"/>
              </w:rPr>
              <w:t>dhe</w:t>
            </w:r>
            <w:r>
              <w:rPr>
                <w:rFonts w:ascii="Cambria" w:hAnsi="Cambria"/>
                <w:spacing w:val="-7"/>
                <w:sz w:val="21"/>
              </w:rPr>
              <w:t> </w:t>
            </w:r>
            <w:r>
              <w:rPr>
                <w:rFonts w:ascii="Cambria" w:hAnsi="Cambria"/>
                <w:sz w:val="21"/>
              </w:rPr>
              <w:t>Lagjja e Ujit të Thartë</w:t>
            </w:r>
          </w:p>
        </w:tc>
        <w:tc>
          <w:tcPr>
            <w:tcW w:w="3237" w:type="dxa"/>
          </w:tcPr>
          <w:p>
            <w:pPr>
              <w:pStyle w:val="TableParagraph"/>
              <w:ind w:left="108" w:right="68"/>
              <w:rPr>
                <w:rFonts w:ascii="Cambria" w:hAnsi="Cambria"/>
                <w:sz w:val="21"/>
              </w:rPr>
            </w:pPr>
            <w:r>
              <w:rPr>
                <w:rFonts w:ascii="Cambria" w:hAnsi="Cambria"/>
                <w:sz w:val="21"/>
              </w:rPr>
              <w:t>Komuna e Hanit të Elezit, Drejtoria</w:t>
            </w:r>
            <w:r>
              <w:rPr>
                <w:rFonts w:ascii="Cambria" w:hAnsi="Cambria"/>
                <w:spacing w:val="-12"/>
                <w:sz w:val="21"/>
              </w:rPr>
              <w:t> </w:t>
            </w:r>
            <w:r>
              <w:rPr>
                <w:rFonts w:ascii="Cambria" w:hAnsi="Cambria"/>
                <w:sz w:val="21"/>
              </w:rPr>
              <w:t>e</w:t>
            </w:r>
            <w:r>
              <w:rPr>
                <w:rFonts w:ascii="Cambria" w:hAnsi="Cambria"/>
                <w:spacing w:val="-12"/>
                <w:sz w:val="21"/>
              </w:rPr>
              <w:t> </w:t>
            </w:r>
            <w:r>
              <w:rPr>
                <w:rFonts w:ascii="Cambria" w:hAnsi="Cambria"/>
                <w:sz w:val="21"/>
              </w:rPr>
              <w:t>Shërbimeve</w:t>
            </w:r>
            <w:r>
              <w:rPr>
                <w:rFonts w:ascii="Cambria" w:hAnsi="Cambria"/>
                <w:spacing w:val="-11"/>
                <w:sz w:val="21"/>
              </w:rPr>
              <w:t> </w:t>
            </w:r>
            <w:r>
              <w:rPr>
                <w:rFonts w:ascii="Cambria" w:hAnsi="Cambria"/>
                <w:sz w:val="21"/>
              </w:rPr>
              <w:t>Publikë</w:t>
            </w:r>
          </w:p>
        </w:tc>
      </w:tr>
      <w:tr>
        <w:trPr>
          <w:trHeight w:val="537" w:hRule="atLeast"/>
        </w:trPr>
        <w:tc>
          <w:tcPr>
            <w:tcW w:w="2261" w:type="dxa"/>
          </w:tcPr>
          <w:p>
            <w:pPr>
              <w:pStyle w:val="TableParagraph"/>
              <w:ind w:left="107"/>
              <w:rPr>
                <w:rFonts w:ascii="Cambria" w:hAnsi="Cambria"/>
                <w:sz w:val="21"/>
              </w:rPr>
            </w:pPr>
            <w:r>
              <w:rPr>
                <w:rFonts w:ascii="Cambria" w:hAnsi="Cambria"/>
                <w:sz w:val="21"/>
              </w:rPr>
              <w:t>Pa</w:t>
            </w:r>
            <w:r>
              <w:rPr>
                <w:rFonts w:ascii="Cambria" w:hAnsi="Cambria"/>
                <w:spacing w:val="-3"/>
                <w:sz w:val="21"/>
              </w:rPr>
              <w:t> </w:t>
            </w:r>
            <w:r>
              <w:rPr>
                <w:rFonts w:ascii="Cambria" w:hAnsi="Cambria"/>
                <w:sz w:val="21"/>
              </w:rPr>
              <w:t>rrjet të</w:t>
            </w:r>
            <w:r>
              <w:rPr>
                <w:rFonts w:ascii="Cambria" w:hAnsi="Cambria"/>
                <w:spacing w:val="-1"/>
                <w:sz w:val="21"/>
              </w:rPr>
              <w:t> </w:t>
            </w:r>
            <w:r>
              <w:rPr>
                <w:rFonts w:ascii="Cambria" w:hAnsi="Cambria"/>
                <w:spacing w:val="-2"/>
                <w:sz w:val="21"/>
              </w:rPr>
              <w:t>kanalizimit</w:t>
            </w:r>
          </w:p>
        </w:tc>
        <w:tc>
          <w:tcPr>
            <w:tcW w:w="3852" w:type="dxa"/>
          </w:tcPr>
          <w:p>
            <w:pPr>
              <w:pStyle w:val="TableParagraph"/>
              <w:ind w:left="108"/>
              <w:rPr>
                <w:rFonts w:ascii="Cambria" w:hAnsi="Cambria"/>
                <w:sz w:val="21"/>
              </w:rPr>
            </w:pPr>
            <w:r>
              <w:rPr>
                <w:rFonts w:ascii="Cambria" w:hAnsi="Cambria"/>
                <w:sz w:val="21"/>
              </w:rPr>
              <w:t>Neqavc,</w:t>
            </w:r>
            <w:r>
              <w:rPr>
                <w:rFonts w:ascii="Cambria" w:hAnsi="Cambria"/>
                <w:spacing w:val="-1"/>
                <w:sz w:val="21"/>
              </w:rPr>
              <w:t> </w:t>
            </w:r>
            <w:r>
              <w:rPr>
                <w:rFonts w:ascii="Cambria" w:hAnsi="Cambria"/>
                <w:sz w:val="21"/>
              </w:rPr>
              <w:t>Vërtomic</w:t>
            </w:r>
            <w:r>
              <w:rPr>
                <w:rFonts w:ascii="Cambria" w:hAnsi="Cambria"/>
                <w:spacing w:val="-1"/>
                <w:sz w:val="21"/>
              </w:rPr>
              <w:t> </w:t>
            </w:r>
            <w:r>
              <w:rPr>
                <w:rFonts w:ascii="Cambria" w:hAnsi="Cambria"/>
                <w:sz w:val="21"/>
              </w:rPr>
              <w:t>dhe</w:t>
            </w:r>
            <w:r>
              <w:rPr>
                <w:rFonts w:ascii="Cambria" w:hAnsi="Cambria"/>
                <w:spacing w:val="-1"/>
                <w:sz w:val="21"/>
              </w:rPr>
              <w:t> </w:t>
            </w:r>
            <w:r>
              <w:rPr>
                <w:rFonts w:ascii="Cambria" w:hAnsi="Cambria"/>
                <w:spacing w:val="-2"/>
                <w:sz w:val="21"/>
              </w:rPr>
              <w:t>Pustenik</w:t>
            </w:r>
          </w:p>
        </w:tc>
        <w:tc>
          <w:tcPr>
            <w:tcW w:w="3237" w:type="dxa"/>
          </w:tcPr>
          <w:p>
            <w:pPr>
              <w:pStyle w:val="TableParagraph"/>
              <w:ind w:left="108"/>
              <w:rPr>
                <w:rFonts w:ascii="Cambria" w:hAnsi="Cambria"/>
                <w:sz w:val="21"/>
              </w:rPr>
            </w:pPr>
            <w:r>
              <w:rPr>
                <w:rFonts w:ascii="Cambria" w:hAnsi="Cambria"/>
                <w:sz w:val="21"/>
              </w:rPr>
              <w:t>I</w:t>
            </w:r>
            <w:r>
              <w:rPr>
                <w:rFonts w:ascii="Cambria" w:hAnsi="Cambria"/>
                <w:spacing w:val="-1"/>
                <w:sz w:val="21"/>
              </w:rPr>
              <w:t> </w:t>
            </w:r>
            <w:r>
              <w:rPr>
                <w:rFonts w:ascii="Cambria" w:hAnsi="Cambria"/>
                <w:sz w:val="21"/>
              </w:rPr>
              <w:t>pa</w:t>
            </w:r>
            <w:r>
              <w:rPr>
                <w:rFonts w:ascii="Cambria" w:hAnsi="Cambria"/>
                <w:spacing w:val="-1"/>
                <w:sz w:val="21"/>
              </w:rPr>
              <w:t> </w:t>
            </w:r>
            <w:r>
              <w:rPr>
                <w:rFonts w:ascii="Cambria" w:hAnsi="Cambria"/>
                <w:spacing w:val="-2"/>
                <w:sz w:val="21"/>
              </w:rPr>
              <w:t>përcaktuar</w:t>
            </w:r>
          </w:p>
        </w:tc>
      </w:tr>
    </w:tbl>
    <w:p>
      <w:pPr>
        <w:spacing w:before="1"/>
        <w:ind w:left="2773" w:right="0" w:firstLine="0"/>
        <w:jc w:val="left"/>
        <w:rPr>
          <w:sz w:val="24"/>
        </w:rPr>
      </w:pPr>
      <w:r>
        <w:rPr>
          <w:b/>
          <w:sz w:val="24"/>
        </w:rPr>
        <w:t>Tabela</w:t>
      </w:r>
      <w:r>
        <w:rPr>
          <w:b/>
          <w:spacing w:val="-8"/>
          <w:sz w:val="24"/>
        </w:rPr>
        <w:t> </w:t>
      </w:r>
      <w:r>
        <w:rPr>
          <w:b/>
          <w:sz w:val="24"/>
        </w:rPr>
        <w:t>18:</w:t>
      </w:r>
      <w:r>
        <w:rPr>
          <w:b/>
          <w:spacing w:val="-6"/>
          <w:sz w:val="24"/>
        </w:rPr>
        <w:t> </w:t>
      </w:r>
      <w:r>
        <w:rPr>
          <w:sz w:val="24"/>
        </w:rPr>
        <w:t>Shërbimi</w:t>
      </w:r>
      <w:r>
        <w:rPr>
          <w:spacing w:val="-8"/>
          <w:sz w:val="24"/>
        </w:rPr>
        <w:t> </w:t>
      </w:r>
      <w:r>
        <w:rPr>
          <w:sz w:val="24"/>
        </w:rPr>
        <w:t>i</w:t>
      </w:r>
      <w:r>
        <w:rPr>
          <w:spacing w:val="-7"/>
          <w:sz w:val="24"/>
        </w:rPr>
        <w:t> </w:t>
      </w:r>
      <w:r>
        <w:rPr>
          <w:sz w:val="24"/>
        </w:rPr>
        <w:t>kanalizimit</w:t>
      </w:r>
      <w:r>
        <w:rPr>
          <w:spacing w:val="-7"/>
          <w:sz w:val="24"/>
        </w:rPr>
        <w:t> </w:t>
      </w:r>
      <w:r>
        <w:rPr>
          <w:sz w:val="24"/>
        </w:rPr>
        <w:t>sipas</w:t>
      </w:r>
      <w:r>
        <w:rPr>
          <w:spacing w:val="-7"/>
          <w:sz w:val="24"/>
        </w:rPr>
        <w:t> </w:t>
      </w:r>
      <w:r>
        <w:rPr>
          <w:spacing w:val="-2"/>
          <w:sz w:val="24"/>
        </w:rPr>
        <w:t>vendbanimeve</w:t>
      </w:r>
    </w:p>
    <w:p>
      <w:pPr>
        <w:pStyle w:val="BodyText"/>
        <w:spacing w:before="2"/>
        <w:rPr>
          <w:sz w:val="22"/>
        </w:rPr>
      </w:pPr>
    </w:p>
    <w:p>
      <w:pPr>
        <w:pStyle w:val="BodyText"/>
        <w:spacing w:line="288" w:lineRule="auto"/>
        <w:ind w:left="740" w:right="1435"/>
      </w:pPr>
      <w:r>
        <w:rPr/>
        <w:t>Sa i përket mbulueshmërisë me shërbimin e kanalizimit, ky shërbim ofrohet për rreth 80.6% të</w:t>
      </w:r>
      <w:r>
        <w:rPr>
          <w:spacing w:val="80"/>
        </w:rPr>
        <w:t> </w:t>
      </w:r>
      <w:r>
        <w:rPr/>
        <w:t>banorëve të komunës ose për 1171 ekonomi familjare. Për më shumë shihni tabela 16.</w:t>
      </w:r>
    </w:p>
    <w:p>
      <w:pPr>
        <w:pStyle w:val="BodyText"/>
        <w:rPr>
          <w:sz w:val="20"/>
        </w:rPr>
      </w:pPr>
    </w:p>
    <w:p>
      <w:pPr>
        <w:pStyle w:val="BodyText"/>
        <w:spacing w:before="4" w:after="1"/>
        <w:rPr>
          <w:sz w:val="21"/>
        </w:rPr>
      </w:pPr>
    </w:p>
    <w:tbl>
      <w:tblPr>
        <w:tblW w:w="0" w:type="auto"/>
        <w:jc w:val="left"/>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35"/>
        <w:gridCol w:w="1087"/>
        <w:gridCol w:w="936"/>
      </w:tblGrid>
      <w:tr>
        <w:trPr>
          <w:trHeight w:val="287" w:hRule="atLeast"/>
        </w:trPr>
        <w:tc>
          <w:tcPr>
            <w:tcW w:w="7435" w:type="dxa"/>
            <w:shd w:val="clear" w:color="auto" w:fill="EAB8A3"/>
          </w:tcPr>
          <w:p>
            <w:pPr>
              <w:pStyle w:val="TableParagraph"/>
              <w:spacing w:line="246" w:lineRule="exact"/>
              <w:ind w:left="109"/>
              <w:rPr>
                <w:rFonts w:ascii="Cambria" w:hAnsi="Cambria"/>
                <w:b/>
                <w:sz w:val="21"/>
              </w:rPr>
            </w:pPr>
            <w:r>
              <w:rPr>
                <w:rFonts w:ascii="Cambria" w:hAnsi="Cambria"/>
                <w:b/>
                <w:sz w:val="21"/>
              </w:rPr>
              <w:t>Mbulimi</w:t>
            </w:r>
            <w:r>
              <w:rPr>
                <w:rFonts w:ascii="Cambria" w:hAnsi="Cambria"/>
                <w:b/>
                <w:spacing w:val="-4"/>
                <w:sz w:val="21"/>
              </w:rPr>
              <w:t> </w:t>
            </w:r>
            <w:r>
              <w:rPr>
                <w:rFonts w:ascii="Cambria" w:hAnsi="Cambria"/>
                <w:b/>
                <w:sz w:val="21"/>
              </w:rPr>
              <w:t>me</w:t>
            </w:r>
            <w:r>
              <w:rPr>
                <w:rFonts w:ascii="Cambria" w:hAnsi="Cambria"/>
                <w:b/>
                <w:spacing w:val="-3"/>
                <w:sz w:val="21"/>
              </w:rPr>
              <w:t> </w:t>
            </w:r>
            <w:r>
              <w:rPr>
                <w:rFonts w:ascii="Cambria" w:hAnsi="Cambria"/>
                <w:b/>
                <w:sz w:val="21"/>
              </w:rPr>
              <w:t>shërbimin</w:t>
            </w:r>
            <w:r>
              <w:rPr>
                <w:rFonts w:ascii="Cambria" w:hAnsi="Cambria"/>
                <w:b/>
                <w:spacing w:val="-2"/>
                <w:sz w:val="21"/>
              </w:rPr>
              <w:t> </w:t>
            </w:r>
            <w:r>
              <w:rPr>
                <w:rFonts w:ascii="Cambria" w:hAnsi="Cambria"/>
                <w:b/>
                <w:sz w:val="21"/>
              </w:rPr>
              <w:t>e</w:t>
            </w:r>
            <w:r>
              <w:rPr>
                <w:rFonts w:ascii="Cambria" w:hAnsi="Cambria"/>
                <w:b/>
                <w:spacing w:val="-1"/>
                <w:sz w:val="21"/>
              </w:rPr>
              <w:t> </w:t>
            </w:r>
            <w:r>
              <w:rPr>
                <w:rFonts w:ascii="Cambria" w:hAnsi="Cambria"/>
                <w:b/>
                <w:sz w:val="21"/>
              </w:rPr>
              <w:t>kanalizimit</w:t>
            </w:r>
            <w:r>
              <w:rPr>
                <w:rFonts w:ascii="Cambria" w:hAnsi="Cambria"/>
                <w:b/>
                <w:spacing w:val="-3"/>
                <w:sz w:val="21"/>
              </w:rPr>
              <w:t> </w:t>
            </w:r>
            <w:r>
              <w:rPr>
                <w:rFonts w:ascii="Cambria" w:hAnsi="Cambria"/>
                <w:b/>
                <w:sz w:val="21"/>
              </w:rPr>
              <w:t>në</w:t>
            </w:r>
            <w:r>
              <w:rPr>
                <w:rFonts w:ascii="Cambria" w:hAnsi="Cambria"/>
                <w:b/>
                <w:spacing w:val="-2"/>
                <w:sz w:val="21"/>
              </w:rPr>
              <w:t> </w:t>
            </w:r>
            <w:r>
              <w:rPr>
                <w:rFonts w:ascii="Cambria" w:hAnsi="Cambria"/>
                <w:b/>
                <w:sz w:val="21"/>
              </w:rPr>
              <w:t>komunën</w:t>
            </w:r>
            <w:r>
              <w:rPr>
                <w:rFonts w:ascii="Cambria" w:hAnsi="Cambria"/>
                <w:b/>
                <w:spacing w:val="-2"/>
                <w:sz w:val="21"/>
              </w:rPr>
              <w:t> </w:t>
            </w:r>
            <w:r>
              <w:rPr>
                <w:rFonts w:ascii="Cambria" w:hAnsi="Cambria"/>
                <w:b/>
                <w:sz w:val="21"/>
              </w:rPr>
              <w:t>e</w:t>
            </w:r>
            <w:r>
              <w:rPr>
                <w:rFonts w:ascii="Cambria" w:hAnsi="Cambria"/>
                <w:b/>
                <w:spacing w:val="-2"/>
                <w:sz w:val="21"/>
              </w:rPr>
              <w:t> </w:t>
            </w:r>
            <w:r>
              <w:rPr>
                <w:rFonts w:ascii="Cambria" w:hAnsi="Cambria"/>
                <w:b/>
                <w:sz w:val="21"/>
              </w:rPr>
              <w:t>Hanit</w:t>
            </w:r>
            <w:r>
              <w:rPr>
                <w:rFonts w:ascii="Cambria" w:hAnsi="Cambria"/>
                <w:b/>
                <w:spacing w:val="-2"/>
                <w:sz w:val="21"/>
              </w:rPr>
              <w:t> </w:t>
            </w:r>
            <w:r>
              <w:rPr>
                <w:rFonts w:ascii="Cambria" w:hAnsi="Cambria"/>
                <w:b/>
                <w:sz w:val="21"/>
              </w:rPr>
              <w:t>të</w:t>
            </w:r>
            <w:r>
              <w:rPr>
                <w:rFonts w:ascii="Cambria" w:hAnsi="Cambria"/>
                <w:b/>
                <w:spacing w:val="-3"/>
                <w:sz w:val="21"/>
              </w:rPr>
              <w:t> </w:t>
            </w:r>
            <w:r>
              <w:rPr>
                <w:rFonts w:ascii="Cambria" w:hAnsi="Cambria"/>
                <w:b/>
                <w:spacing w:val="-2"/>
                <w:sz w:val="21"/>
              </w:rPr>
              <w:t>Elezit</w:t>
            </w:r>
          </w:p>
        </w:tc>
        <w:tc>
          <w:tcPr>
            <w:tcW w:w="1087" w:type="dxa"/>
            <w:shd w:val="clear" w:color="auto" w:fill="EAB8A3"/>
          </w:tcPr>
          <w:p>
            <w:pPr>
              <w:pStyle w:val="TableParagraph"/>
              <w:spacing w:line="246" w:lineRule="exact"/>
              <w:ind w:left="108"/>
              <w:rPr>
                <w:rFonts w:ascii="Cambria"/>
                <w:b/>
                <w:sz w:val="21"/>
              </w:rPr>
            </w:pPr>
            <w:r>
              <w:rPr>
                <w:rFonts w:ascii="Cambria"/>
                <w:b/>
                <w:spacing w:val="-5"/>
                <w:sz w:val="21"/>
              </w:rPr>
              <w:t>Nr.</w:t>
            </w:r>
          </w:p>
        </w:tc>
        <w:tc>
          <w:tcPr>
            <w:tcW w:w="936" w:type="dxa"/>
            <w:shd w:val="clear" w:color="auto" w:fill="EAB8A3"/>
          </w:tcPr>
          <w:p>
            <w:pPr>
              <w:pStyle w:val="TableParagraph"/>
              <w:spacing w:line="246" w:lineRule="exact"/>
              <w:ind w:left="107"/>
              <w:rPr>
                <w:rFonts w:ascii="Cambria"/>
                <w:b/>
                <w:sz w:val="21"/>
              </w:rPr>
            </w:pPr>
            <w:r>
              <w:rPr>
                <w:rFonts w:ascii="Cambria"/>
                <w:b/>
                <w:sz w:val="21"/>
              </w:rPr>
              <w:t>%</w:t>
            </w:r>
          </w:p>
        </w:tc>
      </w:tr>
      <w:tr>
        <w:trPr>
          <w:trHeight w:val="288" w:hRule="atLeast"/>
        </w:trPr>
        <w:tc>
          <w:tcPr>
            <w:tcW w:w="7435" w:type="dxa"/>
          </w:tcPr>
          <w:p>
            <w:pPr>
              <w:pStyle w:val="TableParagraph"/>
              <w:ind w:left="109"/>
              <w:rPr>
                <w:rFonts w:ascii="Cambria" w:hAnsi="Cambria"/>
                <w:sz w:val="21"/>
              </w:rPr>
            </w:pPr>
            <w:r>
              <w:rPr>
                <w:rFonts w:ascii="Cambria" w:hAnsi="Cambria"/>
                <w:sz w:val="21"/>
              </w:rPr>
              <w:t>Numri</w:t>
            </w:r>
            <w:r>
              <w:rPr>
                <w:rFonts w:ascii="Cambria" w:hAnsi="Cambria"/>
                <w:spacing w:val="-4"/>
                <w:sz w:val="21"/>
              </w:rPr>
              <w:t> </w:t>
            </w:r>
            <w:r>
              <w:rPr>
                <w:rFonts w:ascii="Cambria" w:hAnsi="Cambria"/>
                <w:sz w:val="21"/>
              </w:rPr>
              <w:t>i</w:t>
            </w:r>
            <w:r>
              <w:rPr>
                <w:rFonts w:ascii="Cambria" w:hAnsi="Cambria"/>
                <w:spacing w:val="-3"/>
                <w:sz w:val="21"/>
              </w:rPr>
              <w:t> </w:t>
            </w:r>
            <w:r>
              <w:rPr>
                <w:rFonts w:ascii="Cambria" w:hAnsi="Cambria"/>
                <w:sz w:val="21"/>
              </w:rPr>
              <w:t>përgjithshëm</w:t>
            </w:r>
            <w:r>
              <w:rPr>
                <w:rFonts w:ascii="Cambria" w:hAnsi="Cambria"/>
                <w:spacing w:val="-4"/>
                <w:sz w:val="21"/>
              </w:rPr>
              <w:t> </w:t>
            </w:r>
            <w:r>
              <w:rPr>
                <w:rFonts w:ascii="Cambria" w:hAnsi="Cambria"/>
                <w:sz w:val="21"/>
              </w:rPr>
              <w:t>i</w:t>
            </w:r>
            <w:r>
              <w:rPr>
                <w:rFonts w:ascii="Cambria" w:hAnsi="Cambria"/>
                <w:spacing w:val="-2"/>
                <w:sz w:val="21"/>
              </w:rPr>
              <w:t> banorëve</w:t>
            </w:r>
          </w:p>
        </w:tc>
        <w:tc>
          <w:tcPr>
            <w:tcW w:w="1087" w:type="dxa"/>
          </w:tcPr>
          <w:p>
            <w:pPr>
              <w:pStyle w:val="TableParagraph"/>
              <w:ind w:left="108"/>
              <w:rPr>
                <w:rFonts w:ascii="Cambria"/>
                <w:sz w:val="21"/>
              </w:rPr>
            </w:pPr>
            <w:r>
              <w:rPr>
                <w:rFonts w:ascii="Cambria"/>
                <w:spacing w:val="-4"/>
                <w:sz w:val="21"/>
              </w:rPr>
              <w:t>9403</w:t>
            </w:r>
          </w:p>
        </w:tc>
        <w:tc>
          <w:tcPr>
            <w:tcW w:w="936" w:type="dxa"/>
          </w:tcPr>
          <w:p>
            <w:pPr>
              <w:pStyle w:val="TableParagraph"/>
              <w:ind w:left="107"/>
              <w:rPr>
                <w:rFonts w:ascii="Cambria"/>
                <w:sz w:val="21"/>
              </w:rPr>
            </w:pPr>
            <w:r>
              <w:rPr>
                <w:rFonts w:ascii="Cambria"/>
                <w:spacing w:val="-5"/>
                <w:sz w:val="21"/>
              </w:rPr>
              <w:t>100</w:t>
            </w:r>
          </w:p>
        </w:tc>
      </w:tr>
      <w:tr>
        <w:trPr>
          <w:trHeight w:val="287" w:hRule="atLeast"/>
        </w:trPr>
        <w:tc>
          <w:tcPr>
            <w:tcW w:w="7435"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6"/>
                <w:sz w:val="21"/>
              </w:rPr>
              <w:t> </w:t>
            </w:r>
            <w:r>
              <w:rPr>
                <w:rFonts w:ascii="Cambria" w:hAnsi="Cambria"/>
                <w:sz w:val="21"/>
              </w:rPr>
              <w:t>i</w:t>
            </w:r>
            <w:r>
              <w:rPr>
                <w:rFonts w:ascii="Cambria" w:hAnsi="Cambria"/>
                <w:spacing w:val="-4"/>
                <w:sz w:val="21"/>
              </w:rPr>
              <w:t> </w:t>
            </w:r>
            <w:r>
              <w:rPr>
                <w:rFonts w:ascii="Cambria" w:hAnsi="Cambria"/>
                <w:sz w:val="21"/>
              </w:rPr>
              <w:t>ekonomive</w:t>
            </w:r>
            <w:r>
              <w:rPr>
                <w:rFonts w:ascii="Cambria" w:hAnsi="Cambria"/>
                <w:spacing w:val="-5"/>
                <w:sz w:val="21"/>
              </w:rPr>
              <w:t> </w:t>
            </w:r>
            <w:r>
              <w:rPr>
                <w:rFonts w:ascii="Cambria" w:hAnsi="Cambria"/>
                <w:sz w:val="21"/>
              </w:rPr>
              <w:t>familjare</w:t>
            </w:r>
            <w:r>
              <w:rPr>
                <w:rFonts w:ascii="Cambria" w:hAnsi="Cambria"/>
                <w:spacing w:val="-5"/>
                <w:sz w:val="21"/>
              </w:rPr>
              <w:t> </w:t>
            </w:r>
            <w:r>
              <w:rPr>
                <w:rFonts w:ascii="Cambria" w:hAnsi="Cambria"/>
                <w:sz w:val="21"/>
              </w:rPr>
              <w:t>në</w:t>
            </w:r>
            <w:r>
              <w:rPr>
                <w:rFonts w:ascii="Cambria" w:hAnsi="Cambria"/>
                <w:spacing w:val="12"/>
                <w:sz w:val="21"/>
              </w:rPr>
              <w:t> </w:t>
            </w:r>
            <w:r>
              <w:rPr>
                <w:rFonts w:ascii="Cambria" w:hAnsi="Cambria"/>
                <w:spacing w:val="-2"/>
                <w:sz w:val="21"/>
              </w:rPr>
              <w:t>komunë</w:t>
            </w:r>
          </w:p>
        </w:tc>
        <w:tc>
          <w:tcPr>
            <w:tcW w:w="1087" w:type="dxa"/>
          </w:tcPr>
          <w:p>
            <w:pPr>
              <w:pStyle w:val="TableParagraph"/>
              <w:spacing w:line="246" w:lineRule="exact"/>
              <w:ind w:left="108"/>
              <w:rPr>
                <w:rFonts w:ascii="Cambria"/>
                <w:sz w:val="21"/>
              </w:rPr>
            </w:pPr>
            <w:r>
              <w:rPr>
                <w:rFonts w:ascii="Cambria"/>
                <w:spacing w:val="-4"/>
                <w:sz w:val="21"/>
              </w:rPr>
              <w:t>1452</w:t>
            </w:r>
          </w:p>
        </w:tc>
        <w:tc>
          <w:tcPr>
            <w:tcW w:w="936" w:type="dxa"/>
          </w:tcPr>
          <w:p>
            <w:pPr>
              <w:pStyle w:val="TableParagraph"/>
              <w:spacing w:line="246" w:lineRule="exact"/>
              <w:ind w:left="107"/>
              <w:rPr>
                <w:rFonts w:ascii="Cambria"/>
                <w:sz w:val="21"/>
              </w:rPr>
            </w:pPr>
            <w:r>
              <w:rPr>
                <w:rFonts w:ascii="Cambria"/>
                <w:spacing w:val="-5"/>
                <w:sz w:val="21"/>
              </w:rPr>
              <w:t>100</w:t>
            </w:r>
          </w:p>
        </w:tc>
      </w:tr>
      <w:tr>
        <w:trPr>
          <w:trHeight w:val="287" w:hRule="atLeast"/>
        </w:trPr>
        <w:tc>
          <w:tcPr>
            <w:tcW w:w="7435"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5"/>
                <w:sz w:val="21"/>
              </w:rPr>
              <w:t> </w:t>
            </w:r>
            <w:r>
              <w:rPr>
                <w:rFonts w:ascii="Cambria" w:hAnsi="Cambria"/>
                <w:sz w:val="21"/>
              </w:rPr>
              <w:t>i</w:t>
            </w:r>
            <w:r>
              <w:rPr>
                <w:rFonts w:ascii="Cambria" w:hAnsi="Cambria"/>
                <w:spacing w:val="-3"/>
                <w:sz w:val="21"/>
              </w:rPr>
              <w:t> </w:t>
            </w:r>
            <w:r>
              <w:rPr>
                <w:rFonts w:ascii="Cambria" w:hAnsi="Cambria"/>
                <w:sz w:val="21"/>
              </w:rPr>
              <w:t>ekonomive</w:t>
            </w:r>
            <w:r>
              <w:rPr>
                <w:rFonts w:ascii="Cambria" w:hAnsi="Cambria"/>
                <w:spacing w:val="-4"/>
                <w:sz w:val="21"/>
              </w:rPr>
              <w:t> </w:t>
            </w:r>
            <w:r>
              <w:rPr>
                <w:rFonts w:ascii="Cambria" w:hAnsi="Cambria"/>
                <w:sz w:val="21"/>
              </w:rPr>
              <w:t>familjare</w:t>
            </w:r>
            <w:r>
              <w:rPr>
                <w:rFonts w:ascii="Cambria" w:hAnsi="Cambria"/>
                <w:spacing w:val="-5"/>
                <w:sz w:val="21"/>
              </w:rPr>
              <w:t> </w:t>
            </w:r>
            <w:r>
              <w:rPr>
                <w:rFonts w:ascii="Cambria" w:hAnsi="Cambria"/>
                <w:sz w:val="21"/>
              </w:rPr>
              <w:t>të</w:t>
            </w:r>
            <w:r>
              <w:rPr>
                <w:rFonts w:ascii="Cambria" w:hAnsi="Cambria"/>
                <w:spacing w:val="14"/>
                <w:sz w:val="21"/>
              </w:rPr>
              <w:t> </w:t>
            </w:r>
            <w:r>
              <w:rPr>
                <w:rFonts w:ascii="Cambria" w:hAnsi="Cambria"/>
                <w:sz w:val="21"/>
              </w:rPr>
              <w:t>përfshira</w:t>
            </w:r>
            <w:r>
              <w:rPr>
                <w:rFonts w:ascii="Cambria" w:hAnsi="Cambria"/>
                <w:spacing w:val="-4"/>
                <w:sz w:val="21"/>
              </w:rPr>
              <w:t> </w:t>
            </w:r>
            <w:r>
              <w:rPr>
                <w:rFonts w:ascii="Cambria" w:hAnsi="Cambria"/>
                <w:sz w:val="21"/>
              </w:rPr>
              <w:t>me</w:t>
            </w:r>
            <w:r>
              <w:rPr>
                <w:rFonts w:ascii="Cambria" w:hAnsi="Cambria"/>
                <w:spacing w:val="-3"/>
                <w:sz w:val="21"/>
              </w:rPr>
              <w:t> </w:t>
            </w:r>
            <w:r>
              <w:rPr>
                <w:rFonts w:ascii="Cambria" w:hAnsi="Cambria"/>
                <w:sz w:val="21"/>
              </w:rPr>
              <w:t>shërbimin</w:t>
            </w:r>
            <w:r>
              <w:rPr>
                <w:rFonts w:ascii="Cambria" w:hAnsi="Cambria"/>
                <w:spacing w:val="-3"/>
                <w:sz w:val="21"/>
              </w:rPr>
              <w:t> </w:t>
            </w:r>
            <w:r>
              <w:rPr>
                <w:rFonts w:ascii="Cambria" w:hAnsi="Cambria"/>
                <w:sz w:val="21"/>
              </w:rPr>
              <w:t>e</w:t>
            </w:r>
            <w:r>
              <w:rPr>
                <w:rFonts w:ascii="Cambria" w:hAnsi="Cambria"/>
                <w:spacing w:val="-4"/>
                <w:sz w:val="21"/>
              </w:rPr>
              <w:t> </w:t>
            </w:r>
            <w:r>
              <w:rPr>
                <w:rFonts w:ascii="Cambria" w:hAnsi="Cambria"/>
                <w:spacing w:val="-2"/>
                <w:sz w:val="21"/>
              </w:rPr>
              <w:t>kanalizimit</w:t>
            </w:r>
          </w:p>
        </w:tc>
        <w:tc>
          <w:tcPr>
            <w:tcW w:w="1087" w:type="dxa"/>
          </w:tcPr>
          <w:p>
            <w:pPr>
              <w:pStyle w:val="TableParagraph"/>
              <w:spacing w:line="246" w:lineRule="exact"/>
              <w:ind w:left="108"/>
              <w:rPr>
                <w:rFonts w:ascii="Cambria"/>
                <w:sz w:val="21"/>
              </w:rPr>
            </w:pPr>
            <w:r>
              <w:rPr>
                <w:rFonts w:ascii="Cambria"/>
                <w:spacing w:val="-4"/>
                <w:sz w:val="21"/>
              </w:rPr>
              <w:t>1171</w:t>
            </w:r>
          </w:p>
        </w:tc>
        <w:tc>
          <w:tcPr>
            <w:tcW w:w="936" w:type="dxa"/>
          </w:tcPr>
          <w:p>
            <w:pPr>
              <w:pStyle w:val="TableParagraph"/>
              <w:spacing w:line="246" w:lineRule="exact"/>
              <w:ind w:left="107"/>
              <w:rPr>
                <w:rFonts w:ascii="Cambria"/>
                <w:sz w:val="21"/>
              </w:rPr>
            </w:pPr>
            <w:r>
              <w:rPr>
                <w:rFonts w:ascii="Cambria"/>
                <w:spacing w:val="-4"/>
                <w:sz w:val="21"/>
              </w:rPr>
              <w:t>80.6</w:t>
            </w:r>
          </w:p>
        </w:tc>
      </w:tr>
      <w:tr>
        <w:trPr>
          <w:trHeight w:val="288" w:hRule="atLeast"/>
        </w:trPr>
        <w:tc>
          <w:tcPr>
            <w:tcW w:w="7435" w:type="dxa"/>
          </w:tcPr>
          <w:p>
            <w:pPr>
              <w:pStyle w:val="TableParagraph"/>
              <w:ind w:left="109"/>
              <w:rPr>
                <w:rFonts w:ascii="Cambria" w:hAnsi="Cambria"/>
                <w:sz w:val="21"/>
              </w:rPr>
            </w:pPr>
            <w:r>
              <w:rPr>
                <w:rFonts w:ascii="Cambria" w:hAnsi="Cambria"/>
                <w:sz w:val="21"/>
              </w:rPr>
              <w:t>Objekte</w:t>
            </w:r>
            <w:r>
              <w:rPr>
                <w:rFonts w:ascii="Cambria" w:hAnsi="Cambria"/>
                <w:spacing w:val="-11"/>
                <w:sz w:val="21"/>
              </w:rPr>
              <w:t> </w:t>
            </w:r>
            <w:r>
              <w:rPr>
                <w:rFonts w:ascii="Cambria" w:hAnsi="Cambria"/>
                <w:sz w:val="21"/>
              </w:rPr>
              <w:t>të</w:t>
            </w:r>
            <w:r>
              <w:rPr>
                <w:rFonts w:ascii="Cambria" w:hAnsi="Cambria"/>
                <w:spacing w:val="4"/>
                <w:sz w:val="21"/>
              </w:rPr>
              <w:t> </w:t>
            </w:r>
            <w:r>
              <w:rPr>
                <w:rFonts w:ascii="Cambria" w:hAnsi="Cambria"/>
                <w:sz w:val="21"/>
              </w:rPr>
              <w:t>institucioneve</w:t>
            </w:r>
            <w:r>
              <w:rPr>
                <w:rFonts w:ascii="Cambria" w:hAnsi="Cambria"/>
                <w:spacing w:val="-10"/>
                <w:sz w:val="21"/>
              </w:rPr>
              <w:t> </w:t>
            </w:r>
            <w:r>
              <w:rPr>
                <w:rFonts w:ascii="Cambria" w:hAnsi="Cambria"/>
                <w:sz w:val="21"/>
              </w:rPr>
              <w:t>publike</w:t>
            </w:r>
            <w:r>
              <w:rPr>
                <w:rFonts w:ascii="Cambria" w:hAnsi="Cambria"/>
                <w:spacing w:val="-11"/>
                <w:sz w:val="21"/>
              </w:rPr>
              <w:t> </w:t>
            </w:r>
            <w:r>
              <w:rPr>
                <w:rFonts w:ascii="Cambria" w:hAnsi="Cambria"/>
                <w:sz w:val="21"/>
              </w:rPr>
              <w:t>në</w:t>
            </w:r>
            <w:r>
              <w:rPr>
                <w:rFonts w:ascii="Cambria" w:hAnsi="Cambria"/>
                <w:spacing w:val="5"/>
                <w:sz w:val="21"/>
              </w:rPr>
              <w:t> </w:t>
            </w:r>
            <w:r>
              <w:rPr>
                <w:rFonts w:ascii="Cambria" w:hAnsi="Cambria"/>
                <w:spacing w:val="-2"/>
                <w:sz w:val="21"/>
              </w:rPr>
              <w:t>komunë</w:t>
            </w:r>
          </w:p>
        </w:tc>
        <w:tc>
          <w:tcPr>
            <w:tcW w:w="1087" w:type="dxa"/>
          </w:tcPr>
          <w:p>
            <w:pPr>
              <w:pStyle w:val="TableParagraph"/>
              <w:ind w:left="108"/>
              <w:rPr>
                <w:rFonts w:ascii="Cambria"/>
                <w:sz w:val="21"/>
              </w:rPr>
            </w:pPr>
            <w:r>
              <w:rPr>
                <w:rFonts w:ascii="Cambria"/>
                <w:spacing w:val="-5"/>
                <w:sz w:val="21"/>
              </w:rPr>
              <w:t>16</w:t>
            </w:r>
          </w:p>
        </w:tc>
        <w:tc>
          <w:tcPr>
            <w:tcW w:w="936" w:type="dxa"/>
          </w:tcPr>
          <w:p>
            <w:pPr>
              <w:pStyle w:val="TableParagraph"/>
              <w:ind w:left="107"/>
              <w:rPr>
                <w:rFonts w:ascii="Cambria"/>
                <w:sz w:val="21"/>
              </w:rPr>
            </w:pPr>
            <w:r>
              <w:rPr>
                <w:rFonts w:ascii="Cambria"/>
                <w:spacing w:val="-5"/>
                <w:sz w:val="21"/>
              </w:rPr>
              <w:t>100</w:t>
            </w:r>
          </w:p>
        </w:tc>
      </w:tr>
      <w:tr>
        <w:trPr>
          <w:trHeight w:val="492" w:hRule="atLeast"/>
        </w:trPr>
        <w:tc>
          <w:tcPr>
            <w:tcW w:w="7435"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8"/>
                <w:sz w:val="21"/>
              </w:rPr>
              <w:t> </w:t>
            </w:r>
            <w:r>
              <w:rPr>
                <w:rFonts w:ascii="Cambria" w:hAnsi="Cambria"/>
                <w:sz w:val="21"/>
              </w:rPr>
              <w:t>i</w:t>
            </w:r>
            <w:r>
              <w:rPr>
                <w:rFonts w:ascii="Cambria" w:hAnsi="Cambria"/>
                <w:spacing w:val="-7"/>
                <w:sz w:val="21"/>
              </w:rPr>
              <w:t> </w:t>
            </w:r>
            <w:r>
              <w:rPr>
                <w:rFonts w:ascii="Cambria" w:hAnsi="Cambria"/>
                <w:sz w:val="21"/>
              </w:rPr>
              <w:t>institucioneve</w:t>
            </w:r>
            <w:r>
              <w:rPr>
                <w:rFonts w:ascii="Cambria" w:hAnsi="Cambria"/>
                <w:spacing w:val="-7"/>
                <w:sz w:val="21"/>
              </w:rPr>
              <w:t> </w:t>
            </w:r>
            <w:r>
              <w:rPr>
                <w:rFonts w:ascii="Cambria" w:hAnsi="Cambria"/>
                <w:sz w:val="21"/>
              </w:rPr>
              <w:t>të</w:t>
            </w:r>
            <w:r>
              <w:rPr>
                <w:rFonts w:ascii="Cambria" w:hAnsi="Cambria"/>
                <w:spacing w:val="8"/>
                <w:sz w:val="21"/>
              </w:rPr>
              <w:t> </w:t>
            </w:r>
            <w:r>
              <w:rPr>
                <w:rFonts w:ascii="Cambria" w:hAnsi="Cambria"/>
                <w:sz w:val="21"/>
              </w:rPr>
              <w:t>objekteve</w:t>
            </w:r>
            <w:r>
              <w:rPr>
                <w:rFonts w:ascii="Cambria" w:hAnsi="Cambria"/>
                <w:spacing w:val="-7"/>
                <w:sz w:val="21"/>
              </w:rPr>
              <w:t> </w:t>
            </w:r>
            <w:r>
              <w:rPr>
                <w:rFonts w:ascii="Cambria" w:hAnsi="Cambria"/>
                <w:sz w:val="21"/>
              </w:rPr>
              <w:t>publike</w:t>
            </w:r>
            <w:r>
              <w:rPr>
                <w:rFonts w:ascii="Cambria" w:hAnsi="Cambria"/>
                <w:spacing w:val="-7"/>
                <w:sz w:val="21"/>
              </w:rPr>
              <w:t> </w:t>
            </w:r>
            <w:r>
              <w:rPr>
                <w:rFonts w:ascii="Cambria" w:hAnsi="Cambria"/>
                <w:sz w:val="21"/>
              </w:rPr>
              <w:t>të</w:t>
            </w:r>
            <w:r>
              <w:rPr>
                <w:rFonts w:ascii="Cambria" w:hAnsi="Cambria"/>
                <w:spacing w:val="8"/>
                <w:sz w:val="21"/>
              </w:rPr>
              <w:t> </w:t>
            </w:r>
            <w:r>
              <w:rPr>
                <w:rFonts w:ascii="Cambria" w:hAnsi="Cambria"/>
                <w:sz w:val="21"/>
              </w:rPr>
              <w:t>përfshira</w:t>
            </w:r>
            <w:r>
              <w:rPr>
                <w:rFonts w:ascii="Cambria" w:hAnsi="Cambria"/>
                <w:spacing w:val="-8"/>
                <w:sz w:val="21"/>
              </w:rPr>
              <w:t> </w:t>
            </w:r>
            <w:r>
              <w:rPr>
                <w:rFonts w:ascii="Cambria" w:hAnsi="Cambria"/>
                <w:sz w:val="21"/>
              </w:rPr>
              <w:t>me</w:t>
            </w:r>
            <w:r>
              <w:rPr>
                <w:rFonts w:ascii="Cambria" w:hAnsi="Cambria"/>
                <w:spacing w:val="-7"/>
                <w:sz w:val="21"/>
              </w:rPr>
              <w:t> </w:t>
            </w:r>
            <w:r>
              <w:rPr>
                <w:rFonts w:ascii="Cambria" w:hAnsi="Cambria"/>
                <w:sz w:val="21"/>
              </w:rPr>
              <w:t>shërbimin</w:t>
            </w:r>
            <w:r>
              <w:rPr>
                <w:rFonts w:ascii="Cambria" w:hAnsi="Cambria"/>
                <w:spacing w:val="-7"/>
                <w:sz w:val="21"/>
              </w:rPr>
              <w:t> </w:t>
            </w:r>
            <w:r>
              <w:rPr>
                <w:rFonts w:ascii="Cambria" w:hAnsi="Cambria"/>
                <w:sz w:val="21"/>
              </w:rPr>
              <w:t>e </w:t>
            </w:r>
            <w:r>
              <w:rPr>
                <w:rFonts w:ascii="Cambria" w:hAnsi="Cambria"/>
                <w:spacing w:val="-2"/>
                <w:sz w:val="21"/>
              </w:rPr>
              <w:t>kanalizimit</w:t>
            </w:r>
          </w:p>
        </w:tc>
        <w:tc>
          <w:tcPr>
            <w:tcW w:w="1087" w:type="dxa"/>
          </w:tcPr>
          <w:p>
            <w:pPr>
              <w:pStyle w:val="TableParagraph"/>
              <w:spacing w:line="246" w:lineRule="exact"/>
              <w:ind w:left="108"/>
              <w:rPr>
                <w:rFonts w:ascii="Cambria"/>
                <w:sz w:val="21"/>
              </w:rPr>
            </w:pPr>
            <w:r>
              <w:rPr>
                <w:rFonts w:ascii="Cambria"/>
                <w:spacing w:val="-5"/>
                <w:sz w:val="21"/>
              </w:rPr>
              <w:t>16</w:t>
            </w:r>
          </w:p>
        </w:tc>
        <w:tc>
          <w:tcPr>
            <w:tcW w:w="936" w:type="dxa"/>
          </w:tcPr>
          <w:p>
            <w:pPr>
              <w:pStyle w:val="TableParagraph"/>
              <w:spacing w:line="246" w:lineRule="exact"/>
              <w:ind w:left="107"/>
              <w:rPr>
                <w:rFonts w:ascii="Cambria"/>
                <w:sz w:val="21"/>
              </w:rPr>
            </w:pPr>
            <w:r>
              <w:rPr>
                <w:rFonts w:ascii="Cambria"/>
                <w:spacing w:val="-5"/>
                <w:sz w:val="21"/>
              </w:rPr>
              <w:t>100</w:t>
            </w:r>
          </w:p>
        </w:tc>
      </w:tr>
      <w:tr>
        <w:trPr>
          <w:trHeight w:val="288" w:hRule="atLeast"/>
        </w:trPr>
        <w:tc>
          <w:tcPr>
            <w:tcW w:w="7435" w:type="dxa"/>
          </w:tcPr>
          <w:p>
            <w:pPr>
              <w:pStyle w:val="TableParagraph"/>
              <w:ind w:left="109"/>
              <w:rPr>
                <w:rFonts w:ascii="Cambria" w:hAnsi="Cambria"/>
                <w:sz w:val="21"/>
              </w:rPr>
            </w:pPr>
            <w:r>
              <w:rPr>
                <w:rFonts w:ascii="Cambria" w:hAnsi="Cambria"/>
                <w:sz w:val="21"/>
              </w:rPr>
              <w:t>Numri</w:t>
            </w:r>
            <w:r>
              <w:rPr>
                <w:rFonts w:ascii="Cambria" w:hAnsi="Cambria"/>
                <w:spacing w:val="-7"/>
                <w:sz w:val="21"/>
              </w:rPr>
              <w:t> </w:t>
            </w:r>
            <w:r>
              <w:rPr>
                <w:rFonts w:ascii="Cambria" w:hAnsi="Cambria"/>
                <w:sz w:val="21"/>
              </w:rPr>
              <w:t>i</w:t>
            </w:r>
            <w:r>
              <w:rPr>
                <w:rFonts w:ascii="Cambria" w:hAnsi="Cambria"/>
                <w:spacing w:val="-5"/>
                <w:sz w:val="21"/>
              </w:rPr>
              <w:t> </w:t>
            </w:r>
            <w:r>
              <w:rPr>
                <w:rFonts w:ascii="Cambria" w:hAnsi="Cambria"/>
                <w:sz w:val="21"/>
              </w:rPr>
              <w:t>bizneseve</w:t>
            </w:r>
            <w:r>
              <w:rPr>
                <w:rFonts w:ascii="Cambria" w:hAnsi="Cambria"/>
                <w:spacing w:val="-6"/>
                <w:sz w:val="21"/>
              </w:rPr>
              <w:t> </w:t>
            </w:r>
            <w:r>
              <w:rPr>
                <w:rFonts w:ascii="Cambria" w:hAnsi="Cambria"/>
                <w:sz w:val="21"/>
              </w:rPr>
              <w:t>aktive</w:t>
            </w:r>
            <w:r>
              <w:rPr>
                <w:rFonts w:ascii="Cambria" w:hAnsi="Cambria"/>
                <w:spacing w:val="-6"/>
                <w:sz w:val="21"/>
              </w:rPr>
              <w:t> </w:t>
            </w:r>
            <w:r>
              <w:rPr>
                <w:rFonts w:ascii="Cambria" w:hAnsi="Cambria"/>
                <w:sz w:val="21"/>
              </w:rPr>
              <w:t>në</w:t>
            </w:r>
            <w:r>
              <w:rPr>
                <w:rFonts w:ascii="Cambria" w:hAnsi="Cambria"/>
                <w:spacing w:val="11"/>
                <w:sz w:val="21"/>
              </w:rPr>
              <w:t> </w:t>
            </w:r>
            <w:r>
              <w:rPr>
                <w:rFonts w:ascii="Cambria" w:hAnsi="Cambria"/>
                <w:spacing w:val="-2"/>
                <w:sz w:val="21"/>
              </w:rPr>
              <w:t>komunë</w:t>
            </w:r>
          </w:p>
        </w:tc>
        <w:tc>
          <w:tcPr>
            <w:tcW w:w="1087" w:type="dxa"/>
          </w:tcPr>
          <w:p>
            <w:pPr>
              <w:pStyle w:val="TableParagraph"/>
              <w:ind w:left="108"/>
              <w:rPr>
                <w:rFonts w:ascii="Cambria"/>
                <w:sz w:val="21"/>
              </w:rPr>
            </w:pPr>
            <w:r>
              <w:rPr>
                <w:rFonts w:ascii="Cambria"/>
                <w:spacing w:val="-5"/>
                <w:sz w:val="21"/>
              </w:rPr>
              <w:t>352</w:t>
            </w:r>
          </w:p>
        </w:tc>
        <w:tc>
          <w:tcPr>
            <w:tcW w:w="936" w:type="dxa"/>
          </w:tcPr>
          <w:p>
            <w:pPr>
              <w:pStyle w:val="TableParagraph"/>
              <w:ind w:left="107"/>
              <w:rPr>
                <w:rFonts w:ascii="Cambria"/>
                <w:sz w:val="21"/>
              </w:rPr>
            </w:pPr>
            <w:r>
              <w:rPr>
                <w:rFonts w:ascii="Cambria"/>
                <w:spacing w:val="-5"/>
                <w:sz w:val="21"/>
              </w:rPr>
              <w:t>100</w:t>
            </w:r>
          </w:p>
        </w:tc>
      </w:tr>
      <w:tr>
        <w:trPr>
          <w:trHeight w:val="287" w:hRule="atLeast"/>
        </w:trPr>
        <w:tc>
          <w:tcPr>
            <w:tcW w:w="7435" w:type="dxa"/>
          </w:tcPr>
          <w:p>
            <w:pPr>
              <w:pStyle w:val="TableParagraph"/>
              <w:spacing w:line="246" w:lineRule="exact"/>
              <w:ind w:left="109"/>
              <w:rPr>
                <w:rFonts w:ascii="Cambria" w:hAnsi="Cambria"/>
                <w:sz w:val="21"/>
              </w:rPr>
            </w:pPr>
            <w:r>
              <w:rPr>
                <w:rFonts w:ascii="Cambria" w:hAnsi="Cambria"/>
                <w:sz w:val="21"/>
              </w:rPr>
              <w:t>Numri</w:t>
            </w:r>
            <w:r>
              <w:rPr>
                <w:rFonts w:ascii="Cambria" w:hAnsi="Cambria"/>
                <w:spacing w:val="-7"/>
                <w:sz w:val="21"/>
              </w:rPr>
              <w:t> </w:t>
            </w:r>
            <w:r>
              <w:rPr>
                <w:rFonts w:ascii="Cambria" w:hAnsi="Cambria"/>
                <w:sz w:val="21"/>
              </w:rPr>
              <w:t>i</w:t>
            </w:r>
            <w:r>
              <w:rPr>
                <w:rFonts w:ascii="Cambria" w:hAnsi="Cambria"/>
                <w:spacing w:val="-4"/>
                <w:sz w:val="21"/>
              </w:rPr>
              <w:t> </w:t>
            </w:r>
            <w:r>
              <w:rPr>
                <w:rFonts w:ascii="Cambria" w:hAnsi="Cambria"/>
                <w:sz w:val="21"/>
              </w:rPr>
              <w:t>bizneseve</w:t>
            </w:r>
            <w:r>
              <w:rPr>
                <w:rFonts w:ascii="Cambria" w:hAnsi="Cambria"/>
                <w:spacing w:val="-5"/>
                <w:sz w:val="21"/>
              </w:rPr>
              <w:t> </w:t>
            </w:r>
            <w:r>
              <w:rPr>
                <w:rFonts w:ascii="Cambria" w:hAnsi="Cambria"/>
                <w:sz w:val="21"/>
              </w:rPr>
              <w:t>të</w:t>
            </w:r>
            <w:r>
              <w:rPr>
                <w:rFonts w:ascii="Cambria" w:hAnsi="Cambria"/>
                <w:spacing w:val="13"/>
                <w:sz w:val="21"/>
              </w:rPr>
              <w:t> </w:t>
            </w:r>
            <w:r>
              <w:rPr>
                <w:rFonts w:ascii="Cambria" w:hAnsi="Cambria"/>
                <w:sz w:val="21"/>
              </w:rPr>
              <w:t>përfshira</w:t>
            </w:r>
            <w:r>
              <w:rPr>
                <w:rFonts w:ascii="Cambria" w:hAnsi="Cambria"/>
                <w:spacing w:val="-3"/>
                <w:sz w:val="21"/>
              </w:rPr>
              <w:t> </w:t>
            </w:r>
            <w:r>
              <w:rPr>
                <w:rFonts w:ascii="Cambria" w:hAnsi="Cambria"/>
                <w:sz w:val="21"/>
              </w:rPr>
              <w:t>me</w:t>
            </w:r>
            <w:r>
              <w:rPr>
                <w:rFonts w:ascii="Cambria" w:hAnsi="Cambria"/>
                <w:spacing w:val="-5"/>
                <w:sz w:val="21"/>
              </w:rPr>
              <w:t> </w:t>
            </w:r>
            <w:r>
              <w:rPr>
                <w:rFonts w:ascii="Cambria" w:hAnsi="Cambria"/>
                <w:sz w:val="21"/>
              </w:rPr>
              <w:t>shërbimin</w:t>
            </w:r>
            <w:r>
              <w:rPr>
                <w:rFonts w:ascii="Cambria" w:hAnsi="Cambria"/>
                <w:spacing w:val="-4"/>
                <w:sz w:val="21"/>
              </w:rPr>
              <w:t> </w:t>
            </w:r>
            <w:r>
              <w:rPr>
                <w:rFonts w:ascii="Cambria" w:hAnsi="Cambria"/>
                <w:sz w:val="21"/>
              </w:rPr>
              <w:t>e</w:t>
            </w:r>
            <w:r>
              <w:rPr>
                <w:rFonts w:ascii="Cambria" w:hAnsi="Cambria"/>
                <w:spacing w:val="-4"/>
                <w:sz w:val="21"/>
              </w:rPr>
              <w:t> </w:t>
            </w:r>
            <w:r>
              <w:rPr>
                <w:rFonts w:ascii="Cambria" w:hAnsi="Cambria"/>
                <w:spacing w:val="-2"/>
                <w:sz w:val="21"/>
              </w:rPr>
              <w:t>kanalizimit</w:t>
            </w:r>
          </w:p>
        </w:tc>
        <w:tc>
          <w:tcPr>
            <w:tcW w:w="1087" w:type="dxa"/>
          </w:tcPr>
          <w:p>
            <w:pPr>
              <w:pStyle w:val="TableParagraph"/>
              <w:spacing w:line="246" w:lineRule="exact"/>
              <w:ind w:left="108"/>
              <w:rPr>
                <w:rFonts w:ascii="Cambria"/>
                <w:sz w:val="21"/>
              </w:rPr>
            </w:pPr>
            <w:r>
              <w:rPr>
                <w:rFonts w:ascii="Cambria"/>
                <w:spacing w:val="-5"/>
                <w:sz w:val="21"/>
              </w:rPr>
              <w:t>248</w:t>
            </w:r>
          </w:p>
        </w:tc>
        <w:tc>
          <w:tcPr>
            <w:tcW w:w="936" w:type="dxa"/>
          </w:tcPr>
          <w:p>
            <w:pPr>
              <w:pStyle w:val="TableParagraph"/>
              <w:spacing w:line="246" w:lineRule="exact"/>
              <w:ind w:left="107"/>
              <w:rPr>
                <w:rFonts w:ascii="Cambria"/>
                <w:sz w:val="21"/>
              </w:rPr>
            </w:pPr>
            <w:r>
              <w:rPr>
                <w:rFonts w:ascii="Cambria"/>
                <w:spacing w:val="-4"/>
                <w:sz w:val="21"/>
              </w:rPr>
              <w:t>70.5</w:t>
            </w:r>
          </w:p>
        </w:tc>
      </w:tr>
    </w:tbl>
    <w:p>
      <w:pPr>
        <w:spacing w:before="4"/>
        <w:ind w:left="2806" w:right="0" w:firstLine="0"/>
        <w:jc w:val="left"/>
        <w:rPr>
          <w:sz w:val="24"/>
        </w:rPr>
      </w:pPr>
      <w:r>
        <w:rPr>
          <w:b/>
          <w:sz w:val="24"/>
        </w:rPr>
        <w:t>Tabela</w:t>
      </w:r>
      <w:r>
        <w:rPr>
          <w:b/>
          <w:spacing w:val="-8"/>
          <w:sz w:val="24"/>
        </w:rPr>
        <w:t> </w:t>
      </w:r>
      <w:r>
        <w:rPr>
          <w:b/>
          <w:sz w:val="24"/>
        </w:rPr>
        <w:t>19:</w:t>
      </w:r>
      <w:r>
        <w:rPr>
          <w:b/>
          <w:spacing w:val="-8"/>
          <w:sz w:val="24"/>
        </w:rPr>
        <w:t> </w:t>
      </w:r>
      <w:r>
        <w:rPr>
          <w:sz w:val="24"/>
        </w:rPr>
        <w:t>Mbulushmëria</w:t>
      </w:r>
      <w:r>
        <w:rPr>
          <w:spacing w:val="-7"/>
          <w:sz w:val="24"/>
        </w:rPr>
        <w:t> </w:t>
      </w:r>
      <w:r>
        <w:rPr>
          <w:sz w:val="24"/>
        </w:rPr>
        <w:t>me</w:t>
      </w:r>
      <w:r>
        <w:rPr>
          <w:spacing w:val="-9"/>
          <w:sz w:val="24"/>
        </w:rPr>
        <w:t> </w:t>
      </w:r>
      <w:r>
        <w:rPr>
          <w:sz w:val="24"/>
        </w:rPr>
        <w:t>shërbimin</w:t>
      </w:r>
      <w:r>
        <w:rPr>
          <w:spacing w:val="-7"/>
          <w:sz w:val="24"/>
        </w:rPr>
        <w:t> </w:t>
      </w:r>
      <w:r>
        <w:rPr>
          <w:sz w:val="24"/>
        </w:rPr>
        <w:t>e</w:t>
      </w:r>
      <w:r>
        <w:rPr>
          <w:spacing w:val="-8"/>
          <w:sz w:val="24"/>
        </w:rPr>
        <w:t> </w:t>
      </w:r>
      <w:r>
        <w:rPr>
          <w:spacing w:val="-2"/>
          <w:sz w:val="24"/>
        </w:rPr>
        <w:t>kanalizimit</w:t>
      </w:r>
    </w:p>
    <w:p>
      <w:pPr>
        <w:pStyle w:val="BodyText"/>
        <w:spacing w:before="3"/>
        <w:rPr>
          <w:sz w:val="22"/>
        </w:rPr>
      </w:pPr>
    </w:p>
    <w:p>
      <w:pPr>
        <w:pStyle w:val="BodyText"/>
        <w:spacing w:line="288" w:lineRule="auto"/>
        <w:ind w:left="740" w:right="1438"/>
        <w:jc w:val="both"/>
      </w:pPr>
      <w:r>
        <w:rPr/>
        <w:t>Problemet</w:t>
      </w:r>
      <w:r>
        <w:rPr>
          <w:spacing w:val="-15"/>
        </w:rPr>
        <w:t> </w:t>
      </w:r>
      <w:r>
        <w:rPr>
          <w:b/>
        </w:rPr>
        <w:t>-</w:t>
      </w:r>
      <w:r>
        <w:rPr>
          <w:b/>
          <w:spacing w:val="-15"/>
        </w:rPr>
        <w:t> </w:t>
      </w:r>
      <w:r>
        <w:rPr/>
        <w:t>të</w:t>
      </w:r>
      <w:r>
        <w:rPr>
          <w:spacing w:val="-15"/>
        </w:rPr>
        <w:t> </w:t>
      </w:r>
      <w:r>
        <w:rPr/>
        <w:t>gjitha</w:t>
      </w:r>
      <w:r>
        <w:rPr>
          <w:spacing w:val="-15"/>
        </w:rPr>
        <w:t> </w:t>
      </w:r>
      <w:r>
        <w:rPr/>
        <w:t>këto</w:t>
      </w:r>
      <w:r>
        <w:rPr>
          <w:spacing w:val="-15"/>
        </w:rPr>
        <w:t> </w:t>
      </w:r>
      <w:r>
        <w:rPr/>
        <w:t>rrjete</w:t>
      </w:r>
      <w:r>
        <w:rPr>
          <w:spacing w:val="-15"/>
        </w:rPr>
        <w:t> </w:t>
      </w:r>
      <w:r>
        <w:rPr/>
        <w:t>të</w:t>
      </w:r>
      <w:r>
        <w:rPr>
          <w:spacing w:val="-15"/>
        </w:rPr>
        <w:t> </w:t>
      </w:r>
      <w:r>
        <w:rPr/>
        <w:t>kanalizime</w:t>
      </w:r>
      <w:r>
        <w:rPr>
          <w:spacing w:val="-15"/>
        </w:rPr>
        <w:t> </w:t>
      </w:r>
      <w:r>
        <w:rPr/>
        <w:t>derdhen</w:t>
      </w:r>
      <w:r>
        <w:rPr>
          <w:spacing w:val="-15"/>
        </w:rPr>
        <w:t> </w:t>
      </w:r>
      <w:r>
        <w:rPr/>
        <w:t>në</w:t>
      </w:r>
      <w:r>
        <w:rPr>
          <w:spacing w:val="-15"/>
        </w:rPr>
        <w:t> </w:t>
      </w:r>
      <w:r>
        <w:rPr/>
        <w:t>lumin</w:t>
      </w:r>
      <w:r>
        <w:rPr>
          <w:spacing w:val="-15"/>
        </w:rPr>
        <w:t> </w:t>
      </w:r>
      <w:r>
        <w:rPr/>
        <w:t>Lepenc</w:t>
      </w:r>
      <w:r>
        <w:rPr>
          <w:spacing w:val="-14"/>
        </w:rPr>
        <w:t> </w:t>
      </w:r>
      <w:r>
        <w:rPr/>
        <w:t>ose</w:t>
      </w:r>
      <w:r>
        <w:rPr>
          <w:spacing w:val="-14"/>
        </w:rPr>
        <w:t> </w:t>
      </w:r>
      <w:r>
        <w:rPr/>
        <w:t>në</w:t>
      </w:r>
      <w:r>
        <w:rPr>
          <w:spacing w:val="-14"/>
        </w:rPr>
        <w:t> </w:t>
      </w:r>
      <w:r>
        <w:rPr/>
        <w:t>prrocka</w:t>
      </w:r>
      <w:r>
        <w:rPr>
          <w:spacing w:val="-15"/>
        </w:rPr>
        <w:t> </w:t>
      </w:r>
      <w:r>
        <w:rPr/>
        <w:t>të</w:t>
      </w:r>
      <w:r>
        <w:rPr>
          <w:spacing w:val="-14"/>
        </w:rPr>
        <w:t> </w:t>
      </w:r>
      <w:r>
        <w:rPr/>
        <w:t>ndryshme pa</w:t>
      </w:r>
      <w:r>
        <w:rPr>
          <w:spacing w:val="-12"/>
        </w:rPr>
        <w:t> </w:t>
      </w:r>
      <w:r>
        <w:rPr/>
        <w:t>trajtim</w:t>
      </w:r>
      <w:r>
        <w:rPr>
          <w:spacing w:val="-11"/>
        </w:rPr>
        <w:t> </w:t>
      </w:r>
      <w:r>
        <w:rPr/>
        <w:t>paraprak</w:t>
      </w:r>
      <w:r>
        <w:rPr>
          <w:spacing w:val="-13"/>
        </w:rPr>
        <w:t> </w:t>
      </w:r>
      <w:r>
        <w:rPr/>
        <w:t>të</w:t>
      </w:r>
      <w:r>
        <w:rPr>
          <w:spacing w:val="-11"/>
        </w:rPr>
        <w:t> </w:t>
      </w:r>
      <w:r>
        <w:rPr/>
        <w:t>ujërave</w:t>
      </w:r>
      <w:r>
        <w:rPr>
          <w:spacing w:val="-13"/>
        </w:rPr>
        <w:t> </w:t>
      </w:r>
      <w:r>
        <w:rPr/>
        <w:t>të</w:t>
      </w:r>
      <w:r>
        <w:rPr>
          <w:spacing w:val="-10"/>
        </w:rPr>
        <w:t> </w:t>
      </w:r>
      <w:r>
        <w:rPr/>
        <w:t>zeza.</w:t>
      </w:r>
      <w:r>
        <w:rPr>
          <w:spacing w:val="-13"/>
        </w:rPr>
        <w:t> </w:t>
      </w:r>
      <w:r>
        <w:rPr/>
        <w:t>Komuna</w:t>
      </w:r>
      <w:r>
        <w:rPr>
          <w:spacing w:val="-12"/>
        </w:rPr>
        <w:t> </w:t>
      </w:r>
      <w:r>
        <w:rPr/>
        <w:t>planifikon</w:t>
      </w:r>
      <w:r>
        <w:rPr>
          <w:spacing w:val="-12"/>
        </w:rPr>
        <w:t> </w:t>
      </w:r>
      <w:r>
        <w:rPr/>
        <w:t>që</w:t>
      </w:r>
      <w:r>
        <w:rPr>
          <w:spacing w:val="-12"/>
        </w:rPr>
        <w:t> </w:t>
      </w:r>
      <w:r>
        <w:rPr/>
        <w:t>të</w:t>
      </w:r>
      <w:r>
        <w:rPr>
          <w:spacing w:val="-14"/>
        </w:rPr>
        <w:t> </w:t>
      </w:r>
      <w:r>
        <w:rPr/>
        <w:t>rregulloj</w:t>
      </w:r>
      <w:r>
        <w:rPr>
          <w:spacing w:val="-11"/>
        </w:rPr>
        <w:t> </w:t>
      </w:r>
      <w:r>
        <w:rPr/>
        <w:t>një</w:t>
      </w:r>
      <w:r>
        <w:rPr>
          <w:spacing w:val="-12"/>
        </w:rPr>
        <w:t> </w:t>
      </w:r>
      <w:r>
        <w:rPr/>
        <w:t>kolektor</w:t>
      </w:r>
      <w:r>
        <w:rPr>
          <w:spacing w:val="-11"/>
        </w:rPr>
        <w:t> </w:t>
      </w:r>
      <w:r>
        <w:rPr/>
        <w:t>të</w:t>
      </w:r>
      <w:r>
        <w:rPr>
          <w:spacing w:val="-14"/>
        </w:rPr>
        <w:t> </w:t>
      </w:r>
      <w:r>
        <w:rPr/>
        <w:t>përbashkët për pjesës më të madhe të kanalizimeve dhe në bashkëpunim me donatorët të adresojë edhe problemin e trajtimit të ujërave urbane përmes trajtimit të tyre.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rect style="position:absolute;margin-left:72pt;margin-top:10.71957pt;width:144.020pt;height:.66003pt;mso-position-horizontal-relative:page;mso-position-vertical-relative:paragraph;z-index:-15697408;mso-wrap-distance-left:0;mso-wrap-distance-right:0" id="docshape282"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15</w:t>
      </w:r>
      <w:r>
        <w:rPr>
          <w:rFonts w:ascii="Calibri" w:hAnsi="Calibri"/>
          <w:spacing w:val="-4"/>
          <w:sz w:val="20"/>
          <w:vertAlign w:val="baseline"/>
        </w:rPr>
        <w:t> </w:t>
      </w:r>
      <w:r>
        <w:rPr>
          <w:rFonts w:ascii="Calibri" w:hAnsi="Calibri"/>
          <w:sz w:val="20"/>
          <w:vertAlign w:val="baseline"/>
        </w:rPr>
        <w:t>Drejtoria</w:t>
      </w:r>
      <w:r>
        <w:rPr>
          <w:rFonts w:ascii="Calibri" w:hAnsi="Calibri"/>
          <w:spacing w:val="-3"/>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z w:val="20"/>
          <w:vertAlign w:val="baseline"/>
        </w:rPr>
        <w:t>Shërbimeve</w:t>
      </w:r>
      <w:r>
        <w:rPr>
          <w:rFonts w:ascii="Calibri" w:hAnsi="Calibri"/>
          <w:spacing w:val="-4"/>
          <w:sz w:val="20"/>
          <w:vertAlign w:val="baseline"/>
        </w:rPr>
        <w:t> </w:t>
      </w:r>
      <w:r>
        <w:rPr>
          <w:rFonts w:ascii="Calibri" w:hAnsi="Calibri"/>
          <w:sz w:val="20"/>
          <w:vertAlign w:val="baseline"/>
        </w:rPr>
        <w:t>Publike</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pacing w:val="-2"/>
          <w:sz w:val="20"/>
          <w:vertAlign w:val="baseline"/>
        </w:rPr>
        <w:t>Emergjencë</w:t>
      </w:r>
    </w:p>
    <w:p>
      <w:pPr>
        <w:spacing w:after="0"/>
        <w:jc w:val="left"/>
        <w:rPr>
          <w:rFonts w:ascii="Calibri" w:hAnsi="Calibri"/>
          <w:sz w:val="20"/>
        </w:rPr>
        <w:sectPr>
          <w:pgSz w:w="12240" w:h="15840"/>
          <w:pgMar w:header="0" w:footer="990" w:top="1380" w:bottom="1180" w:left="700" w:right="0"/>
        </w:sectPr>
      </w:pPr>
    </w:p>
    <w:p>
      <w:pPr>
        <w:pStyle w:val="BodyText"/>
        <w:ind w:left="-695"/>
        <w:rPr>
          <w:rFonts w:ascii="Calibri"/>
          <w:sz w:val="20"/>
        </w:rPr>
      </w:pPr>
      <w:r>
        <w:rPr>
          <w:rFonts w:ascii="Calibri"/>
          <w:sz w:val="20"/>
        </w:rPr>
        <w:pict>
          <v:group style="width:354.35pt;height:52.3pt;mso-position-horizontal-relative:char;mso-position-vertical-relative:line" id="docshapegroup283" coordorigin="0,0" coordsize="7087,1046">
            <v:shape style="position:absolute;left:0;top:0;width:7087;height:1046" type="#_x0000_t75" id="docshape284" stroked="false">
              <v:imagedata r:id="rId70" o:title=""/>
            </v:shape>
            <v:shape style="position:absolute;left:1123;top:105;width:661;height:355" type="#_x0000_t202" id="docshape285" filled="false" stroked="false">
              <v:textbox inset="0,0,0,0">
                <w:txbxContent>
                  <w:p>
                    <w:pPr>
                      <w:spacing w:line="355" w:lineRule="exact" w:before="0"/>
                      <w:ind w:left="0" w:right="0" w:firstLine="0"/>
                      <w:jc w:val="left"/>
                      <w:rPr>
                        <w:b/>
                        <w:sz w:val="32"/>
                      </w:rPr>
                    </w:pPr>
                    <w:r>
                      <w:rPr>
                        <w:b/>
                        <w:color w:val="FFFFFF"/>
                        <w:spacing w:val="-2"/>
                        <w:sz w:val="32"/>
                      </w:rPr>
                      <w:t>10.1.</w:t>
                    </w:r>
                  </w:p>
                </w:txbxContent>
              </v:textbox>
              <w10:wrap type="none"/>
            </v:shape>
            <v:shape style="position:absolute;left:2473;top:105;width:3576;height:355" type="#_x0000_t202" id="docshape286" filled="false" stroked="false">
              <v:textbox inset="0,0,0,0">
                <w:txbxContent>
                  <w:p>
                    <w:pPr>
                      <w:spacing w:line="355" w:lineRule="exact" w:before="0"/>
                      <w:ind w:left="0" w:right="0" w:firstLine="0"/>
                      <w:jc w:val="left"/>
                      <w:rPr>
                        <w:b/>
                        <w:sz w:val="32"/>
                      </w:rPr>
                    </w:pPr>
                    <w:r>
                      <w:rPr>
                        <w:b/>
                        <w:color w:val="FFFFFF"/>
                        <w:sz w:val="32"/>
                      </w:rPr>
                      <w:t>Menaxhimi</w:t>
                    </w:r>
                    <w:r>
                      <w:rPr>
                        <w:b/>
                        <w:color w:val="FFFFFF"/>
                        <w:spacing w:val="-4"/>
                        <w:sz w:val="32"/>
                      </w:rPr>
                      <w:t> </w:t>
                    </w:r>
                    <w:r>
                      <w:rPr>
                        <w:b/>
                        <w:color w:val="FFFFFF"/>
                        <w:sz w:val="32"/>
                      </w:rPr>
                      <w:t>i</w:t>
                    </w:r>
                    <w:r>
                      <w:rPr>
                        <w:b/>
                        <w:color w:val="FFFFFF"/>
                        <w:spacing w:val="-2"/>
                        <w:sz w:val="32"/>
                      </w:rPr>
                      <w:t> mbeturinave</w:t>
                    </w:r>
                  </w:p>
                </w:txbxContent>
              </v:textbox>
              <w10:wrap type="none"/>
            </v:shape>
          </v:group>
        </w:pict>
      </w:r>
      <w:r>
        <w:rPr>
          <w:rFonts w:ascii="Calibri"/>
          <w:sz w:val="20"/>
        </w:rPr>
      </w:r>
    </w:p>
    <w:p>
      <w:pPr>
        <w:pStyle w:val="BodyText"/>
        <w:spacing w:before="1"/>
        <w:rPr>
          <w:rFonts w:ascii="Calibri"/>
        </w:rPr>
      </w:pPr>
    </w:p>
    <w:p>
      <w:pPr>
        <w:pStyle w:val="BodyText"/>
        <w:spacing w:before="90"/>
        <w:ind w:left="740" w:right="1462"/>
        <w:jc w:val="both"/>
      </w:pPr>
      <w:r>
        <w:rPr/>
        <w:pict>
          <v:group style="position:absolute;margin-left:282.790009pt;margin-top:-67.262848pt;width:329.75pt;height:52.25pt;mso-position-horizontal-relative:page;mso-position-vertical-relative:paragraph;z-index:15760896" id="docshapegroup287" coordorigin="5656,-1345" coordsize="6595,1045">
            <v:rect style="position:absolute;left:7093;top:-1336;width:5147;height:547" id="docshape288" filled="true" fillcolor="#eab9a4" stroked="false">
              <v:fill type="solid"/>
            </v:rect>
            <v:rect style="position:absolute;left:7093;top:-1336;width:5147;height:547" id="docshape289" filled="false" stroked="true" strokeweight="1pt" strokecolor="#eab9a4">
              <v:stroke dashstyle="solid"/>
            </v:rect>
            <v:shape style="position:absolute;left:5665;top:-1324;width:2820;height:1013" id="docshape290" coordorigin="5666,-1323" coordsize="2820,1013" path="m8486,-1323l6781,-1323,5666,-311,7371,-311,8486,-1323xe" filled="true" fillcolor="#eab9a4" stroked="false">
              <v:path arrowok="t"/>
              <v:fill type="solid"/>
            </v:shape>
            <v:shape style="position:absolute;left:5665;top:-1324;width:2820;height:1013" id="docshape291" coordorigin="5666,-1323" coordsize="2820,1013" path="m5666,-311l6781,-1323,8486,-1323,7371,-311,5666,-311xe" filled="false" stroked="true" strokeweight="1pt" strokecolor="#eab9a4">
              <v:path arrowok="t"/>
              <v:stroke dashstyle="solid"/>
            </v:shape>
            <w10:wrap type="none"/>
          </v:group>
        </w:pict>
      </w:r>
      <w:r>
        <w:rPr/>
        <w:t>Shërbimi i grumbullimit të mbeturinave ofrohet në tërë territorin e Komunës së Hanit të Elezit (100%)</w:t>
      </w:r>
      <w:r>
        <w:rPr>
          <w:spacing w:val="-15"/>
        </w:rPr>
        <w:t> </w:t>
      </w:r>
      <w:r>
        <w:rPr/>
        <w:t>Në.</w:t>
      </w:r>
      <w:r>
        <w:rPr>
          <w:spacing w:val="-15"/>
        </w:rPr>
        <w:t> </w:t>
      </w:r>
      <w:r>
        <w:rPr/>
        <w:t>qytezë</w:t>
      </w:r>
      <w:r>
        <w:rPr>
          <w:spacing w:val="-15"/>
        </w:rPr>
        <w:t> </w:t>
      </w:r>
      <w:r>
        <w:rPr/>
        <w:t>ofrohet</w:t>
      </w:r>
      <w:r>
        <w:rPr>
          <w:spacing w:val="-15"/>
        </w:rPr>
        <w:t> </w:t>
      </w:r>
      <w:r>
        <w:rPr/>
        <w:t>dy</w:t>
      </w:r>
      <w:r>
        <w:rPr>
          <w:spacing w:val="-15"/>
        </w:rPr>
        <w:t> </w:t>
      </w:r>
      <w:r>
        <w:rPr/>
        <w:t>herë</w:t>
      </w:r>
      <w:r>
        <w:rPr>
          <w:spacing w:val="-15"/>
        </w:rPr>
        <w:t> </w:t>
      </w:r>
      <w:r>
        <w:rPr/>
        <w:t>në</w:t>
      </w:r>
      <w:r>
        <w:rPr>
          <w:spacing w:val="-15"/>
        </w:rPr>
        <w:t> </w:t>
      </w:r>
      <w:r>
        <w:rPr/>
        <w:t>javë,</w:t>
      </w:r>
      <w:r>
        <w:rPr>
          <w:spacing w:val="-15"/>
        </w:rPr>
        <w:t> </w:t>
      </w:r>
      <w:r>
        <w:rPr/>
        <w:t>kurse</w:t>
      </w:r>
      <w:r>
        <w:rPr>
          <w:spacing w:val="-15"/>
        </w:rPr>
        <w:t> </w:t>
      </w:r>
      <w:r>
        <w:rPr/>
        <w:t>në</w:t>
      </w:r>
      <w:r>
        <w:rPr>
          <w:spacing w:val="-15"/>
        </w:rPr>
        <w:t> </w:t>
      </w:r>
      <w:r>
        <w:rPr/>
        <w:t>vendbanimet</w:t>
      </w:r>
      <w:r>
        <w:rPr>
          <w:spacing w:val="-15"/>
        </w:rPr>
        <w:t> </w:t>
      </w:r>
      <w:r>
        <w:rPr/>
        <w:t>tjera</w:t>
      </w:r>
      <w:r>
        <w:rPr>
          <w:spacing w:val="-15"/>
        </w:rPr>
        <w:t> </w:t>
      </w:r>
      <w:r>
        <w:rPr/>
        <w:t>një</w:t>
      </w:r>
      <w:r>
        <w:rPr>
          <w:spacing w:val="-15"/>
        </w:rPr>
        <w:t> </w:t>
      </w:r>
      <w:r>
        <w:rPr/>
        <w:t>herë</w:t>
      </w:r>
      <w:r>
        <w:rPr>
          <w:spacing w:val="-15"/>
        </w:rPr>
        <w:t> </w:t>
      </w:r>
      <w:r>
        <w:rPr/>
        <w:t>në</w:t>
      </w:r>
      <w:r>
        <w:rPr>
          <w:spacing w:val="-15"/>
        </w:rPr>
        <w:t> </w:t>
      </w:r>
      <w:r>
        <w:rPr/>
        <w:t>javë.</w:t>
      </w:r>
      <w:r>
        <w:rPr>
          <w:spacing w:val="-15"/>
        </w:rPr>
        <w:t> </w:t>
      </w:r>
      <w:r>
        <w:rPr/>
        <w:t>Mbeturinat deponohen në deponinë e përkohshme në Ferizaj apo në deponinë</w:t>
      </w:r>
      <w:r>
        <w:rPr/>
        <w:t> e përhershme regjionale në Velekincë,</w:t>
      </w:r>
      <w:r>
        <w:rPr>
          <w:spacing w:val="-15"/>
        </w:rPr>
        <w:t> </w:t>
      </w:r>
      <w:r>
        <w:rPr/>
        <w:t>Gjilan.</w:t>
      </w:r>
      <w:r>
        <w:rPr>
          <w:spacing w:val="-15"/>
        </w:rPr>
        <w:t> </w:t>
      </w:r>
      <w:r>
        <w:rPr/>
        <w:t>Shërbimi</w:t>
      </w:r>
      <w:r>
        <w:rPr>
          <w:spacing w:val="-15"/>
        </w:rPr>
        <w:t> </w:t>
      </w:r>
      <w:r>
        <w:rPr/>
        <w:t>ofrohet</w:t>
      </w:r>
      <w:r>
        <w:rPr>
          <w:spacing w:val="-15"/>
        </w:rPr>
        <w:t> </w:t>
      </w:r>
      <w:r>
        <w:rPr/>
        <w:t>nga</w:t>
      </w:r>
      <w:r>
        <w:rPr>
          <w:spacing w:val="-15"/>
        </w:rPr>
        <w:t> </w:t>
      </w:r>
      <w:r>
        <w:rPr/>
        <w:t>qeveria</w:t>
      </w:r>
      <w:r>
        <w:rPr>
          <w:spacing w:val="-15"/>
        </w:rPr>
        <w:t> </w:t>
      </w:r>
      <w:r>
        <w:rPr/>
        <w:t>lokale</w:t>
      </w:r>
      <w:r>
        <w:rPr>
          <w:spacing w:val="-15"/>
        </w:rPr>
        <w:t> </w:t>
      </w:r>
      <w:r>
        <w:rPr/>
        <w:t>përmes</w:t>
      </w:r>
      <w:r>
        <w:rPr>
          <w:spacing w:val="-15"/>
        </w:rPr>
        <w:t> </w:t>
      </w:r>
      <w:r>
        <w:rPr/>
        <w:t>Ndërmarrjes</w:t>
      </w:r>
      <w:r>
        <w:rPr>
          <w:spacing w:val="-15"/>
        </w:rPr>
        <w:t> </w:t>
      </w:r>
      <w:r>
        <w:rPr/>
        <w:t>Publike</w:t>
      </w:r>
      <w:r>
        <w:rPr>
          <w:spacing w:val="-15"/>
        </w:rPr>
        <w:t> </w:t>
      </w:r>
      <w:r>
        <w:rPr/>
        <w:t>Lokale</w:t>
      </w:r>
      <w:r>
        <w:rPr>
          <w:spacing w:val="-15"/>
        </w:rPr>
        <w:t> </w:t>
      </w:r>
      <w:r>
        <w:rPr/>
        <w:t>–</w:t>
      </w:r>
      <w:r>
        <w:rPr>
          <w:spacing w:val="-15"/>
        </w:rPr>
        <w:t> </w:t>
      </w:r>
      <w:r>
        <w:rPr/>
        <w:t>NPL “Pastrimi” që nga 1 janari 2017. Çmimet fikse mujore janë 5 euro për ekonomi familjare, 8 euro për</w:t>
      </w:r>
      <w:r>
        <w:rPr>
          <w:spacing w:val="-6"/>
        </w:rPr>
        <w:t> </w:t>
      </w:r>
      <w:r>
        <w:rPr/>
        <w:t>biznese</w:t>
      </w:r>
      <w:r>
        <w:rPr>
          <w:spacing w:val="-7"/>
        </w:rPr>
        <w:t> </w:t>
      </w:r>
      <w:r>
        <w:rPr/>
        <w:t>dhe</w:t>
      </w:r>
      <w:r>
        <w:rPr>
          <w:spacing w:val="-6"/>
        </w:rPr>
        <w:t> </w:t>
      </w:r>
      <w:r>
        <w:rPr/>
        <w:t>13</w:t>
      </w:r>
      <w:r>
        <w:rPr>
          <w:spacing w:val="-6"/>
        </w:rPr>
        <w:t> </w:t>
      </w:r>
      <w:r>
        <w:rPr/>
        <w:t>euro</w:t>
      </w:r>
      <w:r>
        <w:rPr>
          <w:spacing w:val="-7"/>
        </w:rPr>
        <w:t> </w:t>
      </w:r>
      <w:r>
        <w:rPr/>
        <w:t>për</w:t>
      </w:r>
      <w:r>
        <w:rPr>
          <w:spacing w:val="-6"/>
        </w:rPr>
        <w:t> </w:t>
      </w:r>
      <w:r>
        <w:rPr/>
        <w:t>çdo</w:t>
      </w:r>
      <w:r>
        <w:rPr>
          <w:spacing w:val="-6"/>
        </w:rPr>
        <w:t> </w:t>
      </w:r>
      <w:r>
        <w:rPr/>
        <w:t>zbrazje</w:t>
      </w:r>
      <w:r>
        <w:rPr>
          <w:spacing w:val="-4"/>
        </w:rPr>
        <w:t> </w:t>
      </w:r>
      <w:r>
        <w:rPr/>
        <w:t>të</w:t>
      </w:r>
      <w:r>
        <w:rPr>
          <w:spacing w:val="-5"/>
        </w:rPr>
        <w:t> </w:t>
      </w:r>
      <w:r>
        <w:rPr/>
        <w:t>kontejnerit</w:t>
      </w:r>
      <w:r>
        <w:rPr>
          <w:spacing w:val="-6"/>
        </w:rPr>
        <w:t> </w:t>
      </w:r>
      <w:r>
        <w:rPr/>
        <w:t>1100</w:t>
      </w:r>
      <w:r>
        <w:rPr>
          <w:spacing w:val="-6"/>
        </w:rPr>
        <w:t> </w:t>
      </w:r>
      <w:r>
        <w:rPr/>
        <w:t>litërsh</w:t>
      </w:r>
      <w:r>
        <w:rPr>
          <w:spacing w:val="-7"/>
        </w:rPr>
        <w:t> </w:t>
      </w:r>
      <w:r>
        <w:rPr/>
        <w:t>(secila</w:t>
      </w:r>
      <w:r>
        <w:rPr>
          <w:spacing w:val="-7"/>
        </w:rPr>
        <w:t> </w:t>
      </w:r>
      <w:r>
        <w:rPr/>
        <w:t>me</w:t>
      </w:r>
      <w:r>
        <w:rPr>
          <w:spacing w:val="-5"/>
        </w:rPr>
        <w:t> </w:t>
      </w:r>
      <w:r>
        <w:rPr/>
        <w:t>kontrata</w:t>
      </w:r>
      <w:r>
        <w:rPr>
          <w:spacing w:val="-7"/>
        </w:rPr>
        <w:t> </w:t>
      </w:r>
      <w:r>
        <w:rPr/>
        <w:t>të</w:t>
      </w:r>
      <w:r>
        <w:rPr>
          <w:spacing w:val="-5"/>
        </w:rPr>
        <w:t> </w:t>
      </w:r>
      <w:r>
        <w:rPr/>
        <w:t>veçanta). Duke përfshirë aksionarët dhe Bordin e Drejtorëve, NPL ka një staf prej 21 veta, ndërsa ka në pronësi 3 kamionë, 2 traktor, 1 veturë dhe disa mekanizma shtesë për mbeturina.</w:t>
      </w:r>
    </w:p>
    <w:p>
      <w:pPr>
        <w:pStyle w:val="BodyText"/>
        <w:spacing w:before="10"/>
        <w:rPr>
          <w:sz w:val="20"/>
        </w:rPr>
      </w:pPr>
    </w:p>
    <w:p>
      <w:pPr>
        <w:pStyle w:val="BodyText"/>
        <w:spacing w:before="1"/>
        <w:ind w:left="740"/>
        <w:jc w:val="both"/>
      </w:pPr>
      <w:r>
        <w:rPr/>
        <w:t>Shtrirja</w:t>
      </w:r>
      <w:r>
        <w:rPr>
          <w:spacing w:val="-5"/>
        </w:rPr>
        <w:t> </w:t>
      </w:r>
      <w:r>
        <w:rPr/>
        <w:t>e</w:t>
      </w:r>
      <w:r>
        <w:rPr>
          <w:spacing w:val="-5"/>
        </w:rPr>
        <w:t> </w:t>
      </w:r>
      <w:r>
        <w:rPr/>
        <w:t>shërbimit</w:t>
      </w:r>
      <w:r>
        <w:rPr>
          <w:spacing w:val="-4"/>
        </w:rPr>
        <w:t> </w:t>
      </w:r>
      <w:r>
        <w:rPr/>
        <w:t>është</w:t>
      </w:r>
      <w:r>
        <w:rPr>
          <w:spacing w:val="-5"/>
        </w:rPr>
        <w:t> </w:t>
      </w:r>
      <w:r>
        <w:rPr/>
        <w:t>si</w:t>
      </w:r>
      <w:r>
        <w:rPr>
          <w:spacing w:val="-4"/>
        </w:rPr>
        <w:t> </w:t>
      </w:r>
      <w:r>
        <w:rPr/>
        <w:t>në</w:t>
      </w:r>
      <w:r>
        <w:rPr>
          <w:spacing w:val="-4"/>
        </w:rPr>
        <w:t> </w:t>
      </w:r>
      <w:r>
        <w:rPr>
          <w:spacing w:val="-2"/>
        </w:rPr>
        <w:t>vijim:</w:t>
      </w:r>
    </w:p>
    <w:p>
      <w:pPr>
        <w:pStyle w:val="BodyText"/>
        <w:spacing w:before="3"/>
        <w:rPr>
          <w:sz w:val="17"/>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2610"/>
        <w:gridCol w:w="1080"/>
        <w:gridCol w:w="1180"/>
        <w:gridCol w:w="900"/>
        <w:gridCol w:w="1070"/>
        <w:gridCol w:w="1890"/>
      </w:tblGrid>
      <w:tr>
        <w:trPr>
          <w:trHeight w:val="923" w:hRule="atLeast"/>
        </w:trPr>
        <w:tc>
          <w:tcPr>
            <w:tcW w:w="630" w:type="dxa"/>
            <w:shd w:val="clear" w:color="auto" w:fill="EAB8A3"/>
          </w:tcPr>
          <w:p>
            <w:pPr>
              <w:pStyle w:val="TableParagraph"/>
              <w:spacing w:before="1"/>
              <w:ind w:left="4"/>
              <w:rPr>
                <w:rFonts w:ascii="Calibri"/>
                <w:b/>
                <w:sz w:val="21"/>
              </w:rPr>
            </w:pPr>
            <w:r>
              <w:rPr>
                <w:rFonts w:ascii="Calibri"/>
                <w:b/>
                <w:spacing w:val="-5"/>
                <w:sz w:val="21"/>
              </w:rPr>
              <w:t>Nr</w:t>
            </w:r>
          </w:p>
        </w:tc>
        <w:tc>
          <w:tcPr>
            <w:tcW w:w="2610" w:type="dxa"/>
            <w:shd w:val="clear" w:color="auto" w:fill="EAB8A3"/>
          </w:tcPr>
          <w:p>
            <w:pPr>
              <w:pStyle w:val="TableParagraph"/>
              <w:spacing w:before="1"/>
              <w:ind w:left="4"/>
              <w:rPr>
                <w:rFonts w:ascii="Calibri"/>
                <w:b/>
                <w:sz w:val="21"/>
              </w:rPr>
            </w:pPr>
            <w:r>
              <w:rPr>
                <w:rFonts w:ascii="Calibri"/>
                <w:b/>
                <w:spacing w:val="-2"/>
                <w:sz w:val="21"/>
              </w:rPr>
              <w:t>Vendbanimet</w:t>
            </w:r>
          </w:p>
        </w:tc>
        <w:tc>
          <w:tcPr>
            <w:tcW w:w="1080" w:type="dxa"/>
            <w:shd w:val="clear" w:color="auto" w:fill="EAB8A3"/>
          </w:tcPr>
          <w:p>
            <w:pPr>
              <w:pStyle w:val="TableParagraph"/>
              <w:spacing w:before="1"/>
              <w:ind w:left="5"/>
              <w:rPr>
                <w:rFonts w:ascii="Calibri" w:hAnsi="Calibri"/>
                <w:b/>
                <w:sz w:val="21"/>
              </w:rPr>
            </w:pPr>
            <w:r>
              <w:rPr>
                <w:rFonts w:ascii="Calibri" w:hAnsi="Calibri"/>
                <w:b/>
                <w:spacing w:val="-2"/>
                <w:sz w:val="21"/>
              </w:rPr>
              <w:t>Shërbimi</w:t>
            </w:r>
          </w:p>
        </w:tc>
        <w:tc>
          <w:tcPr>
            <w:tcW w:w="1180" w:type="dxa"/>
            <w:shd w:val="clear" w:color="auto" w:fill="EAB8A3"/>
          </w:tcPr>
          <w:p>
            <w:pPr>
              <w:pStyle w:val="TableParagraph"/>
              <w:spacing w:line="288" w:lineRule="auto" w:before="1"/>
              <w:ind w:left="5" w:right="28"/>
              <w:rPr>
                <w:rFonts w:ascii="Calibri" w:hAnsi="Calibri"/>
                <w:b/>
                <w:sz w:val="21"/>
              </w:rPr>
            </w:pPr>
            <w:r>
              <w:rPr>
                <w:rFonts w:ascii="Calibri" w:hAnsi="Calibri"/>
                <w:b/>
                <w:sz w:val="21"/>
              </w:rPr>
              <w:t>Nr. i </w:t>
            </w:r>
            <w:r>
              <w:rPr>
                <w:rFonts w:ascii="Calibri" w:hAnsi="Calibri"/>
                <w:b/>
                <w:spacing w:val="-2"/>
                <w:sz w:val="21"/>
              </w:rPr>
              <w:t>klientëve</w:t>
            </w:r>
          </w:p>
          <w:p>
            <w:pPr>
              <w:pStyle w:val="TableParagraph"/>
              <w:spacing w:before="1"/>
              <w:ind w:left="5"/>
              <w:rPr>
                <w:rFonts w:ascii="Calibri" w:hAnsi="Calibri"/>
                <w:b/>
                <w:sz w:val="21"/>
              </w:rPr>
            </w:pPr>
            <w:r>
              <w:rPr>
                <w:rFonts w:ascii="Calibri" w:hAnsi="Calibri"/>
                <w:b/>
                <w:spacing w:val="-2"/>
                <w:sz w:val="21"/>
              </w:rPr>
              <w:t>amvisëri</w:t>
            </w:r>
          </w:p>
        </w:tc>
        <w:tc>
          <w:tcPr>
            <w:tcW w:w="1970" w:type="dxa"/>
            <w:gridSpan w:val="2"/>
            <w:shd w:val="clear" w:color="auto" w:fill="EAB8A3"/>
          </w:tcPr>
          <w:p>
            <w:pPr>
              <w:pStyle w:val="TableParagraph"/>
              <w:spacing w:before="1"/>
              <w:ind w:left="6"/>
              <w:rPr>
                <w:rFonts w:ascii="Calibri" w:hAnsi="Calibri"/>
                <w:b/>
                <w:sz w:val="21"/>
              </w:rPr>
            </w:pPr>
            <w:r>
              <w:rPr>
                <w:rFonts w:ascii="Calibri" w:hAnsi="Calibri"/>
                <w:b/>
                <w:sz w:val="21"/>
              </w:rPr>
              <w:t>Nr. i klientëve</w:t>
            </w:r>
            <w:r>
              <w:rPr>
                <w:rFonts w:ascii="Calibri" w:hAnsi="Calibri"/>
                <w:b/>
                <w:spacing w:val="-1"/>
                <w:sz w:val="21"/>
              </w:rPr>
              <w:t> </w:t>
            </w:r>
            <w:r>
              <w:rPr>
                <w:rFonts w:ascii="Calibri" w:hAnsi="Calibri"/>
                <w:b/>
                <w:sz w:val="21"/>
              </w:rPr>
              <w:t>të</w:t>
            </w:r>
            <w:r>
              <w:rPr>
                <w:rFonts w:ascii="Calibri" w:hAnsi="Calibri"/>
                <w:b/>
                <w:spacing w:val="-1"/>
                <w:sz w:val="21"/>
              </w:rPr>
              <w:t> </w:t>
            </w:r>
            <w:r>
              <w:rPr>
                <w:rFonts w:ascii="Calibri" w:hAnsi="Calibri"/>
                <w:b/>
                <w:spacing w:val="-2"/>
                <w:sz w:val="21"/>
              </w:rPr>
              <w:t>tjerë</w:t>
            </w:r>
          </w:p>
        </w:tc>
        <w:tc>
          <w:tcPr>
            <w:tcW w:w="1890" w:type="dxa"/>
            <w:shd w:val="clear" w:color="auto" w:fill="EAB8A3"/>
          </w:tcPr>
          <w:p>
            <w:pPr>
              <w:pStyle w:val="TableParagraph"/>
              <w:spacing w:before="1"/>
              <w:ind w:left="5"/>
              <w:rPr>
                <w:rFonts w:ascii="Calibri" w:hAnsi="Calibri"/>
                <w:b/>
                <w:sz w:val="21"/>
              </w:rPr>
            </w:pPr>
            <w:r>
              <w:rPr>
                <w:rFonts w:ascii="Calibri" w:hAnsi="Calibri"/>
                <w:b/>
                <w:sz w:val="21"/>
              </w:rPr>
              <w:t>Gjatësia</w:t>
            </w:r>
            <w:r>
              <w:rPr>
                <w:rFonts w:ascii="Calibri" w:hAnsi="Calibri"/>
                <w:b/>
                <w:spacing w:val="-5"/>
                <w:sz w:val="21"/>
              </w:rPr>
              <w:t> </w:t>
            </w:r>
            <w:r>
              <w:rPr>
                <w:rFonts w:ascii="Calibri" w:hAnsi="Calibri"/>
                <w:b/>
                <w:sz w:val="21"/>
              </w:rPr>
              <w:t>e</w:t>
            </w:r>
            <w:r>
              <w:rPr>
                <w:rFonts w:ascii="Calibri" w:hAnsi="Calibri"/>
                <w:b/>
                <w:spacing w:val="-4"/>
                <w:sz w:val="21"/>
              </w:rPr>
              <w:t> </w:t>
            </w:r>
            <w:r>
              <w:rPr>
                <w:rFonts w:ascii="Calibri" w:hAnsi="Calibri"/>
                <w:b/>
                <w:sz w:val="21"/>
              </w:rPr>
              <w:t>rutës</w:t>
            </w:r>
            <w:r>
              <w:rPr>
                <w:rFonts w:ascii="Calibri" w:hAnsi="Calibri"/>
                <w:b/>
                <w:spacing w:val="-3"/>
                <w:sz w:val="21"/>
              </w:rPr>
              <w:t> </w:t>
            </w:r>
            <w:r>
              <w:rPr>
                <w:rFonts w:ascii="Calibri" w:hAnsi="Calibri"/>
                <w:b/>
                <w:spacing w:val="-5"/>
                <w:sz w:val="21"/>
              </w:rPr>
              <w:t>së</w:t>
            </w:r>
          </w:p>
          <w:p>
            <w:pPr>
              <w:pStyle w:val="TableParagraph"/>
              <w:spacing w:before="51"/>
              <w:ind w:left="5"/>
              <w:rPr>
                <w:rFonts w:ascii="Calibri" w:hAnsi="Calibri"/>
                <w:b/>
                <w:sz w:val="21"/>
              </w:rPr>
            </w:pPr>
            <w:r>
              <w:rPr>
                <w:rFonts w:ascii="Calibri" w:hAnsi="Calibri"/>
                <w:b/>
                <w:sz w:val="21"/>
              </w:rPr>
              <w:t>shërbimit</w:t>
            </w:r>
            <w:r>
              <w:rPr>
                <w:rFonts w:ascii="Calibri" w:hAnsi="Calibri"/>
                <w:b/>
                <w:spacing w:val="-2"/>
                <w:sz w:val="21"/>
              </w:rPr>
              <w:t> </w:t>
            </w:r>
            <w:r>
              <w:rPr>
                <w:rFonts w:ascii="Calibri" w:hAnsi="Calibri"/>
                <w:b/>
                <w:spacing w:val="-4"/>
                <w:sz w:val="21"/>
              </w:rPr>
              <w:t>(m’)</w:t>
            </w:r>
          </w:p>
        </w:tc>
      </w:tr>
      <w:tr>
        <w:trPr>
          <w:trHeight w:val="615" w:hRule="atLeast"/>
        </w:trPr>
        <w:tc>
          <w:tcPr>
            <w:tcW w:w="630" w:type="dxa"/>
          </w:tcPr>
          <w:p>
            <w:pPr>
              <w:pStyle w:val="TableParagraph"/>
              <w:ind w:left="4"/>
              <w:rPr>
                <w:rFonts w:ascii="Calibri"/>
                <w:b/>
                <w:sz w:val="21"/>
              </w:rPr>
            </w:pPr>
            <w:r>
              <w:rPr>
                <w:rFonts w:ascii="Calibri"/>
                <w:b/>
                <w:sz w:val="21"/>
              </w:rPr>
              <w:t>1</w:t>
            </w:r>
          </w:p>
        </w:tc>
        <w:tc>
          <w:tcPr>
            <w:tcW w:w="2610" w:type="dxa"/>
          </w:tcPr>
          <w:p>
            <w:pPr>
              <w:pStyle w:val="TableParagraph"/>
              <w:ind w:left="52"/>
              <w:rPr>
                <w:rFonts w:ascii="Calibri" w:hAnsi="Calibri"/>
                <w:sz w:val="21"/>
              </w:rPr>
            </w:pPr>
            <w:r>
              <w:rPr>
                <w:rFonts w:ascii="Calibri" w:hAnsi="Calibri"/>
                <w:sz w:val="21"/>
              </w:rPr>
              <w:t>Qytezë</w:t>
            </w:r>
            <w:r>
              <w:rPr>
                <w:rFonts w:ascii="Calibri" w:hAnsi="Calibri"/>
                <w:spacing w:val="-2"/>
                <w:sz w:val="21"/>
              </w:rPr>
              <w:t> </w:t>
            </w:r>
            <w:r>
              <w:rPr>
                <w:rFonts w:ascii="Calibri" w:hAnsi="Calibri"/>
                <w:sz w:val="21"/>
              </w:rPr>
              <w:t>(nga</w:t>
            </w:r>
            <w:r>
              <w:rPr>
                <w:rFonts w:ascii="Calibri" w:hAnsi="Calibri"/>
                <w:spacing w:val="-2"/>
                <w:sz w:val="21"/>
              </w:rPr>
              <w:t> </w:t>
            </w:r>
            <w:r>
              <w:rPr>
                <w:rFonts w:ascii="Calibri" w:hAnsi="Calibri"/>
                <w:sz w:val="21"/>
              </w:rPr>
              <w:t>hekurudha</w:t>
            </w:r>
            <w:r>
              <w:rPr>
                <w:rFonts w:ascii="Calibri" w:hAnsi="Calibri"/>
                <w:spacing w:val="-2"/>
                <w:sz w:val="21"/>
              </w:rPr>
              <w:t> </w:t>
            </w:r>
            <w:r>
              <w:rPr>
                <w:rFonts w:ascii="Calibri" w:hAnsi="Calibri"/>
                <w:spacing w:val="-5"/>
                <w:sz w:val="21"/>
              </w:rPr>
              <w:t>në</w:t>
            </w:r>
          </w:p>
          <w:p>
            <w:pPr>
              <w:pStyle w:val="TableParagraph"/>
              <w:spacing w:before="52"/>
              <w:ind w:left="4"/>
              <w:rPr>
                <w:rFonts w:ascii="Calibri" w:hAnsi="Calibri"/>
                <w:sz w:val="21"/>
              </w:rPr>
            </w:pPr>
            <w:r>
              <w:rPr>
                <w:rFonts w:ascii="Calibri" w:hAnsi="Calibri"/>
                <w:sz w:val="21"/>
              </w:rPr>
              <w:t>rrugën</w:t>
            </w:r>
            <w:r>
              <w:rPr>
                <w:rFonts w:ascii="Calibri" w:hAnsi="Calibri"/>
                <w:spacing w:val="-5"/>
                <w:sz w:val="21"/>
              </w:rPr>
              <w:t> </w:t>
            </w:r>
            <w:r>
              <w:rPr>
                <w:rFonts w:ascii="Calibri" w:hAnsi="Calibri"/>
                <w:sz w:val="21"/>
              </w:rPr>
              <w:t>nacionale</w:t>
            </w:r>
            <w:r>
              <w:rPr>
                <w:rFonts w:ascii="Calibri" w:hAnsi="Calibri"/>
                <w:spacing w:val="-5"/>
                <w:sz w:val="21"/>
              </w:rPr>
              <w:t> N2)</w:t>
            </w:r>
          </w:p>
        </w:tc>
        <w:tc>
          <w:tcPr>
            <w:tcW w:w="1080" w:type="dxa"/>
          </w:tcPr>
          <w:p>
            <w:pPr>
              <w:pStyle w:val="TableParagraph"/>
              <w:ind w:left="53"/>
              <w:rPr>
                <w:rFonts w:ascii="Calibri" w:hAnsi="Calibri"/>
                <w:sz w:val="21"/>
              </w:rPr>
            </w:pPr>
            <w:r>
              <w:rPr>
                <w:rFonts w:ascii="Calibri" w:hAnsi="Calibri"/>
                <w:spacing w:val="-2"/>
                <w:sz w:val="21"/>
              </w:rPr>
              <w:t>2’/javë</w:t>
            </w:r>
          </w:p>
        </w:tc>
        <w:tc>
          <w:tcPr>
            <w:tcW w:w="1180" w:type="dxa"/>
            <w:vMerge w:val="restart"/>
          </w:tcPr>
          <w:p>
            <w:pPr>
              <w:pStyle w:val="TableParagraph"/>
              <w:ind w:left="364" w:right="354"/>
              <w:jc w:val="center"/>
              <w:rPr>
                <w:rFonts w:ascii="Calibri"/>
                <w:sz w:val="21"/>
              </w:rPr>
            </w:pPr>
            <w:r>
              <w:rPr>
                <w:rFonts w:ascii="Calibri"/>
                <w:spacing w:val="-5"/>
                <w:sz w:val="21"/>
              </w:rPr>
              <w:t>430</w:t>
            </w:r>
          </w:p>
        </w:tc>
        <w:tc>
          <w:tcPr>
            <w:tcW w:w="900" w:type="dxa"/>
            <w:vMerge w:val="restart"/>
          </w:tcPr>
          <w:p>
            <w:pPr>
              <w:pStyle w:val="TableParagraph"/>
              <w:spacing w:line="288" w:lineRule="auto"/>
              <w:ind w:left="344" w:right="111" w:hanging="218"/>
              <w:rPr>
                <w:rFonts w:ascii="Calibri"/>
                <w:sz w:val="21"/>
              </w:rPr>
            </w:pPr>
            <w:r>
              <w:rPr>
                <w:rFonts w:ascii="Calibri"/>
                <w:spacing w:val="-2"/>
                <w:sz w:val="21"/>
              </w:rPr>
              <w:t>Biznese </w:t>
            </w:r>
            <w:r>
              <w:rPr>
                <w:rFonts w:ascii="Calibri"/>
                <w:spacing w:val="-6"/>
                <w:sz w:val="21"/>
              </w:rPr>
              <w:t>82</w:t>
            </w:r>
          </w:p>
        </w:tc>
        <w:tc>
          <w:tcPr>
            <w:tcW w:w="1070" w:type="dxa"/>
            <w:vMerge w:val="restart"/>
          </w:tcPr>
          <w:p>
            <w:pPr>
              <w:pStyle w:val="TableParagraph"/>
              <w:spacing w:line="288" w:lineRule="auto"/>
              <w:ind w:left="482" w:hanging="450"/>
              <w:rPr>
                <w:rFonts w:ascii="Calibri"/>
                <w:sz w:val="21"/>
              </w:rPr>
            </w:pPr>
            <w:r>
              <w:rPr>
                <w:rFonts w:ascii="Calibri"/>
                <w:spacing w:val="-2"/>
                <w:sz w:val="21"/>
              </w:rPr>
              <w:t>Institucione </w:t>
            </w:r>
            <w:r>
              <w:rPr>
                <w:rFonts w:ascii="Calibri"/>
                <w:spacing w:val="-10"/>
                <w:sz w:val="21"/>
              </w:rPr>
              <w:t>8</w:t>
            </w:r>
          </w:p>
        </w:tc>
        <w:tc>
          <w:tcPr>
            <w:tcW w:w="1890" w:type="dxa"/>
            <w:vMerge w:val="restart"/>
          </w:tcPr>
          <w:p>
            <w:pPr>
              <w:pStyle w:val="TableParagraph"/>
              <w:ind w:left="260" w:right="249"/>
              <w:jc w:val="center"/>
              <w:rPr>
                <w:rFonts w:ascii="Calibri"/>
                <w:sz w:val="21"/>
              </w:rPr>
            </w:pPr>
            <w:r>
              <w:rPr>
                <w:rFonts w:ascii="Calibri"/>
                <w:sz w:val="21"/>
              </w:rPr>
              <w:t>5-</w:t>
            </w:r>
            <w:r>
              <w:rPr>
                <w:rFonts w:ascii="Calibri"/>
                <w:spacing w:val="-5"/>
                <w:sz w:val="21"/>
              </w:rPr>
              <w:t>km</w:t>
            </w:r>
          </w:p>
        </w:tc>
      </w:tr>
      <w:tr>
        <w:trPr>
          <w:trHeight w:val="615" w:hRule="atLeast"/>
        </w:trPr>
        <w:tc>
          <w:tcPr>
            <w:tcW w:w="630" w:type="dxa"/>
          </w:tcPr>
          <w:p>
            <w:pPr>
              <w:pStyle w:val="TableParagraph"/>
              <w:ind w:left="4"/>
              <w:rPr>
                <w:rFonts w:ascii="Calibri"/>
                <w:b/>
                <w:sz w:val="21"/>
              </w:rPr>
            </w:pPr>
            <w:r>
              <w:rPr>
                <w:rFonts w:ascii="Calibri"/>
                <w:b/>
                <w:sz w:val="21"/>
              </w:rPr>
              <w:t>2</w:t>
            </w:r>
          </w:p>
        </w:tc>
        <w:tc>
          <w:tcPr>
            <w:tcW w:w="2610" w:type="dxa"/>
          </w:tcPr>
          <w:p>
            <w:pPr>
              <w:pStyle w:val="TableParagraph"/>
              <w:ind w:left="52"/>
              <w:rPr>
                <w:rFonts w:ascii="Calibri" w:hAnsi="Calibri"/>
                <w:sz w:val="21"/>
              </w:rPr>
            </w:pPr>
            <w:r>
              <w:rPr>
                <w:rFonts w:ascii="Calibri" w:hAnsi="Calibri"/>
                <w:sz w:val="21"/>
              </w:rPr>
              <w:t>Qytezë me</w:t>
            </w:r>
            <w:r>
              <w:rPr>
                <w:rFonts w:ascii="Calibri" w:hAnsi="Calibri"/>
                <w:spacing w:val="-1"/>
                <w:sz w:val="21"/>
              </w:rPr>
              <w:t> </w:t>
            </w:r>
            <w:r>
              <w:rPr>
                <w:rFonts w:ascii="Calibri" w:hAnsi="Calibri"/>
                <w:spacing w:val="-2"/>
                <w:sz w:val="21"/>
              </w:rPr>
              <w:t>vendbanimet</w:t>
            </w:r>
          </w:p>
          <w:p>
            <w:pPr>
              <w:pStyle w:val="TableParagraph"/>
              <w:spacing w:before="52"/>
              <w:ind w:left="4"/>
              <w:rPr>
                <w:rFonts w:ascii="Calibri" w:hAnsi="Calibri"/>
                <w:sz w:val="21"/>
              </w:rPr>
            </w:pPr>
            <w:r>
              <w:rPr>
                <w:rFonts w:ascii="Calibri" w:hAnsi="Calibri"/>
                <w:spacing w:val="-2"/>
                <w:sz w:val="21"/>
              </w:rPr>
              <w:t>përreth</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vMerge/>
            <w:tcBorders>
              <w:top w:val="nil"/>
            </w:tcBorders>
          </w:tcPr>
          <w:p>
            <w:pPr>
              <w:rPr>
                <w:sz w:val="2"/>
                <w:szCs w:val="2"/>
              </w:rPr>
            </w:pPr>
          </w:p>
        </w:tc>
        <w:tc>
          <w:tcPr>
            <w:tcW w:w="900" w:type="dxa"/>
            <w:vMerge/>
            <w:tcBorders>
              <w:top w:val="nil"/>
            </w:tcBorders>
          </w:tcPr>
          <w:p>
            <w:pPr>
              <w:rPr>
                <w:sz w:val="2"/>
                <w:szCs w:val="2"/>
              </w:rPr>
            </w:pPr>
          </w:p>
        </w:tc>
        <w:tc>
          <w:tcPr>
            <w:tcW w:w="1070" w:type="dxa"/>
            <w:vMerge/>
            <w:tcBorders>
              <w:top w:val="nil"/>
            </w:tcBorders>
          </w:tcPr>
          <w:p>
            <w:pPr>
              <w:rPr>
                <w:sz w:val="2"/>
                <w:szCs w:val="2"/>
              </w:rPr>
            </w:pPr>
          </w:p>
        </w:tc>
        <w:tc>
          <w:tcPr>
            <w:tcW w:w="1890" w:type="dxa"/>
            <w:vMerge/>
            <w:tcBorders>
              <w:top w:val="nil"/>
            </w:tcBorders>
          </w:tcPr>
          <w:p>
            <w:pPr>
              <w:rPr>
                <w:sz w:val="2"/>
                <w:szCs w:val="2"/>
              </w:rPr>
            </w:pPr>
          </w:p>
        </w:tc>
      </w:tr>
      <w:tr>
        <w:trPr>
          <w:trHeight w:val="307" w:hRule="atLeast"/>
        </w:trPr>
        <w:tc>
          <w:tcPr>
            <w:tcW w:w="630" w:type="dxa"/>
          </w:tcPr>
          <w:p>
            <w:pPr>
              <w:pStyle w:val="TableParagraph"/>
              <w:ind w:left="4"/>
              <w:rPr>
                <w:rFonts w:ascii="Calibri"/>
                <w:b/>
                <w:sz w:val="21"/>
              </w:rPr>
            </w:pPr>
            <w:r>
              <w:rPr>
                <w:rFonts w:ascii="Calibri"/>
                <w:b/>
                <w:sz w:val="21"/>
              </w:rPr>
              <w:t>3</w:t>
            </w:r>
          </w:p>
        </w:tc>
        <w:tc>
          <w:tcPr>
            <w:tcW w:w="2610" w:type="dxa"/>
          </w:tcPr>
          <w:p>
            <w:pPr>
              <w:pStyle w:val="TableParagraph"/>
              <w:ind w:left="4"/>
              <w:rPr>
                <w:rFonts w:ascii="Calibri" w:hAnsi="Calibri"/>
                <w:sz w:val="21"/>
              </w:rPr>
            </w:pPr>
            <w:r>
              <w:rPr>
                <w:rFonts w:ascii="Calibri" w:hAnsi="Calibri"/>
                <w:spacing w:val="-2"/>
                <w:sz w:val="21"/>
              </w:rPr>
              <w:t>Paldenicë</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ind w:left="364" w:right="354"/>
              <w:jc w:val="center"/>
              <w:rPr>
                <w:rFonts w:ascii="Calibri"/>
                <w:sz w:val="21"/>
              </w:rPr>
            </w:pPr>
            <w:r>
              <w:rPr>
                <w:rFonts w:ascii="Calibri"/>
                <w:spacing w:val="-5"/>
                <w:sz w:val="21"/>
              </w:rPr>
              <w:t>265</w:t>
            </w:r>
          </w:p>
        </w:tc>
        <w:tc>
          <w:tcPr>
            <w:tcW w:w="900" w:type="dxa"/>
          </w:tcPr>
          <w:p>
            <w:pPr>
              <w:pStyle w:val="TableParagraph"/>
              <w:ind w:left="397"/>
              <w:rPr>
                <w:rFonts w:ascii="Calibri"/>
                <w:sz w:val="21"/>
              </w:rPr>
            </w:pPr>
            <w:r>
              <w:rPr>
                <w:rFonts w:ascii="Calibri"/>
                <w:sz w:val="21"/>
              </w:rPr>
              <w:t>2</w:t>
            </w:r>
          </w:p>
        </w:tc>
        <w:tc>
          <w:tcPr>
            <w:tcW w:w="1070" w:type="dxa"/>
          </w:tcPr>
          <w:p>
            <w:pPr>
              <w:pStyle w:val="TableParagraph"/>
              <w:ind w:left="12"/>
              <w:jc w:val="center"/>
              <w:rPr>
                <w:rFonts w:ascii="Calibri"/>
                <w:sz w:val="21"/>
              </w:rPr>
            </w:pPr>
            <w:r>
              <w:rPr>
                <w:rFonts w:ascii="Calibri"/>
                <w:sz w:val="21"/>
              </w:rPr>
              <w:t>1</w:t>
            </w:r>
          </w:p>
        </w:tc>
        <w:tc>
          <w:tcPr>
            <w:tcW w:w="1890" w:type="dxa"/>
          </w:tcPr>
          <w:p>
            <w:pPr>
              <w:pStyle w:val="TableParagraph"/>
              <w:ind w:left="260" w:right="247"/>
              <w:jc w:val="center"/>
              <w:rPr>
                <w:rFonts w:ascii="Calibri"/>
                <w:sz w:val="21"/>
              </w:rPr>
            </w:pPr>
            <w:r>
              <w:rPr>
                <w:rFonts w:ascii="Calibri"/>
                <w:sz w:val="21"/>
              </w:rPr>
              <w:t>4-</w:t>
            </w:r>
            <w:r>
              <w:rPr>
                <w:rFonts w:ascii="Calibri"/>
                <w:spacing w:val="-1"/>
                <w:sz w:val="21"/>
              </w:rPr>
              <w:t> </w:t>
            </w:r>
            <w:r>
              <w:rPr>
                <w:rFonts w:ascii="Calibri"/>
                <w:spacing w:val="-7"/>
                <w:sz w:val="21"/>
              </w:rPr>
              <w:t>km</w:t>
            </w:r>
          </w:p>
        </w:tc>
      </w:tr>
      <w:tr>
        <w:trPr>
          <w:trHeight w:val="306" w:hRule="atLeast"/>
        </w:trPr>
        <w:tc>
          <w:tcPr>
            <w:tcW w:w="630" w:type="dxa"/>
          </w:tcPr>
          <w:p>
            <w:pPr>
              <w:pStyle w:val="TableParagraph"/>
              <w:ind w:left="4"/>
              <w:rPr>
                <w:rFonts w:ascii="Calibri"/>
                <w:b/>
                <w:sz w:val="21"/>
              </w:rPr>
            </w:pPr>
            <w:r>
              <w:rPr>
                <w:rFonts w:ascii="Calibri"/>
                <w:b/>
                <w:sz w:val="21"/>
              </w:rPr>
              <w:t>4</w:t>
            </w:r>
          </w:p>
        </w:tc>
        <w:tc>
          <w:tcPr>
            <w:tcW w:w="2610" w:type="dxa"/>
          </w:tcPr>
          <w:p>
            <w:pPr>
              <w:pStyle w:val="TableParagraph"/>
              <w:ind w:left="4"/>
              <w:rPr>
                <w:rFonts w:ascii="Calibri" w:hAnsi="Calibri"/>
                <w:sz w:val="21"/>
              </w:rPr>
            </w:pPr>
            <w:r>
              <w:rPr>
                <w:rFonts w:ascii="Calibri" w:hAnsi="Calibri"/>
                <w:spacing w:val="-2"/>
                <w:sz w:val="21"/>
              </w:rPr>
              <w:t>Gorancë</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ind w:left="364" w:right="354"/>
              <w:jc w:val="center"/>
              <w:rPr>
                <w:rFonts w:ascii="Calibri"/>
                <w:sz w:val="21"/>
              </w:rPr>
            </w:pPr>
            <w:r>
              <w:rPr>
                <w:rFonts w:ascii="Calibri"/>
                <w:spacing w:val="-5"/>
                <w:sz w:val="21"/>
              </w:rPr>
              <w:t>136</w:t>
            </w:r>
          </w:p>
        </w:tc>
        <w:tc>
          <w:tcPr>
            <w:tcW w:w="900" w:type="dxa"/>
          </w:tcPr>
          <w:p>
            <w:pPr>
              <w:pStyle w:val="TableParagraph"/>
              <w:ind w:left="397"/>
              <w:rPr>
                <w:rFonts w:ascii="Calibri"/>
                <w:sz w:val="21"/>
              </w:rPr>
            </w:pPr>
            <w:r>
              <w:rPr>
                <w:rFonts w:ascii="Calibri"/>
                <w:sz w:val="21"/>
              </w:rPr>
              <w:t>3</w:t>
            </w:r>
          </w:p>
        </w:tc>
        <w:tc>
          <w:tcPr>
            <w:tcW w:w="1070" w:type="dxa"/>
          </w:tcPr>
          <w:p>
            <w:pPr>
              <w:pStyle w:val="TableParagraph"/>
              <w:ind w:left="12"/>
              <w:jc w:val="center"/>
              <w:rPr>
                <w:rFonts w:ascii="Calibri"/>
                <w:sz w:val="21"/>
              </w:rPr>
            </w:pPr>
            <w:r>
              <w:rPr>
                <w:rFonts w:ascii="Calibri"/>
                <w:sz w:val="21"/>
              </w:rPr>
              <w:t>1</w:t>
            </w:r>
          </w:p>
        </w:tc>
        <w:tc>
          <w:tcPr>
            <w:tcW w:w="1890" w:type="dxa"/>
            <w:vMerge w:val="restart"/>
          </w:tcPr>
          <w:p>
            <w:pPr>
              <w:pStyle w:val="TableParagraph"/>
              <w:spacing w:before="8"/>
              <w:rPr>
                <w:sz w:val="26"/>
              </w:rPr>
            </w:pPr>
          </w:p>
          <w:p>
            <w:pPr>
              <w:pStyle w:val="TableParagraph"/>
              <w:ind w:left="260" w:right="249"/>
              <w:jc w:val="center"/>
              <w:rPr>
                <w:rFonts w:ascii="Calibri"/>
                <w:sz w:val="21"/>
              </w:rPr>
            </w:pPr>
            <w:r>
              <w:rPr>
                <w:rFonts w:ascii="Calibri"/>
                <w:sz w:val="21"/>
              </w:rPr>
              <w:t>7-</w:t>
            </w:r>
            <w:r>
              <w:rPr>
                <w:rFonts w:ascii="Calibri"/>
                <w:spacing w:val="-5"/>
                <w:sz w:val="21"/>
              </w:rPr>
              <w:t>km</w:t>
            </w:r>
          </w:p>
        </w:tc>
      </w:tr>
      <w:tr>
        <w:trPr>
          <w:trHeight w:val="307" w:hRule="atLeast"/>
        </w:trPr>
        <w:tc>
          <w:tcPr>
            <w:tcW w:w="630" w:type="dxa"/>
          </w:tcPr>
          <w:p>
            <w:pPr>
              <w:pStyle w:val="TableParagraph"/>
              <w:spacing w:before="1"/>
              <w:ind w:left="4"/>
              <w:rPr>
                <w:rFonts w:ascii="Calibri"/>
                <w:b/>
                <w:sz w:val="21"/>
              </w:rPr>
            </w:pPr>
            <w:r>
              <w:rPr>
                <w:rFonts w:ascii="Calibri"/>
                <w:b/>
                <w:sz w:val="21"/>
              </w:rPr>
              <w:t>5</w:t>
            </w:r>
          </w:p>
        </w:tc>
        <w:tc>
          <w:tcPr>
            <w:tcW w:w="2610" w:type="dxa"/>
          </w:tcPr>
          <w:p>
            <w:pPr>
              <w:pStyle w:val="TableParagraph"/>
              <w:spacing w:before="1"/>
              <w:ind w:left="4"/>
              <w:rPr>
                <w:rFonts w:ascii="Calibri" w:hAnsi="Calibri"/>
                <w:sz w:val="21"/>
              </w:rPr>
            </w:pPr>
            <w:r>
              <w:rPr>
                <w:rFonts w:ascii="Calibri" w:hAnsi="Calibri"/>
                <w:spacing w:val="-2"/>
                <w:sz w:val="21"/>
              </w:rPr>
              <w:t>Rezhancë</w:t>
            </w:r>
          </w:p>
        </w:tc>
        <w:tc>
          <w:tcPr>
            <w:tcW w:w="1080" w:type="dxa"/>
          </w:tcPr>
          <w:p>
            <w:pPr>
              <w:pStyle w:val="TableParagraph"/>
              <w:spacing w:before="1"/>
              <w:ind w:left="53"/>
              <w:rPr>
                <w:rFonts w:ascii="Calibri" w:hAnsi="Calibri"/>
                <w:sz w:val="21"/>
              </w:rPr>
            </w:pPr>
            <w:r>
              <w:rPr>
                <w:rFonts w:ascii="Calibri" w:hAnsi="Calibri"/>
                <w:spacing w:val="-2"/>
                <w:sz w:val="21"/>
              </w:rPr>
              <w:t>1’/javë</w:t>
            </w:r>
          </w:p>
        </w:tc>
        <w:tc>
          <w:tcPr>
            <w:tcW w:w="1180" w:type="dxa"/>
          </w:tcPr>
          <w:p>
            <w:pPr>
              <w:pStyle w:val="TableParagraph"/>
              <w:spacing w:before="1"/>
              <w:ind w:left="365" w:right="354"/>
              <w:jc w:val="center"/>
              <w:rPr>
                <w:rFonts w:ascii="Calibri"/>
                <w:sz w:val="21"/>
              </w:rPr>
            </w:pPr>
            <w:r>
              <w:rPr>
                <w:rFonts w:ascii="Calibri"/>
                <w:spacing w:val="-5"/>
                <w:sz w:val="21"/>
              </w:rPr>
              <w:t>79</w:t>
            </w:r>
          </w:p>
        </w:tc>
        <w:tc>
          <w:tcPr>
            <w:tcW w:w="900" w:type="dxa"/>
          </w:tcPr>
          <w:p>
            <w:pPr>
              <w:pStyle w:val="TableParagraph"/>
              <w:rPr>
                <w:sz w:val="22"/>
              </w:rPr>
            </w:pPr>
          </w:p>
        </w:tc>
        <w:tc>
          <w:tcPr>
            <w:tcW w:w="1070" w:type="dxa"/>
          </w:tcPr>
          <w:p>
            <w:pPr>
              <w:pStyle w:val="TableParagraph"/>
              <w:rPr>
                <w:sz w:val="22"/>
              </w:rPr>
            </w:pPr>
          </w:p>
        </w:tc>
        <w:tc>
          <w:tcPr>
            <w:tcW w:w="1890" w:type="dxa"/>
            <w:vMerge/>
            <w:tcBorders>
              <w:top w:val="nil"/>
            </w:tcBorders>
          </w:tcPr>
          <w:p>
            <w:pPr>
              <w:rPr>
                <w:sz w:val="2"/>
                <w:szCs w:val="2"/>
              </w:rPr>
            </w:pPr>
          </w:p>
        </w:tc>
      </w:tr>
      <w:tr>
        <w:trPr>
          <w:trHeight w:val="307" w:hRule="atLeast"/>
        </w:trPr>
        <w:tc>
          <w:tcPr>
            <w:tcW w:w="630" w:type="dxa"/>
          </w:tcPr>
          <w:p>
            <w:pPr>
              <w:pStyle w:val="TableParagraph"/>
              <w:ind w:left="4"/>
              <w:rPr>
                <w:rFonts w:ascii="Calibri"/>
                <w:b/>
                <w:sz w:val="21"/>
              </w:rPr>
            </w:pPr>
            <w:r>
              <w:rPr>
                <w:rFonts w:ascii="Calibri"/>
                <w:b/>
                <w:sz w:val="21"/>
              </w:rPr>
              <w:t>6</w:t>
            </w:r>
          </w:p>
        </w:tc>
        <w:tc>
          <w:tcPr>
            <w:tcW w:w="2610" w:type="dxa"/>
          </w:tcPr>
          <w:p>
            <w:pPr>
              <w:pStyle w:val="TableParagraph"/>
              <w:ind w:left="4"/>
              <w:rPr>
                <w:rFonts w:ascii="Calibri" w:hAnsi="Calibri"/>
                <w:sz w:val="21"/>
              </w:rPr>
            </w:pPr>
            <w:r>
              <w:rPr>
                <w:rFonts w:ascii="Calibri" w:hAnsi="Calibri"/>
                <w:spacing w:val="-2"/>
                <w:sz w:val="21"/>
              </w:rPr>
              <w:t>Seçishtë</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ind w:left="364" w:right="354"/>
              <w:jc w:val="center"/>
              <w:rPr>
                <w:rFonts w:ascii="Calibri"/>
                <w:sz w:val="21"/>
              </w:rPr>
            </w:pPr>
            <w:r>
              <w:rPr>
                <w:rFonts w:ascii="Calibri"/>
                <w:spacing w:val="-5"/>
                <w:sz w:val="21"/>
              </w:rPr>
              <w:t>340</w:t>
            </w:r>
          </w:p>
        </w:tc>
        <w:tc>
          <w:tcPr>
            <w:tcW w:w="900" w:type="dxa"/>
          </w:tcPr>
          <w:p>
            <w:pPr>
              <w:pStyle w:val="TableParagraph"/>
              <w:ind w:left="397"/>
              <w:rPr>
                <w:rFonts w:ascii="Calibri"/>
                <w:sz w:val="21"/>
              </w:rPr>
            </w:pPr>
            <w:r>
              <w:rPr>
                <w:rFonts w:ascii="Calibri"/>
                <w:sz w:val="21"/>
              </w:rPr>
              <w:t>2</w:t>
            </w:r>
          </w:p>
        </w:tc>
        <w:tc>
          <w:tcPr>
            <w:tcW w:w="1070" w:type="dxa"/>
          </w:tcPr>
          <w:p>
            <w:pPr>
              <w:pStyle w:val="TableParagraph"/>
              <w:rPr>
                <w:sz w:val="22"/>
              </w:rPr>
            </w:pPr>
          </w:p>
        </w:tc>
        <w:tc>
          <w:tcPr>
            <w:tcW w:w="1890" w:type="dxa"/>
          </w:tcPr>
          <w:p>
            <w:pPr>
              <w:pStyle w:val="TableParagraph"/>
              <w:ind w:left="260" w:right="249"/>
              <w:jc w:val="center"/>
              <w:rPr>
                <w:rFonts w:ascii="Calibri"/>
                <w:sz w:val="21"/>
              </w:rPr>
            </w:pPr>
            <w:r>
              <w:rPr>
                <w:rFonts w:ascii="Calibri"/>
                <w:sz w:val="21"/>
              </w:rPr>
              <w:t>5-</w:t>
            </w:r>
            <w:r>
              <w:rPr>
                <w:rFonts w:ascii="Calibri"/>
                <w:spacing w:val="-5"/>
                <w:sz w:val="21"/>
              </w:rPr>
              <w:t>km</w:t>
            </w:r>
          </w:p>
        </w:tc>
      </w:tr>
      <w:tr>
        <w:trPr>
          <w:trHeight w:val="306" w:hRule="atLeast"/>
        </w:trPr>
        <w:tc>
          <w:tcPr>
            <w:tcW w:w="630" w:type="dxa"/>
          </w:tcPr>
          <w:p>
            <w:pPr>
              <w:pStyle w:val="TableParagraph"/>
              <w:ind w:left="4"/>
              <w:rPr>
                <w:rFonts w:ascii="Calibri"/>
                <w:b/>
                <w:sz w:val="21"/>
              </w:rPr>
            </w:pPr>
            <w:r>
              <w:rPr>
                <w:rFonts w:ascii="Calibri"/>
                <w:b/>
                <w:sz w:val="21"/>
              </w:rPr>
              <w:t>7</w:t>
            </w:r>
          </w:p>
        </w:tc>
        <w:tc>
          <w:tcPr>
            <w:tcW w:w="2610" w:type="dxa"/>
          </w:tcPr>
          <w:p>
            <w:pPr>
              <w:pStyle w:val="TableParagraph"/>
              <w:ind w:left="4"/>
              <w:rPr>
                <w:rFonts w:ascii="Calibri"/>
                <w:sz w:val="21"/>
              </w:rPr>
            </w:pPr>
            <w:r>
              <w:rPr>
                <w:rFonts w:ascii="Calibri"/>
                <w:spacing w:val="-2"/>
                <w:sz w:val="21"/>
              </w:rPr>
              <w:t>Krivenik</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ind w:left="365" w:right="354"/>
              <w:jc w:val="center"/>
              <w:rPr>
                <w:rFonts w:ascii="Calibri"/>
                <w:sz w:val="21"/>
              </w:rPr>
            </w:pPr>
            <w:r>
              <w:rPr>
                <w:rFonts w:ascii="Calibri"/>
                <w:spacing w:val="-5"/>
                <w:sz w:val="21"/>
              </w:rPr>
              <w:t>43</w:t>
            </w: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ind w:left="260" w:right="249"/>
              <w:jc w:val="center"/>
              <w:rPr>
                <w:rFonts w:ascii="Calibri"/>
                <w:sz w:val="21"/>
              </w:rPr>
            </w:pPr>
            <w:r>
              <w:rPr>
                <w:rFonts w:ascii="Calibri"/>
                <w:sz w:val="21"/>
              </w:rPr>
              <w:t>7-</w:t>
            </w:r>
            <w:r>
              <w:rPr>
                <w:rFonts w:ascii="Calibri"/>
                <w:spacing w:val="-5"/>
                <w:sz w:val="21"/>
              </w:rPr>
              <w:t>km</w:t>
            </w:r>
          </w:p>
        </w:tc>
      </w:tr>
      <w:tr>
        <w:trPr>
          <w:trHeight w:val="308" w:hRule="atLeast"/>
        </w:trPr>
        <w:tc>
          <w:tcPr>
            <w:tcW w:w="630" w:type="dxa"/>
          </w:tcPr>
          <w:p>
            <w:pPr>
              <w:pStyle w:val="TableParagraph"/>
              <w:spacing w:before="1"/>
              <w:ind w:left="4"/>
              <w:rPr>
                <w:rFonts w:ascii="Calibri"/>
                <w:b/>
                <w:sz w:val="21"/>
              </w:rPr>
            </w:pPr>
            <w:r>
              <w:rPr>
                <w:rFonts w:ascii="Calibri"/>
                <w:b/>
                <w:sz w:val="21"/>
              </w:rPr>
              <w:t>8</w:t>
            </w:r>
          </w:p>
        </w:tc>
        <w:tc>
          <w:tcPr>
            <w:tcW w:w="2610" w:type="dxa"/>
          </w:tcPr>
          <w:p>
            <w:pPr>
              <w:pStyle w:val="TableParagraph"/>
              <w:spacing w:before="1"/>
              <w:ind w:left="4"/>
              <w:rPr>
                <w:rFonts w:ascii="Calibri" w:hAnsi="Calibri"/>
                <w:sz w:val="21"/>
              </w:rPr>
            </w:pPr>
            <w:r>
              <w:rPr>
                <w:rFonts w:ascii="Calibri" w:hAnsi="Calibri"/>
                <w:spacing w:val="-2"/>
                <w:sz w:val="21"/>
              </w:rPr>
              <w:t>Dimcë</w:t>
            </w:r>
          </w:p>
        </w:tc>
        <w:tc>
          <w:tcPr>
            <w:tcW w:w="1080" w:type="dxa"/>
          </w:tcPr>
          <w:p>
            <w:pPr>
              <w:pStyle w:val="TableParagraph"/>
              <w:spacing w:before="1"/>
              <w:ind w:left="53"/>
              <w:rPr>
                <w:rFonts w:ascii="Calibri" w:hAnsi="Calibri"/>
                <w:sz w:val="21"/>
              </w:rPr>
            </w:pPr>
            <w:r>
              <w:rPr>
                <w:rFonts w:ascii="Calibri" w:hAnsi="Calibri"/>
                <w:spacing w:val="-2"/>
                <w:sz w:val="21"/>
              </w:rPr>
              <w:t>1’/javë</w:t>
            </w:r>
          </w:p>
        </w:tc>
        <w:tc>
          <w:tcPr>
            <w:tcW w:w="1180" w:type="dxa"/>
          </w:tcPr>
          <w:p>
            <w:pPr>
              <w:pStyle w:val="TableParagraph"/>
              <w:spacing w:before="1"/>
              <w:ind w:left="365" w:right="354"/>
              <w:jc w:val="center"/>
              <w:rPr>
                <w:rFonts w:ascii="Calibri"/>
                <w:sz w:val="21"/>
              </w:rPr>
            </w:pPr>
            <w:r>
              <w:rPr>
                <w:rFonts w:ascii="Calibri"/>
                <w:spacing w:val="-5"/>
                <w:sz w:val="21"/>
              </w:rPr>
              <w:t>37</w:t>
            </w: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spacing w:before="1"/>
              <w:ind w:left="260" w:right="249"/>
              <w:jc w:val="center"/>
              <w:rPr>
                <w:rFonts w:ascii="Calibri"/>
                <w:sz w:val="21"/>
              </w:rPr>
            </w:pPr>
            <w:r>
              <w:rPr>
                <w:rFonts w:ascii="Calibri"/>
                <w:sz w:val="21"/>
              </w:rPr>
              <w:t>2-</w:t>
            </w:r>
            <w:r>
              <w:rPr>
                <w:rFonts w:ascii="Calibri"/>
                <w:spacing w:val="-5"/>
                <w:sz w:val="21"/>
              </w:rPr>
              <w:t>km</w:t>
            </w:r>
          </w:p>
        </w:tc>
      </w:tr>
      <w:tr>
        <w:trPr>
          <w:trHeight w:val="307" w:hRule="atLeast"/>
        </w:trPr>
        <w:tc>
          <w:tcPr>
            <w:tcW w:w="630" w:type="dxa"/>
          </w:tcPr>
          <w:p>
            <w:pPr>
              <w:pStyle w:val="TableParagraph"/>
              <w:ind w:left="4"/>
              <w:rPr>
                <w:rFonts w:ascii="Calibri"/>
                <w:b/>
                <w:sz w:val="21"/>
              </w:rPr>
            </w:pPr>
            <w:r>
              <w:rPr>
                <w:rFonts w:ascii="Calibri"/>
                <w:b/>
                <w:sz w:val="21"/>
              </w:rPr>
              <w:t>9</w:t>
            </w:r>
          </w:p>
        </w:tc>
        <w:tc>
          <w:tcPr>
            <w:tcW w:w="2610" w:type="dxa"/>
          </w:tcPr>
          <w:p>
            <w:pPr>
              <w:pStyle w:val="TableParagraph"/>
              <w:ind w:left="4"/>
              <w:rPr>
                <w:rFonts w:ascii="Calibri"/>
                <w:sz w:val="21"/>
              </w:rPr>
            </w:pPr>
            <w:r>
              <w:rPr>
                <w:rFonts w:ascii="Calibri"/>
                <w:spacing w:val="-2"/>
                <w:sz w:val="21"/>
              </w:rPr>
              <w:t>Pustenik</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ind w:left="365" w:right="354"/>
              <w:jc w:val="center"/>
              <w:rPr>
                <w:rFonts w:ascii="Calibri"/>
                <w:sz w:val="21"/>
              </w:rPr>
            </w:pPr>
            <w:r>
              <w:rPr>
                <w:rFonts w:ascii="Calibri"/>
                <w:spacing w:val="-5"/>
                <w:sz w:val="21"/>
              </w:rPr>
              <w:t>88</w:t>
            </w:r>
          </w:p>
        </w:tc>
        <w:tc>
          <w:tcPr>
            <w:tcW w:w="900" w:type="dxa"/>
          </w:tcPr>
          <w:p>
            <w:pPr>
              <w:pStyle w:val="TableParagraph"/>
              <w:ind w:left="397"/>
              <w:rPr>
                <w:rFonts w:ascii="Calibri"/>
                <w:sz w:val="21"/>
              </w:rPr>
            </w:pPr>
            <w:r>
              <w:rPr>
                <w:rFonts w:ascii="Calibri"/>
                <w:sz w:val="21"/>
              </w:rPr>
              <w:t>2</w:t>
            </w:r>
          </w:p>
        </w:tc>
        <w:tc>
          <w:tcPr>
            <w:tcW w:w="1070" w:type="dxa"/>
          </w:tcPr>
          <w:p>
            <w:pPr>
              <w:pStyle w:val="TableParagraph"/>
              <w:rPr>
                <w:sz w:val="22"/>
              </w:rPr>
            </w:pPr>
          </w:p>
        </w:tc>
        <w:tc>
          <w:tcPr>
            <w:tcW w:w="1890" w:type="dxa"/>
          </w:tcPr>
          <w:p>
            <w:pPr>
              <w:pStyle w:val="TableParagraph"/>
              <w:ind w:left="260" w:right="249"/>
              <w:jc w:val="center"/>
              <w:rPr>
                <w:rFonts w:ascii="Calibri"/>
                <w:sz w:val="21"/>
              </w:rPr>
            </w:pPr>
            <w:r>
              <w:rPr>
                <w:rFonts w:ascii="Calibri"/>
                <w:sz w:val="21"/>
              </w:rPr>
              <w:t>5-</w:t>
            </w:r>
            <w:r>
              <w:rPr>
                <w:rFonts w:ascii="Calibri"/>
                <w:spacing w:val="-5"/>
                <w:sz w:val="21"/>
              </w:rPr>
              <w:t>km</w:t>
            </w:r>
          </w:p>
        </w:tc>
      </w:tr>
      <w:tr>
        <w:trPr>
          <w:trHeight w:val="306" w:hRule="atLeast"/>
        </w:trPr>
        <w:tc>
          <w:tcPr>
            <w:tcW w:w="630" w:type="dxa"/>
          </w:tcPr>
          <w:p>
            <w:pPr>
              <w:pStyle w:val="TableParagraph"/>
              <w:ind w:left="4"/>
              <w:rPr>
                <w:rFonts w:ascii="Calibri"/>
                <w:b/>
                <w:sz w:val="21"/>
              </w:rPr>
            </w:pPr>
            <w:r>
              <w:rPr>
                <w:rFonts w:ascii="Calibri"/>
                <w:b/>
                <w:spacing w:val="-5"/>
                <w:sz w:val="21"/>
              </w:rPr>
              <w:t>10</w:t>
            </w:r>
          </w:p>
        </w:tc>
        <w:tc>
          <w:tcPr>
            <w:tcW w:w="2610" w:type="dxa"/>
          </w:tcPr>
          <w:p>
            <w:pPr>
              <w:pStyle w:val="TableParagraph"/>
              <w:ind w:left="52"/>
              <w:rPr>
                <w:rFonts w:ascii="Calibri" w:hAnsi="Calibri"/>
                <w:sz w:val="21"/>
              </w:rPr>
            </w:pPr>
            <w:r>
              <w:rPr>
                <w:rFonts w:ascii="Calibri" w:hAnsi="Calibri"/>
                <w:spacing w:val="-5"/>
                <w:sz w:val="21"/>
              </w:rPr>
              <w:t>Laç</w:t>
            </w:r>
          </w:p>
        </w:tc>
        <w:tc>
          <w:tcPr>
            <w:tcW w:w="1080" w:type="dxa"/>
          </w:tcPr>
          <w:p>
            <w:pPr>
              <w:pStyle w:val="TableParagraph"/>
              <w:ind w:left="53"/>
              <w:rPr>
                <w:rFonts w:ascii="Calibri" w:hAnsi="Calibri"/>
                <w:sz w:val="21"/>
              </w:rPr>
            </w:pPr>
            <w:r>
              <w:rPr>
                <w:rFonts w:ascii="Calibri" w:hAnsi="Calibri"/>
                <w:spacing w:val="-2"/>
                <w:sz w:val="21"/>
              </w:rPr>
              <w:t>1’/javë</w:t>
            </w:r>
          </w:p>
        </w:tc>
        <w:tc>
          <w:tcPr>
            <w:tcW w:w="1180" w:type="dxa"/>
          </w:tcPr>
          <w:p>
            <w:pPr>
              <w:pStyle w:val="TableParagraph"/>
              <w:rPr>
                <w:sz w:val="22"/>
              </w:rPr>
            </w:pP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ind w:left="260" w:right="249"/>
              <w:jc w:val="center"/>
              <w:rPr>
                <w:rFonts w:ascii="Calibri"/>
                <w:sz w:val="21"/>
              </w:rPr>
            </w:pPr>
            <w:r>
              <w:rPr>
                <w:rFonts w:ascii="Calibri"/>
                <w:sz w:val="21"/>
              </w:rPr>
              <w:t>7-</w:t>
            </w:r>
            <w:r>
              <w:rPr>
                <w:rFonts w:ascii="Calibri"/>
                <w:spacing w:val="-5"/>
                <w:sz w:val="21"/>
              </w:rPr>
              <w:t>km</w:t>
            </w:r>
          </w:p>
        </w:tc>
      </w:tr>
      <w:tr>
        <w:trPr>
          <w:trHeight w:val="308" w:hRule="atLeast"/>
        </w:trPr>
        <w:tc>
          <w:tcPr>
            <w:tcW w:w="630" w:type="dxa"/>
          </w:tcPr>
          <w:p>
            <w:pPr>
              <w:pStyle w:val="TableParagraph"/>
              <w:spacing w:before="1"/>
              <w:ind w:left="4"/>
              <w:rPr>
                <w:rFonts w:ascii="Calibri"/>
                <w:b/>
                <w:sz w:val="21"/>
              </w:rPr>
            </w:pPr>
            <w:r>
              <w:rPr>
                <w:rFonts w:ascii="Calibri"/>
                <w:b/>
                <w:spacing w:val="-5"/>
                <w:sz w:val="21"/>
              </w:rPr>
              <w:t>11</w:t>
            </w:r>
          </w:p>
        </w:tc>
        <w:tc>
          <w:tcPr>
            <w:tcW w:w="2610" w:type="dxa"/>
          </w:tcPr>
          <w:p>
            <w:pPr>
              <w:pStyle w:val="TableParagraph"/>
              <w:spacing w:before="1"/>
              <w:ind w:left="4"/>
              <w:rPr>
                <w:rFonts w:ascii="Calibri"/>
                <w:sz w:val="21"/>
              </w:rPr>
            </w:pPr>
            <w:r>
              <w:rPr>
                <w:rFonts w:ascii="Calibri"/>
                <w:spacing w:val="-2"/>
                <w:sz w:val="21"/>
              </w:rPr>
              <w:t>Dremjak</w:t>
            </w:r>
          </w:p>
        </w:tc>
        <w:tc>
          <w:tcPr>
            <w:tcW w:w="1080" w:type="dxa"/>
          </w:tcPr>
          <w:p>
            <w:pPr>
              <w:pStyle w:val="TableParagraph"/>
              <w:spacing w:before="1"/>
              <w:ind w:left="53"/>
              <w:rPr>
                <w:rFonts w:ascii="Calibri" w:hAnsi="Calibri"/>
                <w:sz w:val="21"/>
              </w:rPr>
            </w:pPr>
            <w:r>
              <w:rPr>
                <w:rFonts w:ascii="Calibri" w:hAnsi="Calibri"/>
                <w:spacing w:val="-2"/>
                <w:sz w:val="21"/>
              </w:rPr>
              <w:t>1’/javë</w:t>
            </w:r>
          </w:p>
        </w:tc>
        <w:tc>
          <w:tcPr>
            <w:tcW w:w="1180" w:type="dxa"/>
          </w:tcPr>
          <w:p>
            <w:pPr>
              <w:pStyle w:val="TableParagraph"/>
              <w:spacing w:before="1"/>
              <w:ind w:left="365" w:right="354"/>
              <w:jc w:val="center"/>
              <w:rPr>
                <w:rFonts w:ascii="Calibri"/>
                <w:sz w:val="21"/>
              </w:rPr>
            </w:pPr>
            <w:r>
              <w:rPr>
                <w:rFonts w:ascii="Calibri"/>
                <w:spacing w:val="-5"/>
                <w:sz w:val="21"/>
              </w:rPr>
              <w:t>18</w:t>
            </w: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spacing w:before="1"/>
              <w:ind w:left="260" w:right="249"/>
              <w:jc w:val="center"/>
              <w:rPr>
                <w:rFonts w:ascii="Calibri"/>
                <w:sz w:val="21"/>
              </w:rPr>
            </w:pPr>
            <w:r>
              <w:rPr>
                <w:rFonts w:ascii="Calibri"/>
                <w:sz w:val="21"/>
              </w:rPr>
              <w:t>3-</w:t>
            </w:r>
            <w:r>
              <w:rPr>
                <w:rFonts w:ascii="Calibri"/>
                <w:spacing w:val="-5"/>
                <w:sz w:val="21"/>
              </w:rPr>
              <w:t>km</w:t>
            </w:r>
          </w:p>
        </w:tc>
      </w:tr>
      <w:tr>
        <w:trPr>
          <w:trHeight w:val="308" w:hRule="atLeast"/>
        </w:trPr>
        <w:tc>
          <w:tcPr>
            <w:tcW w:w="630" w:type="dxa"/>
          </w:tcPr>
          <w:p>
            <w:pPr>
              <w:pStyle w:val="TableParagraph"/>
              <w:ind w:left="4"/>
              <w:rPr>
                <w:rFonts w:ascii="Calibri"/>
                <w:b/>
                <w:sz w:val="21"/>
              </w:rPr>
            </w:pPr>
            <w:r>
              <w:rPr>
                <w:rFonts w:ascii="Calibri"/>
                <w:b/>
                <w:spacing w:val="-5"/>
                <w:sz w:val="21"/>
              </w:rPr>
              <w:t>12</w:t>
            </w:r>
          </w:p>
        </w:tc>
        <w:tc>
          <w:tcPr>
            <w:tcW w:w="2610" w:type="dxa"/>
          </w:tcPr>
          <w:p>
            <w:pPr>
              <w:pStyle w:val="TableParagraph"/>
              <w:ind w:left="4"/>
              <w:rPr>
                <w:rFonts w:ascii="Calibri" w:hAnsi="Calibri"/>
                <w:sz w:val="21"/>
              </w:rPr>
            </w:pPr>
            <w:r>
              <w:rPr>
                <w:rFonts w:ascii="Calibri" w:hAnsi="Calibri"/>
                <w:sz w:val="21"/>
              </w:rPr>
              <w:t>Vërtomicë</w:t>
            </w:r>
            <w:r>
              <w:rPr>
                <w:rFonts w:ascii="Calibri" w:hAnsi="Calibri"/>
                <w:spacing w:val="-6"/>
                <w:sz w:val="21"/>
              </w:rPr>
              <w:t> </w:t>
            </w:r>
            <w:r>
              <w:rPr>
                <w:rFonts w:ascii="Calibri" w:hAnsi="Calibri"/>
                <w:sz w:val="21"/>
              </w:rPr>
              <w:t>(i</w:t>
            </w:r>
            <w:r>
              <w:rPr>
                <w:rFonts w:ascii="Calibri" w:hAnsi="Calibri"/>
                <w:spacing w:val="-4"/>
                <w:sz w:val="21"/>
              </w:rPr>
              <w:t> </w:t>
            </w:r>
            <w:r>
              <w:rPr>
                <w:rFonts w:ascii="Calibri" w:hAnsi="Calibri"/>
                <w:spacing w:val="-2"/>
                <w:sz w:val="21"/>
              </w:rPr>
              <w:t>zbrazur)</w:t>
            </w:r>
          </w:p>
        </w:tc>
        <w:tc>
          <w:tcPr>
            <w:tcW w:w="1080" w:type="dxa"/>
          </w:tcPr>
          <w:p>
            <w:pPr>
              <w:pStyle w:val="TableParagraph"/>
              <w:ind w:left="53"/>
              <w:rPr>
                <w:rFonts w:ascii="Calibri"/>
                <w:sz w:val="21"/>
              </w:rPr>
            </w:pPr>
            <w:r>
              <w:rPr>
                <w:rFonts w:ascii="Calibri"/>
                <w:spacing w:val="-5"/>
                <w:sz w:val="21"/>
              </w:rPr>
              <w:t>JO</w:t>
            </w:r>
          </w:p>
        </w:tc>
        <w:tc>
          <w:tcPr>
            <w:tcW w:w="1180" w:type="dxa"/>
          </w:tcPr>
          <w:p>
            <w:pPr>
              <w:pStyle w:val="TableParagraph"/>
              <w:ind w:left="10"/>
              <w:jc w:val="center"/>
              <w:rPr>
                <w:rFonts w:ascii="Calibri"/>
                <w:sz w:val="21"/>
              </w:rPr>
            </w:pPr>
            <w:r>
              <w:rPr>
                <w:rFonts w:ascii="Calibri"/>
                <w:sz w:val="21"/>
              </w:rPr>
              <w:t>0</w:t>
            </w: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ind w:left="11"/>
              <w:jc w:val="center"/>
              <w:rPr>
                <w:rFonts w:ascii="Calibri"/>
                <w:sz w:val="21"/>
              </w:rPr>
            </w:pPr>
            <w:r>
              <w:rPr>
                <w:rFonts w:ascii="Calibri"/>
                <w:sz w:val="21"/>
              </w:rPr>
              <w:t>0</w:t>
            </w:r>
          </w:p>
        </w:tc>
      </w:tr>
      <w:tr>
        <w:trPr>
          <w:trHeight w:val="306" w:hRule="atLeast"/>
        </w:trPr>
        <w:tc>
          <w:tcPr>
            <w:tcW w:w="630" w:type="dxa"/>
          </w:tcPr>
          <w:p>
            <w:pPr>
              <w:pStyle w:val="TableParagraph"/>
              <w:ind w:left="4"/>
              <w:rPr>
                <w:rFonts w:ascii="Calibri"/>
                <w:b/>
                <w:sz w:val="21"/>
              </w:rPr>
            </w:pPr>
            <w:r>
              <w:rPr>
                <w:rFonts w:ascii="Calibri"/>
                <w:b/>
                <w:spacing w:val="-5"/>
                <w:sz w:val="21"/>
              </w:rPr>
              <w:t>13</w:t>
            </w:r>
          </w:p>
        </w:tc>
        <w:tc>
          <w:tcPr>
            <w:tcW w:w="2610" w:type="dxa"/>
          </w:tcPr>
          <w:p>
            <w:pPr>
              <w:pStyle w:val="TableParagraph"/>
              <w:ind w:left="4"/>
              <w:rPr>
                <w:rFonts w:ascii="Calibri" w:hAnsi="Calibri"/>
                <w:sz w:val="21"/>
              </w:rPr>
            </w:pPr>
            <w:r>
              <w:rPr>
                <w:rFonts w:ascii="Calibri" w:hAnsi="Calibri"/>
                <w:sz w:val="21"/>
              </w:rPr>
              <w:t>Neçavc</w:t>
            </w:r>
            <w:r>
              <w:rPr>
                <w:rFonts w:ascii="Calibri" w:hAnsi="Calibri"/>
                <w:spacing w:val="-1"/>
                <w:sz w:val="21"/>
              </w:rPr>
              <w:t> </w:t>
            </w:r>
            <w:r>
              <w:rPr>
                <w:rFonts w:ascii="Calibri" w:hAnsi="Calibri"/>
                <w:sz w:val="21"/>
              </w:rPr>
              <w:t>(i</w:t>
            </w:r>
            <w:r>
              <w:rPr>
                <w:rFonts w:ascii="Calibri" w:hAnsi="Calibri"/>
                <w:spacing w:val="-1"/>
                <w:sz w:val="21"/>
              </w:rPr>
              <w:t> </w:t>
            </w:r>
            <w:r>
              <w:rPr>
                <w:rFonts w:ascii="Calibri" w:hAnsi="Calibri"/>
                <w:spacing w:val="-2"/>
                <w:sz w:val="21"/>
              </w:rPr>
              <w:t>zbrazur)</w:t>
            </w:r>
          </w:p>
        </w:tc>
        <w:tc>
          <w:tcPr>
            <w:tcW w:w="1080" w:type="dxa"/>
          </w:tcPr>
          <w:p>
            <w:pPr>
              <w:pStyle w:val="TableParagraph"/>
              <w:ind w:left="53"/>
              <w:rPr>
                <w:rFonts w:ascii="Calibri"/>
                <w:sz w:val="21"/>
              </w:rPr>
            </w:pPr>
            <w:r>
              <w:rPr>
                <w:rFonts w:ascii="Calibri"/>
                <w:spacing w:val="-5"/>
                <w:sz w:val="21"/>
              </w:rPr>
              <w:t>JO</w:t>
            </w:r>
          </w:p>
        </w:tc>
        <w:tc>
          <w:tcPr>
            <w:tcW w:w="1180" w:type="dxa"/>
          </w:tcPr>
          <w:p>
            <w:pPr>
              <w:pStyle w:val="TableParagraph"/>
              <w:rPr>
                <w:sz w:val="22"/>
              </w:rPr>
            </w:pPr>
          </w:p>
        </w:tc>
        <w:tc>
          <w:tcPr>
            <w:tcW w:w="900" w:type="dxa"/>
          </w:tcPr>
          <w:p>
            <w:pPr>
              <w:pStyle w:val="TableParagraph"/>
              <w:rPr>
                <w:sz w:val="22"/>
              </w:rPr>
            </w:pPr>
          </w:p>
        </w:tc>
        <w:tc>
          <w:tcPr>
            <w:tcW w:w="1070" w:type="dxa"/>
          </w:tcPr>
          <w:p>
            <w:pPr>
              <w:pStyle w:val="TableParagraph"/>
              <w:rPr>
                <w:sz w:val="22"/>
              </w:rPr>
            </w:pPr>
          </w:p>
        </w:tc>
        <w:tc>
          <w:tcPr>
            <w:tcW w:w="1890" w:type="dxa"/>
          </w:tcPr>
          <w:p>
            <w:pPr>
              <w:pStyle w:val="TableParagraph"/>
              <w:ind w:left="11"/>
              <w:jc w:val="center"/>
              <w:rPr>
                <w:rFonts w:ascii="Calibri"/>
                <w:sz w:val="21"/>
              </w:rPr>
            </w:pPr>
            <w:r>
              <w:rPr>
                <w:rFonts w:ascii="Calibri"/>
                <w:sz w:val="21"/>
              </w:rPr>
              <w:t>0</w:t>
            </w:r>
          </w:p>
        </w:tc>
      </w:tr>
      <w:tr>
        <w:trPr>
          <w:trHeight w:val="307" w:hRule="atLeast"/>
        </w:trPr>
        <w:tc>
          <w:tcPr>
            <w:tcW w:w="630" w:type="dxa"/>
          </w:tcPr>
          <w:p>
            <w:pPr>
              <w:pStyle w:val="TableParagraph"/>
              <w:rPr>
                <w:sz w:val="22"/>
              </w:rPr>
            </w:pPr>
          </w:p>
        </w:tc>
        <w:tc>
          <w:tcPr>
            <w:tcW w:w="2610" w:type="dxa"/>
          </w:tcPr>
          <w:p>
            <w:pPr>
              <w:pStyle w:val="TableParagraph"/>
              <w:rPr>
                <w:sz w:val="22"/>
              </w:rPr>
            </w:pPr>
          </w:p>
        </w:tc>
        <w:tc>
          <w:tcPr>
            <w:tcW w:w="1080" w:type="dxa"/>
          </w:tcPr>
          <w:p>
            <w:pPr>
              <w:pStyle w:val="TableParagraph"/>
              <w:spacing w:before="1"/>
              <w:ind w:left="371" w:right="-15"/>
              <w:rPr>
                <w:rFonts w:ascii="Calibri"/>
                <w:sz w:val="21"/>
              </w:rPr>
            </w:pPr>
            <w:r>
              <w:rPr>
                <w:rFonts w:ascii="Calibri"/>
                <w:spacing w:val="-2"/>
                <w:sz w:val="21"/>
              </w:rPr>
              <w:t>Gjithsej:</w:t>
            </w:r>
          </w:p>
        </w:tc>
        <w:tc>
          <w:tcPr>
            <w:tcW w:w="1180" w:type="dxa"/>
          </w:tcPr>
          <w:p>
            <w:pPr>
              <w:pStyle w:val="TableParagraph"/>
              <w:spacing w:before="1"/>
              <w:ind w:left="365" w:right="354"/>
              <w:jc w:val="center"/>
              <w:rPr>
                <w:rFonts w:ascii="Calibri"/>
                <w:b/>
                <w:sz w:val="21"/>
              </w:rPr>
            </w:pPr>
            <w:r>
              <w:rPr>
                <w:rFonts w:ascii="Calibri"/>
                <w:b/>
                <w:spacing w:val="-4"/>
                <w:sz w:val="21"/>
              </w:rPr>
              <w:t>1436</w:t>
            </w:r>
          </w:p>
        </w:tc>
        <w:tc>
          <w:tcPr>
            <w:tcW w:w="900" w:type="dxa"/>
          </w:tcPr>
          <w:p>
            <w:pPr>
              <w:pStyle w:val="TableParagraph"/>
              <w:spacing w:before="1"/>
              <w:ind w:left="344"/>
              <w:rPr>
                <w:rFonts w:ascii="Calibri"/>
                <w:sz w:val="21"/>
              </w:rPr>
            </w:pPr>
            <w:r>
              <w:rPr>
                <w:rFonts w:ascii="Calibri"/>
                <w:spacing w:val="-5"/>
                <w:sz w:val="21"/>
              </w:rPr>
              <w:t>91</w:t>
            </w:r>
          </w:p>
        </w:tc>
        <w:tc>
          <w:tcPr>
            <w:tcW w:w="1070" w:type="dxa"/>
          </w:tcPr>
          <w:p>
            <w:pPr>
              <w:pStyle w:val="TableParagraph"/>
              <w:spacing w:before="1"/>
              <w:ind w:left="415" w:right="402"/>
              <w:jc w:val="center"/>
              <w:rPr>
                <w:rFonts w:ascii="Calibri"/>
                <w:sz w:val="21"/>
              </w:rPr>
            </w:pPr>
            <w:r>
              <w:rPr>
                <w:rFonts w:ascii="Calibri"/>
                <w:spacing w:val="-5"/>
                <w:sz w:val="21"/>
              </w:rPr>
              <w:t>10</w:t>
            </w:r>
          </w:p>
        </w:tc>
        <w:tc>
          <w:tcPr>
            <w:tcW w:w="1890" w:type="dxa"/>
          </w:tcPr>
          <w:p>
            <w:pPr>
              <w:pStyle w:val="TableParagraph"/>
              <w:spacing w:before="1"/>
              <w:ind w:left="260" w:right="248"/>
              <w:jc w:val="center"/>
              <w:rPr>
                <w:rFonts w:ascii="Calibri"/>
                <w:b/>
                <w:sz w:val="21"/>
              </w:rPr>
            </w:pPr>
            <w:r>
              <w:rPr>
                <w:rFonts w:ascii="Calibri"/>
                <w:b/>
                <w:spacing w:val="-5"/>
                <w:sz w:val="21"/>
              </w:rPr>
              <w:t>38</w:t>
            </w:r>
          </w:p>
        </w:tc>
      </w:tr>
    </w:tbl>
    <w:p>
      <w:pPr>
        <w:pStyle w:val="BodyText"/>
        <w:spacing w:before="9"/>
        <w:ind w:left="740"/>
        <w:jc w:val="both"/>
      </w:pPr>
      <w:r>
        <w:rPr>
          <w:b/>
        </w:rPr>
        <w:t>Tabela</w:t>
      </w:r>
      <w:r>
        <w:rPr>
          <w:b/>
          <w:spacing w:val="-6"/>
        </w:rPr>
        <w:t> </w:t>
      </w:r>
      <w:r>
        <w:rPr>
          <w:b/>
        </w:rPr>
        <w:t>20:</w:t>
      </w:r>
      <w:r>
        <w:rPr>
          <w:b/>
          <w:spacing w:val="-6"/>
        </w:rPr>
        <w:t> </w:t>
      </w:r>
      <w:r>
        <w:rPr/>
        <w:t>Numri</w:t>
      </w:r>
      <w:r>
        <w:rPr>
          <w:spacing w:val="-6"/>
        </w:rPr>
        <w:t> </w:t>
      </w:r>
      <w:r>
        <w:rPr/>
        <w:t>i</w:t>
      </w:r>
      <w:r>
        <w:rPr>
          <w:spacing w:val="-6"/>
        </w:rPr>
        <w:t> </w:t>
      </w:r>
      <w:r>
        <w:rPr/>
        <w:t>klientëve</w:t>
      </w:r>
      <w:r>
        <w:rPr>
          <w:spacing w:val="-6"/>
        </w:rPr>
        <w:t> </w:t>
      </w:r>
      <w:r>
        <w:rPr/>
        <w:t>të</w:t>
      </w:r>
      <w:r>
        <w:rPr>
          <w:spacing w:val="-6"/>
        </w:rPr>
        <w:t> </w:t>
      </w:r>
      <w:r>
        <w:rPr/>
        <w:t>shërbyer</w:t>
      </w:r>
      <w:r>
        <w:rPr>
          <w:spacing w:val="-6"/>
        </w:rPr>
        <w:t> </w:t>
      </w:r>
      <w:r>
        <w:rPr/>
        <w:t>dhe</w:t>
      </w:r>
      <w:r>
        <w:rPr>
          <w:spacing w:val="-6"/>
        </w:rPr>
        <w:t> </w:t>
      </w:r>
      <w:r>
        <w:rPr/>
        <w:t>gjatësia</w:t>
      </w:r>
      <w:r>
        <w:rPr>
          <w:spacing w:val="-6"/>
        </w:rPr>
        <w:t> </w:t>
      </w:r>
      <w:r>
        <w:rPr/>
        <w:t>e</w:t>
      </w:r>
      <w:r>
        <w:rPr>
          <w:spacing w:val="-6"/>
        </w:rPr>
        <w:t> </w:t>
      </w:r>
      <w:r>
        <w:rPr/>
        <w:t>rutës</w:t>
      </w:r>
      <w:r>
        <w:rPr>
          <w:spacing w:val="-6"/>
        </w:rPr>
        <w:t> </w:t>
      </w:r>
      <w:r>
        <w:rPr/>
        <w:t>së</w:t>
      </w:r>
      <w:r>
        <w:rPr>
          <w:spacing w:val="-6"/>
        </w:rPr>
        <w:t> </w:t>
      </w:r>
      <w:r>
        <w:rPr/>
        <w:t>shërbimit</w:t>
      </w:r>
      <w:r>
        <w:rPr>
          <w:spacing w:val="-6"/>
        </w:rPr>
        <w:t> </w:t>
      </w:r>
      <w:r>
        <w:rPr/>
        <w:t>për</w:t>
      </w:r>
      <w:r>
        <w:rPr>
          <w:spacing w:val="-6"/>
        </w:rPr>
        <w:t> </w:t>
      </w:r>
      <w:r>
        <w:rPr>
          <w:spacing w:val="-2"/>
        </w:rPr>
        <w:t>vendbanime</w:t>
      </w:r>
    </w:p>
    <w:p>
      <w:pPr>
        <w:pStyle w:val="BodyText"/>
        <w:spacing w:before="201"/>
        <w:ind w:left="740" w:right="1436"/>
        <w:jc w:val="both"/>
      </w:pPr>
      <w:r>
        <w:rPr/>
        <w:t>Deponitë</w:t>
      </w:r>
      <w:r>
        <w:rPr>
          <w:spacing w:val="-6"/>
        </w:rPr>
        <w:t> </w:t>
      </w:r>
      <w:r>
        <w:rPr/>
        <w:t>jo-formale</w:t>
      </w:r>
      <w:r>
        <w:rPr>
          <w:spacing w:val="-5"/>
        </w:rPr>
        <w:t> </w:t>
      </w:r>
      <w:r>
        <w:rPr/>
        <w:t>-</w:t>
      </w:r>
      <w:r>
        <w:rPr>
          <w:spacing w:val="-5"/>
        </w:rPr>
        <w:t> </w:t>
      </w:r>
      <w:r>
        <w:rPr/>
        <w:t>Si</w:t>
      </w:r>
      <w:r>
        <w:rPr>
          <w:spacing w:val="-5"/>
        </w:rPr>
        <w:t> </w:t>
      </w:r>
      <w:r>
        <w:rPr/>
        <w:t>rezultat</w:t>
      </w:r>
      <w:r>
        <w:rPr>
          <w:spacing w:val="-4"/>
        </w:rPr>
        <w:t> </w:t>
      </w:r>
      <w:r>
        <w:rPr/>
        <w:t>i</w:t>
      </w:r>
      <w:r>
        <w:rPr>
          <w:spacing w:val="-4"/>
        </w:rPr>
        <w:t> </w:t>
      </w:r>
      <w:r>
        <w:rPr/>
        <w:t>gjendjes</w:t>
      </w:r>
      <w:r>
        <w:rPr>
          <w:spacing w:val="-4"/>
        </w:rPr>
        <w:t> </w:t>
      </w:r>
      <w:r>
        <w:rPr/>
        <w:t>së</w:t>
      </w:r>
      <w:r>
        <w:rPr>
          <w:spacing w:val="-3"/>
        </w:rPr>
        <w:t> </w:t>
      </w:r>
      <w:r>
        <w:rPr/>
        <w:t>krijuar</w:t>
      </w:r>
      <w:r>
        <w:rPr>
          <w:spacing w:val="-2"/>
        </w:rPr>
        <w:t> </w:t>
      </w:r>
      <w:r>
        <w:rPr/>
        <w:t>për</w:t>
      </w:r>
      <w:r>
        <w:rPr>
          <w:spacing w:val="-3"/>
        </w:rPr>
        <w:t> </w:t>
      </w:r>
      <w:r>
        <w:rPr/>
        <w:t>disa</w:t>
      </w:r>
      <w:r>
        <w:rPr>
          <w:spacing w:val="-5"/>
        </w:rPr>
        <w:t> </w:t>
      </w:r>
      <w:r>
        <w:rPr/>
        <w:t>vite</w:t>
      </w:r>
      <w:r>
        <w:rPr>
          <w:spacing w:val="-5"/>
        </w:rPr>
        <w:t> </w:t>
      </w:r>
      <w:r>
        <w:rPr/>
        <w:t>pa</w:t>
      </w:r>
      <w:r>
        <w:rPr>
          <w:spacing w:val="-3"/>
        </w:rPr>
        <w:t> </w:t>
      </w:r>
      <w:r>
        <w:rPr/>
        <w:t>ofrues</w:t>
      </w:r>
      <w:r>
        <w:rPr>
          <w:spacing w:val="-3"/>
        </w:rPr>
        <w:t> </w:t>
      </w:r>
      <w:r>
        <w:rPr/>
        <w:t>formal</w:t>
      </w:r>
      <w:r>
        <w:rPr>
          <w:spacing w:val="-3"/>
        </w:rPr>
        <w:t> </w:t>
      </w:r>
      <w:r>
        <w:rPr/>
        <w:t>të</w:t>
      </w:r>
      <w:r>
        <w:rPr>
          <w:spacing w:val="-4"/>
        </w:rPr>
        <w:t> </w:t>
      </w:r>
      <w:r>
        <w:rPr/>
        <w:t>shërbimit</w:t>
      </w:r>
      <w:r>
        <w:rPr>
          <w:spacing w:val="-5"/>
        </w:rPr>
        <w:t> </w:t>
      </w:r>
      <w:r>
        <w:rPr/>
        <w:t>të grumbullimit</w:t>
      </w:r>
      <w:r>
        <w:rPr/>
        <w:t> të</w:t>
      </w:r>
      <w:r>
        <w:rPr/>
        <w:t> mbeturinave</w:t>
      </w:r>
      <w:r>
        <w:rPr/>
        <w:t> (para</w:t>
      </w:r>
      <w:r>
        <w:rPr/>
        <w:t> 2017),</w:t>
      </w:r>
      <w:r>
        <w:rPr/>
        <w:t> në</w:t>
      </w:r>
      <w:r>
        <w:rPr/>
        <w:t> territorin</w:t>
      </w:r>
      <w:r>
        <w:rPr/>
        <w:t> e</w:t>
      </w:r>
      <w:r>
        <w:rPr/>
        <w:t> komunës</w:t>
      </w:r>
      <w:r>
        <w:rPr/>
        <w:t> ka</w:t>
      </w:r>
      <w:r>
        <w:rPr/>
        <w:t> ende</w:t>
      </w:r>
      <w:r>
        <w:rPr/>
        <w:t> 2</w:t>
      </w:r>
      <w:r>
        <w:rPr/>
        <w:t> deponi</w:t>
      </w:r>
      <w:r>
        <w:rPr/>
        <w:t> ilegale</w:t>
      </w:r>
      <w:r>
        <w:rPr/>
        <w:t> të mbeturinave</w:t>
      </w:r>
      <w:r>
        <w:rPr/>
        <w:t> edhe</w:t>
      </w:r>
      <w:r>
        <w:rPr/>
        <w:t> pse një numër i madh janë eliminuar. Kësaj i duhet shtuar edhe deponitë e mbeturinave</w:t>
      </w:r>
      <w:r>
        <w:rPr>
          <w:spacing w:val="-4"/>
        </w:rPr>
        <w:t> </w:t>
      </w:r>
      <w:r>
        <w:rPr/>
        <w:t>ndërtimore</w:t>
      </w:r>
      <w:r>
        <w:rPr>
          <w:spacing w:val="-5"/>
        </w:rPr>
        <w:t> </w:t>
      </w:r>
      <w:r>
        <w:rPr/>
        <w:t>edhe</w:t>
      </w:r>
      <w:r>
        <w:rPr>
          <w:spacing w:val="-3"/>
        </w:rPr>
        <w:t> </w:t>
      </w:r>
      <w:r>
        <w:rPr/>
        <w:t>pse</w:t>
      </w:r>
      <w:r>
        <w:rPr>
          <w:spacing w:val="-3"/>
        </w:rPr>
        <w:t> </w:t>
      </w:r>
      <w:r>
        <w:rPr/>
        <w:t>Komuna</w:t>
      </w:r>
      <w:r>
        <w:rPr>
          <w:spacing w:val="-4"/>
        </w:rPr>
        <w:t> </w:t>
      </w:r>
      <w:r>
        <w:rPr/>
        <w:t>e</w:t>
      </w:r>
      <w:r>
        <w:rPr>
          <w:spacing w:val="-3"/>
        </w:rPr>
        <w:t> </w:t>
      </w:r>
      <w:r>
        <w:rPr/>
        <w:t>HiE</w:t>
      </w:r>
      <w:r>
        <w:rPr>
          <w:spacing w:val="-4"/>
        </w:rPr>
        <w:t> </w:t>
      </w:r>
      <w:r>
        <w:rPr/>
        <w:t>ka</w:t>
      </w:r>
      <w:r>
        <w:rPr>
          <w:spacing w:val="-3"/>
        </w:rPr>
        <w:t> </w:t>
      </w:r>
      <w:r>
        <w:rPr/>
        <w:t>përcaktuar</w:t>
      </w:r>
      <w:r>
        <w:rPr>
          <w:spacing w:val="-3"/>
        </w:rPr>
        <w:t> </w:t>
      </w:r>
      <w:r>
        <w:rPr/>
        <w:t>një</w:t>
      </w:r>
      <w:r>
        <w:rPr>
          <w:spacing w:val="-3"/>
        </w:rPr>
        <w:t> </w:t>
      </w:r>
      <w:r>
        <w:rPr/>
        <w:t>lokacion</w:t>
      </w:r>
      <w:r>
        <w:rPr>
          <w:spacing w:val="-4"/>
        </w:rPr>
        <w:t> </w:t>
      </w:r>
      <w:r>
        <w:rPr/>
        <w:t>për</w:t>
      </w:r>
      <w:r>
        <w:rPr>
          <w:spacing w:val="-3"/>
        </w:rPr>
        <w:t> </w:t>
      </w:r>
      <w:r>
        <w:rPr/>
        <w:t>mbeturina</w:t>
      </w:r>
      <w:r>
        <w:rPr>
          <w:spacing w:val="-4"/>
        </w:rPr>
        <w:t> </w:t>
      </w:r>
      <w:r>
        <w:rPr/>
        <w:t>të</w:t>
      </w:r>
      <w:r>
        <w:rPr>
          <w:spacing w:val="-3"/>
        </w:rPr>
        <w:t> </w:t>
      </w:r>
      <w:r>
        <w:rPr/>
        <w:t>tilla në lokacionin e mihjes sipërfaqësore të mergeles. Kjo gjendje e krijuar në terren paraqet një nga sfidat më të mëdha të Komunës së HiE respektivisht NPL Pastrimi.</w:t>
      </w:r>
    </w:p>
    <w:p>
      <w:pPr>
        <w:pStyle w:val="BodyText"/>
        <w:spacing w:before="200"/>
        <w:ind w:left="740" w:right="1438"/>
        <w:jc w:val="both"/>
      </w:pPr>
      <w:r>
        <w:rPr/>
        <w:t>Mbeturina tjera - Mbeturinat e azbestit të gjeneruara nga fabrika e produkteve të azbest-çimentos para vitit 1999, në vitet 2017-18 janë pastruar nga shtrati i lumit Lepenc dhe nga vet uzinat e fabrikës</w:t>
      </w:r>
      <w:r>
        <w:rPr>
          <w:spacing w:val="-4"/>
        </w:rPr>
        <w:t> </w:t>
      </w:r>
      <w:r>
        <w:rPr/>
        <w:t>dhe</w:t>
      </w:r>
      <w:r>
        <w:rPr>
          <w:spacing w:val="-6"/>
        </w:rPr>
        <w:t> </w:t>
      </w:r>
      <w:r>
        <w:rPr/>
        <w:t>janë</w:t>
      </w:r>
      <w:r>
        <w:rPr>
          <w:spacing w:val="-4"/>
        </w:rPr>
        <w:t> </w:t>
      </w:r>
      <w:r>
        <w:rPr/>
        <w:t>deponuar</w:t>
      </w:r>
      <w:r>
        <w:rPr>
          <w:spacing w:val="-3"/>
        </w:rPr>
        <w:t> </w:t>
      </w:r>
      <w:r>
        <w:rPr/>
        <w:t>në</w:t>
      </w:r>
      <w:r>
        <w:rPr>
          <w:spacing w:val="-5"/>
        </w:rPr>
        <w:t> </w:t>
      </w:r>
      <w:r>
        <w:rPr/>
        <w:t>pjesën</w:t>
      </w:r>
      <w:r>
        <w:rPr>
          <w:spacing w:val="-7"/>
        </w:rPr>
        <w:t> </w:t>
      </w:r>
      <w:r>
        <w:rPr/>
        <w:t>e</w:t>
      </w:r>
      <w:r>
        <w:rPr>
          <w:spacing w:val="-4"/>
        </w:rPr>
        <w:t> </w:t>
      </w:r>
      <w:r>
        <w:rPr/>
        <w:t>minierave</w:t>
      </w:r>
      <w:r>
        <w:rPr>
          <w:spacing w:val="-5"/>
        </w:rPr>
        <w:t> </w:t>
      </w:r>
      <w:r>
        <w:rPr/>
        <w:t>të</w:t>
      </w:r>
      <w:r>
        <w:rPr>
          <w:spacing w:val="-3"/>
        </w:rPr>
        <w:t> </w:t>
      </w:r>
      <w:r>
        <w:rPr/>
        <w:t>vjetra</w:t>
      </w:r>
      <w:r>
        <w:rPr>
          <w:spacing w:val="-4"/>
        </w:rPr>
        <w:t> </w:t>
      </w:r>
      <w:r>
        <w:rPr/>
        <w:t>të</w:t>
      </w:r>
      <w:r>
        <w:rPr>
          <w:spacing w:val="-5"/>
        </w:rPr>
        <w:t> </w:t>
      </w:r>
      <w:r>
        <w:rPr/>
        <w:t>kromit</w:t>
      </w:r>
      <w:r>
        <w:rPr>
          <w:spacing w:val="-5"/>
        </w:rPr>
        <w:t> </w:t>
      </w:r>
      <w:r>
        <w:rPr/>
        <w:t>në</w:t>
      </w:r>
      <w:r>
        <w:rPr>
          <w:spacing w:val="-4"/>
        </w:rPr>
        <w:t> </w:t>
      </w:r>
      <w:r>
        <w:rPr/>
        <w:t>Gorancë</w:t>
      </w:r>
      <w:r>
        <w:rPr>
          <w:spacing w:val="-2"/>
        </w:rPr>
        <w:t> </w:t>
      </w:r>
      <w:r>
        <w:rPr/>
        <w:t>ngjitur</w:t>
      </w:r>
      <w:r>
        <w:rPr>
          <w:spacing w:val="-5"/>
        </w:rPr>
        <w:t> </w:t>
      </w:r>
      <w:r>
        <w:rPr/>
        <w:t>kufirit</w:t>
      </w:r>
      <w:r>
        <w:rPr>
          <w:spacing w:val="-6"/>
        </w:rPr>
        <w:t> </w:t>
      </w:r>
      <w:r>
        <w:rPr/>
        <w:t>me Maqedoninë. Në këtë mes vlerësohet se duhet bërë hulumtime shtesë në terren për të ditur nëse janë pastruar në tërësi këto mbetje të rrezikshme.</w:t>
      </w:r>
    </w:p>
    <w:p>
      <w:pPr>
        <w:spacing w:after="0"/>
        <w:jc w:val="both"/>
        <w:sectPr>
          <w:pgSz w:w="12240" w:h="15840"/>
          <w:pgMar w:header="0" w:footer="990" w:top="0" w:bottom="1180" w:left="700" w:right="0"/>
        </w:sectPr>
      </w:pPr>
    </w:p>
    <w:p>
      <w:pPr>
        <w:pStyle w:val="Heading2"/>
        <w:numPr>
          <w:ilvl w:val="1"/>
          <w:numId w:val="12"/>
        </w:numPr>
        <w:tabs>
          <w:tab w:pos="1311" w:val="left" w:leader="none"/>
          <w:tab w:pos="10131" w:val="left" w:leader="none"/>
        </w:tabs>
        <w:spacing w:line="240" w:lineRule="auto" w:before="60" w:after="0"/>
        <w:ind w:left="1311" w:right="0" w:hanging="511"/>
        <w:jc w:val="both"/>
        <w:rPr>
          <w:color w:val="FFFFFF"/>
          <w:sz w:val="22"/>
        </w:rPr>
      </w:pPr>
      <w:r>
        <w:rPr>
          <w:color w:val="FFFFFF"/>
          <w:shd w:fill="EAB8A3" w:color="auto" w:val="clear"/>
        </w:rPr>
        <w:t>Hapësirat</w:t>
      </w:r>
      <w:r>
        <w:rPr>
          <w:color w:val="FFFFFF"/>
          <w:spacing w:val="-4"/>
          <w:shd w:fill="EAB8A3" w:color="auto" w:val="clear"/>
        </w:rPr>
        <w:t> </w:t>
      </w:r>
      <w:r>
        <w:rPr>
          <w:color w:val="FFFFFF"/>
          <w:shd w:fill="EAB8A3" w:color="auto" w:val="clear"/>
        </w:rPr>
        <w:t>e</w:t>
      </w:r>
      <w:r>
        <w:rPr>
          <w:color w:val="FFFFFF"/>
          <w:spacing w:val="-4"/>
          <w:shd w:fill="EAB8A3" w:color="auto" w:val="clear"/>
        </w:rPr>
        <w:t> </w:t>
      </w:r>
      <w:r>
        <w:rPr>
          <w:color w:val="FFFFFF"/>
          <w:spacing w:val="-2"/>
          <w:shd w:fill="EAB8A3" w:color="auto" w:val="clear"/>
        </w:rPr>
        <w:t>gjelbërta</w:t>
      </w:r>
      <w:r>
        <w:rPr>
          <w:color w:val="FFFFFF"/>
          <w:shd w:fill="EAB8A3" w:color="auto" w:val="clear"/>
        </w:rPr>
        <w:tab/>
      </w:r>
    </w:p>
    <w:p>
      <w:pPr>
        <w:pStyle w:val="BodyText"/>
        <w:spacing w:before="200"/>
        <w:ind w:left="740" w:right="1437"/>
        <w:jc w:val="both"/>
      </w:pPr>
      <w:r>
        <w:rPr/>
        <w:t>Me</w:t>
      </w:r>
      <w:r>
        <w:rPr>
          <w:spacing w:val="-8"/>
        </w:rPr>
        <w:t> </w:t>
      </w:r>
      <w:r>
        <w:rPr/>
        <w:t>përjashtim</w:t>
      </w:r>
      <w:r>
        <w:rPr>
          <w:spacing w:val="-8"/>
        </w:rPr>
        <w:t> </w:t>
      </w:r>
      <w:r>
        <w:rPr/>
        <w:t>qytetit</w:t>
      </w:r>
      <w:r>
        <w:rPr>
          <w:spacing w:val="40"/>
        </w:rPr>
        <w:t> </w:t>
      </w:r>
      <w:r>
        <w:rPr/>
        <w:t>të</w:t>
      </w:r>
      <w:r>
        <w:rPr>
          <w:spacing w:val="-9"/>
        </w:rPr>
        <w:t> </w:t>
      </w:r>
      <w:r>
        <w:rPr/>
        <w:t>Hanit</w:t>
      </w:r>
      <w:r>
        <w:rPr>
          <w:spacing w:val="-8"/>
        </w:rPr>
        <w:t> </w:t>
      </w:r>
      <w:r>
        <w:rPr/>
        <w:t>të</w:t>
      </w:r>
      <w:r>
        <w:rPr>
          <w:spacing w:val="-8"/>
        </w:rPr>
        <w:t> </w:t>
      </w:r>
      <w:r>
        <w:rPr/>
        <w:t>Elezit</w:t>
      </w:r>
      <w:r>
        <w:rPr>
          <w:spacing w:val="-8"/>
        </w:rPr>
        <w:t> </w:t>
      </w:r>
      <w:r>
        <w:rPr/>
        <w:t>Natyra</w:t>
      </w:r>
      <w:r>
        <w:rPr>
          <w:spacing w:val="-9"/>
        </w:rPr>
        <w:t> </w:t>
      </w:r>
      <w:r>
        <w:rPr/>
        <w:t>e</w:t>
      </w:r>
      <w:r>
        <w:rPr>
          <w:spacing w:val="-8"/>
        </w:rPr>
        <w:t> </w:t>
      </w:r>
      <w:r>
        <w:rPr/>
        <w:t>Sharrit</w:t>
      </w:r>
      <w:r>
        <w:rPr>
          <w:spacing w:val="-9"/>
        </w:rPr>
        <w:t> </w:t>
      </w:r>
      <w:r>
        <w:rPr/>
        <w:t>dhe</w:t>
      </w:r>
      <w:r>
        <w:rPr>
          <w:spacing w:val="-8"/>
        </w:rPr>
        <w:t> </w:t>
      </w:r>
      <w:r>
        <w:rPr/>
        <w:t>Karadakut</w:t>
      </w:r>
      <w:r>
        <w:rPr>
          <w:spacing w:val="-8"/>
        </w:rPr>
        <w:t> </w:t>
      </w:r>
      <w:r>
        <w:rPr/>
        <w:t>dhe</w:t>
      </w:r>
      <w:r>
        <w:rPr>
          <w:spacing w:val="-8"/>
        </w:rPr>
        <w:t> </w:t>
      </w:r>
      <w:r>
        <w:rPr/>
        <w:t>e</w:t>
      </w:r>
      <w:r>
        <w:rPr>
          <w:spacing w:val="-8"/>
        </w:rPr>
        <w:t> </w:t>
      </w:r>
      <w:r>
        <w:rPr/>
        <w:t>korridoreve</w:t>
      </w:r>
      <w:r>
        <w:rPr>
          <w:spacing w:val="-8"/>
        </w:rPr>
        <w:t> </w:t>
      </w:r>
      <w:r>
        <w:rPr/>
        <w:t>përgjatë rrjedhave ujore përbëjnë rrjetin e gjelbër unik të shtrirë në mbi 75% territorit komunal. Ky ekosistem natyror deri së voni kryesisht i paprekur ofron ujin e pastër nga krojet dhe përrenjtë e shumtë, pastrimin e ajrit dhe ujit të ndotur, resursin për energji dhe ngrohje, lokacionin shumë të përshtatshëm për relaksim për banorët si dhe kushte esenciale për botën ujore dhe jashtë saj.</w:t>
      </w:r>
    </w:p>
    <w:p>
      <w:pPr>
        <w:pStyle w:val="Heading2"/>
        <w:numPr>
          <w:ilvl w:val="1"/>
          <w:numId w:val="12"/>
        </w:numPr>
        <w:tabs>
          <w:tab w:pos="1311" w:val="left" w:leader="none"/>
          <w:tab w:pos="10104" w:val="left" w:leader="none"/>
        </w:tabs>
        <w:spacing w:line="240" w:lineRule="auto" w:before="200" w:after="0"/>
        <w:ind w:left="704" w:right="0" w:firstLine="96"/>
        <w:jc w:val="both"/>
        <w:rPr>
          <w:color w:val="FFFFFF"/>
          <w:sz w:val="22"/>
        </w:rPr>
      </w:pPr>
      <w:r>
        <w:rPr>
          <w:color w:val="FFFFFF"/>
          <w:shd w:fill="EAB8A3" w:color="auto" w:val="clear"/>
        </w:rPr>
        <w:t>Degradimi</w:t>
      </w:r>
      <w:r>
        <w:rPr>
          <w:color w:val="FFFFFF"/>
          <w:spacing w:val="-1"/>
          <w:shd w:fill="EAB8A3" w:color="auto" w:val="clear"/>
        </w:rPr>
        <w:t> </w:t>
      </w:r>
      <w:r>
        <w:rPr>
          <w:color w:val="FFFFFF"/>
          <w:shd w:fill="EAB8A3" w:color="auto" w:val="clear"/>
        </w:rPr>
        <w:t>i</w:t>
      </w:r>
      <w:r>
        <w:rPr>
          <w:color w:val="FFFFFF"/>
          <w:spacing w:val="-1"/>
          <w:shd w:fill="EAB8A3" w:color="auto" w:val="clear"/>
        </w:rPr>
        <w:t> </w:t>
      </w:r>
      <w:r>
        <w:rPr>
          <w:color w:val="FFFFFF"/>
          <w:spacing w:val="-2"/>
          <w:shd w:fill="EAB8A3" w:color="auto" w:val="clear"/>
        </w:rPr>
        <w:t>mjedisit</w:t>
      </w:r>
      <w:r>
        <w:rPr>
          <w:color w:val="FFFFFF"/>
          <w:shd w:fill="EAB8A3" w:color="auto" w:val="clear"/>
        </w:rPr>
        <w:tab/>
      </w:r>
    </w:p>
    <w:p>
      <w:pPr>
        <w:pStyle w:val="BodyText"/>
        <w:spacing w:before="10"/>
        <w:rPr>
          <w:b/>
          <w:sz w:val="20"/>
        </w:rPr>
      </w:pPr>
    </w:p>
    <w:p>
      <w:pPr>
        <w:pStyle w:val="BodyText"/>
        <w:ind w:left="704" w:right="1464"/>
        <w:jc w:val="both"/>
      </w:pPr>
      <w:r>
        <w:rPr/>
        <w:t>Komuna e Hanit të Elezit respektivisht zona urbane me vendbanimet përreth në lindje të lumit Lepenc edhe më tutje vazhdon të konsiderohet si njëra nga pikat më të ndotura në Kosovë sa i përket ndotjes së ajrit. Gjatë trajtimit të përgjithshëm të gjendjes mjedisore, problematikë serioze është identifikuar edhe ndotja e ujit kryesisht nga ujërat e zeza, kontaminimi i brigjeve të lumit Lepenc nga mbetjet e asbest-çimentos dhe mbeturinave të ngurta, ndotja e tokës nga deponitë ilegale</w:t>
      </w:r>
      <w:r>
        <w:rPr>
          <w:spacing w:val="-6"/>
        </w:rPr>
        <w:t> </w:t>
      </w:r>
      <w:r>
        <w:rPr/>
        <w:t>të</w:t>
      </w:r>
      <w:r>
        <w:rPr>
          <w:spacing w:val="-5"/>
        </w:rPr>
        <w:t> </w:t>
      </w:r>
      <w:r>
        <w:rPr/>
        <w:t>mbeturinave,</w:t>
      </w:r>
      <w:r>
        <w:rPr>
          <w:spacing w:val="-7"/>
        </w:rPr>
        <w:t> </w:t>
      </w:r>
      <w:r>
        <w:rPr/>
        <w:t>ndotja</w:t>
      </w:r>
      <w:r>
        <w:rPr>
          <w:spacing w:val="-7"/>
        </w:rPr>
        <w:t> </w:t>
      </w:r>
      <w:r>
        <w:rPr/>
        <w:t>e</w:t>
      </w:r>
      <w:r>
        <w:rPr>
          <w:spacing w:val="-6"/>
        </w:rPr>
        <w:t> </w:t>
      </w:r>
      <w:r>
        <w:rPr/>
        <w:t>përgjithshme</w:t>
      </w:r>
      <w:r>
        <w:rPr>
          <w:spacing w:val="-5"/>
        </w:rPr>
        <w:t> </w:t>
      </w:r>
      <w:r>
        <w:rPr/>
        <w:t>dhe</w:t>
      </w:r>
      <w:r>
        <w:rPr>
          <w:spacing w:val="-6"/>
        </w:rPr>
        <w:t> </w:t>
      </w:r>
      <w:r>
        <w:rPr/>
        <w:t>dëmtimi</w:t>
      </w:r>
      <w:r>
        <w:rPr>
          <w:spacing w:val="-6"/>
        </w:rPr>
        <w:t> </w:t>
      </w:r>
      <w:r>
        <w:rPr/>
        <w:t>i</w:t>
      </w:r>
      <w:r>
        <w:rPr>
          <w:spacing w:val="-7"/>
        </w:rPr>
        <w:t> </w:t>
      </w:r>
      <w:r>
        <w:rPr/>
        <w:t>peizazhit</w:t>
      </w:r>
      <w:r>
        <w:rPr>
          <w:spacing w:val="-6"/>
        </w:rPr>
        <w:t> </w:t>
      </w:r>
      <w:r>
        <w:rPr/>
        <w:t>nga</w:t>
      </w:r>
      <w:r>
        <w:rPr>
          <w:spacing w:val="-6"/>
        </w:rPr>
        <w:t> </w:t>
      </w:r>
      <w:r>
        <w:rPr/>
        <w:t>gurëthyesit,</w:t>
      </w:r>
      <w:r>
        <w:rPr>
          <w:spacing w:val="-6"/>
        </w:rPr>
        <w:t> </w:t>
      </w:r>
      <w:r>
        <w:rPr/>
        <w:t>degradimi</w:t>
      </w:r>
      <w:r>
        <w:rPr>
          <w:spacing w:val="-8"/>
        </w:rPr>
        <w:t> </w:t>
      </w:r>
      <w:r>
        <w:rPr/>
        <w:t>i pyjeve, si dhe humbja e tokës bujqësore përmes ndërtimit të paligjshëm</w:t>
      </w:r>
    </w:p>
    <w:p>
      <w:pPr>
        <w:pStyle w:val="BodyText"/>
        <w:ind w:left="704" w:right="1464"/>
        <w:jc w:val="both"/>
      </w:pPr>
      <w:r>
        <w:rPr/>
        <w:t>Edhe pse ekzistojnë të dhëna formale që do të tregohen më poshtë, studime hulumtuese dhe profesionale për përcaktimin e normës së ndotjes (ujit, tokës dhe ajrit) në komunë nuk janë bërë ende. Ky problem nuk është i pranishëm vetëm në komunë, por është i pranishëm edhe në nivel vendi.</w:t>
      </w:r>
      <w:r>
        <w:rPr>
          <w:spacing w:val="-5"/>
        </w:rPr>
        <w:t> </w:t>
      </w:r>
      <w:r>
        <w:rPr/>
        <w:t>Por</w:t>
      </w:r>
      <w:r>
        <w:rPr>
          <w:spacing w:val="-6"/>
        </w:rPr>
        <w:t> </w:t>
      </w:r>
      <w:r>
        <w:rPr/>
        <w:t>duke</w:t>
      </w:r>
      <w:r>
        <w:rPr>
          <w:spacing w:val="-6"/>
        </w:rPr>
        <w:t> </w:t>
      </w:r>
      <w:r>
        <w:rPr/>
        <w:t>pasur</w:t>
      </w:r>
      <w:r>
        <w:rPr>
          <w:spacing w:val="-5"/>
        </w:rPr>
        <w:t> </w:t>
      </w:r>
      <w:r>
        <w:rPr/>
        <w:t>parasysh</w:t>
      </w:r>
      <w:r>
        <w:rPr>
          <w:spacing w:val="-6"/>
        </w:rPr>
        <w:t> </w:t>
      </w:r>
      <w:r>
        <w:rPr/>
        <w:t>ndotjen</w:t>
      </w:r>
      <w:r>
        <w:rPr>
          <w:spacing w:val="-6"/>
        </w:rPr>
        <w:t> </w:t>
      </w:r>
      <w:r>
        <w:rPr/>
        <w:t>evidente</w:t>
      </w:r>
      <w:r>
        <w:rPr>
          <w:spacing w:val="-6"/>
        </w:rPr>
        <w:t> </w:t>
      </w:r>
      <w:r>
        <w:rPr/>
        <w:t>posaçërisht</w:t>
      </w:r>
      <w:r>
        <w:rPr>
          <w:spacing w:val="-5"/>
        </w:rPr>
        <w:t> </w:t>
      </w:r>
      <w:r>
        <w:rPr/>
        <w:t>të</w:t>
      </w:r>
      <w:r>
        <w:rPr>
          <w:spacing w:val="-6"/>
        </w:rPr>
        <w:t> </w:t>
      </w:r>
      <w:r>
        <w:rPr/>
        <w:t>ajrit,</w:t>
      </w:r>
      <w:r>
        <w:rPr>
          <w:spacing w:val="-6"/>
        </w:rPr>
        <w:t> </w:t>
      </w:r>
      <w:r>
        <w:rPr/>
        <w:t>reaksioni</w:t>
      </w:r>
      <w:r>
        <w:rPr>
          <w:spacing w:val="-5"/>
        </w:rPr>
        <w:t> </w:t>
      </w:r>
      <w:r>
        <w:rPr/>
        <w:t>formal</w:t>
      </w:r>
      <w:r>
        <w:rPr>
          <w:spacing w:val="-6"/>
        </w:rPr>
        <w:t> </w:t>
      </w:r>
      <w:r>
        <w:rPr/>
        <w:t>duhet</w:t>
      </w:r>
      <w:r>
        <w:rPr>
          <w:spacing w:val="-5"/>
        </w:rPr>
        <w:t> </w:t>
      </w:r>
      <w:r>
        <w:rPr/>
        <w:t>të</w:t>
      </w:r>
      <w:r>
        <w:rPr>
          <w:spacing w:val="-5"/>
        </w:rPr>
        <w:t> </w:t>
      </w:r>
      <w:r>
        <w:rPr/>
        <w:t>jetë më urgjent në këtë rast. Zgjidhja e këtyre çështjeve do të përmirësojë ndjeshëm gjendjen në mbrojtjen e mjedisit</w:t>
      </w:r>
      <w:r>
        <w:rPr>
          <w:vertAlign w:val="superscript"/>
        </w:rPr>
        <w:t>16</w:t>
      </w:r>
      <w:r>
        <w:rPr>
          <w:vertAlign w:val="baseline"/>
        </w:rPr>
        <w:t>.</w:t>
      </w:r>
    </w:p>
    <w:p>
      <w:pPr>
        <w:pStyle w:val="BodyText"/>
        <w:spacing w:before="241"/>
        <w:ind w:left="740" w:right="1435"/>
      </w:pPr>
      <w:r>
        <w:rPr/>
        <w:t>Nga</w:t>
      </w:r>
      <w:r>
        <w:rPr>
          <w:spacing w:val="-3"/>
        </w:rPr>
        <w:t> </w:t>
      </w:r>
      <w:r>
        <w:rPr/>
        <w:t>matjet</w:t>
      </w:r>
      <w:r>
        <w:rPr>
          <w:spacing w:val="-3"/>
        </w:rPr>
        <w:t> </w:t>
      </w:r>
      <w:r>
        <w:rPr/>
        <w:t>e</w:t>
      </w:r>
      <w:r>
        <w:rPr>
          <w:spacing w:val="-4"/>
        </w:rPr>
        <w:t> </w:t>
      </w:r>
      <w:r>
        <w:rPr/>
        <w:t>Sharrcem-it</w:t>
      </w:r>
      <w:r>
        <w:rPr>
          <w:spacing w:val="-3"/>
        </w:rPr>
        <w:t> </w:t>
      </w:r>
      <w:r>
        <w:rPr/>
        <w:t>për</w:t>
      </w:r>
      <w:r>
        <w:rPr>
          <w:spacing w:val="-3"/>
        </w:rPr>
        <w:t> </w:t>
      </w:r>
      <w:r>
        <w:rPr/>
        <w:t>ndotjen</w:t>
      </w:r>
      <w:r>
        <w:rPr>
          <w:spacing w:val="-3"/>
        </w:rPr>
        <w:t> </w:t>
      </w:r>
      <w:r>
        <w:rPr/>
        <w:t>në</w:t>
      </w:r>
      <w:r>
        <w:rPr>
          <w:spacing w:val="-3"/>
        </w:rPr>
        <w:t> </w:t>
      </w:r>
      <w:r>
        <w:rPr/>
        <w:t>pika</w:t>
      </w:r>
      <w:r>
        <w:rPr>
          <w:spacing w:val="-3"/>
        </w:rPr>
        <w:t> </w:t>
      </w:r>
      <w:r>
        <w:rPr/>
        <w:t>të</w:t>
      </w:r>
      <w:r>
        <w:rPr>
          <w:spacing w:val="-3"/>
        </w:rPr>
        <w:t> </w:t>
      </w:r>
      <w:r>
        <w:rPr/>
        <w:t>caktuara</w:t>
      </w:r>
      <w:r>
        <w:rPr>
          <w:spacing w:val="-3"/>
        </w:rPr>
        <w:t> </w:t>
      </w:r>
      <w:r>
        <w:rPr/>
        <w:t>brenda</w:t>
      </w:r>
      <w:r>
        <w:rPr>
          <w:spacing w:val="-3"/>
        </w:rPr>
        <w:t> </w:t>
      </w:r>
      <w:r>
        <w:rPr/>
        <w:t>impiantit</w:t>
      </w:r>
      <w:r>
        <w:rPr>
          <w:spacing w:val="-4"/>
        </w:rPr>
        <w:t> </w:t>
      </w:r>
      <w:r>
        <w:rPr/>
        <w:t>industrial</w:t>
      </w:r>
      <w:r>
        <w:rPr>
          <w:spacing w:val="-3"/>
        </w:rPr>
        <w:t> </w:t>
      </w:r>
      <w:r>
        <w:rPr/>
        <w:t>kemi</w:t>
      </w:r>
      <w:r>
        <w:rPr>
          <w:spacing w:val="-3"/>
        </w:rPr>
        <w:t> </w:t>
      </w:r>
      <w:r>
        <w:rPr/>
        <w:t>të dhënat në vijim</w:t>
      </w:r>
      <w:r>
        <w:rPr>
          <w:vertAlign w:val="superscript"/>
        </w:rPr>
        <w:t>17</w:t>
      </w:r>
      <w:r>
        <w:rPr>
          <w:vertAlign w:val="baseline"/>
        </w:rPr>
        <w:t>:</w:t>
      </w:r>
    </w:p>
    <w:p>
      <w:pPr>
        <w:pStyle w:val="BodyText"/>
        <w:spacing w:before="9" w:after="1"/>
        <w:rPr>
          <w:sz w:val="20"/>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8"/>
        <w:gridCol w:w="1259"/>
        <w:gridCol w:w="1439"/>
        <w:gridCol w:w="1349"/>
        <w:gridCol w:w="1000"/>
        <w:gridCol w:w="1167"/>
      </w:tblGrid>
      <w:tr>
        <w:trPr>
          <w:trHeight w:val="736" w:hRule="atLeast"/>
        </w:trPr>
        <w:tc>
          <w:tcPr>
            <w:tcW w:w="2698" w:type="dxa"/>
            <w:shd w:val="clear" w:color="auto" w:fill="EAB8A3"/>
          </w:tcPr>
          <w:p>
            <w:pPr>
              <w:pStyle w:val="TableParagraph"/>
              <w:ind w:left="107" w:right="775"/>
              <w:rPr>
                <w:rFonts w:ascii="Calibri" w:hAnsi="Calibri"/>
                <w:sz w:val="20"/>
              </w:rPr>
            </w:pPr>
            <w:r>
              <w:rPr>
                <w:rFonts w:ascii="Calibri" w:hAnsi="Calibri"/>
                <w:sz w:val="20"/>
              </w:rPr>
              <w:t>Emetimet në ajër nga </w:t>
            </w:r>
            <w:r>
              <w:rPr>
                <w:rFonts w:ascii="Calibri" w:hAnsi="Calibri"/>
                <w:spacing w:val="-2"/>
                <w:sz w:val="20"/>
              </w:rPr>
              <w:t>Sharrcem-i</w:t>
            </w:r>
            <w:r>
              <w:rPr>
                <w:rFonts w:ascii="Calibri" w:hAnsi="Calibri"/>
                <w:spacing w:val="11"/>
                <w:sz w:val="20"/>
              </w:rPr>
              <w:t> </w:t>
            </w:r>
            <w:r>
              <w:rPr>
                <w:rFonts w:ascii="Calibri" w:hAnsi="Calibri"/>
                <w:spacing w:val="-2"/>
                <w:sz w:val="20"/>
              </w:rPr>
              <w:t>2018-</w:t>
            </w:r>
            <w:r>
              <w:rPr>
                <w:rFonts w:ascii="Calibri" w:hAnsi="Calibri"/>
                <w:spacing w:val="-4"/>
                <w:sz w:val="20"/>
              </w:rPr>
              <w:t>2020</w:t>
            </w:r>
          </w:p>
        </w:tc>
        <w:tc>
          <w:tcPr>
            <w:tcW w:w="1259" w:type="dxa"/>
            <w:shd w:val="clear" w:color="auto" w:fill="EAB8A3"/>
          </w:tcPr>
          <w:p>
            <w:pPr>
              <w:pStyle w:val="TableParagraph"/>
              <w:ind w:left="107"/>
              <w:rPr>
                <w:rFonts w:ascii="Calibri" w:hAnsi="Calibri"/>
                <w:sz w:val="20"/>
              </w:rPr>
            </w:pPr>
            <w:r>
              <w:rPr>
                <w:rFonts w:ascii="Calibri" w:hAnsi="Calibri"/>
                <w:spacing w:val="-2"/>
                <w:sz w:val="20"/>
              </w:rPr>
              <w:t>Pluhur-furra (µg/Nm</w:t>
            </w:r>
            <w:r>
              <w:rPr>
                <w:rFonts w:ascii="Calibri" w:hAnsi="Calibri"/>
                <w:spacing w:val="-2"/>
                <w:sz w:val="20"/>
                <w:vertAlign w:val="superscript"/>
              </w:rPr>
              <w:t>3</w:t>
            </w:r>
            <w:r>
              <w:rPr>
                <w:rFonts w:ascii="Calibri" w:hAnsi="Calibri"/>
                <w:spacing w:val="-2"/>
                <w:sz w:val="20"/>
                <w:vertAlign w:val="baseline"/>
              </w:rPr>
              <w:t>)</w:t>
            </w:r>
          </w:p>
        </w:tc>
        <w:tc>
          <w:tcPr>
            <w:tcW w:w="1439" w:type="dxa"/>
            <w:shd w:val="clear" w:color="auto" w:fill="EAB8A3"/>
          </w:tcPr>
          <w:p>
            <w:pPr>
              <w:pStyle w:val="TableParagraph"/>
              <w:ind w:left="107" w:right="161"/>
              <w:rPr>
                <w:rFonts w:ascii="Calibri" w:hAnsi="Calibri"/>
                <w:sz w:val="20"/>
              </w:rPr>
            </w:pPr>
            <w:r>
              <w:rPr>
                <w:rFonts w:ascii="Calibri" w:hAnsi="Calibri"/>
                <w:spacing w:val="-2"/>
                <w:sz w:val="20"/>
              </w:rPr>
              <w:t>Pluhur-ftohësi </w:t>
            </w:r>
            <w:r>
              <w:rPr>
                <w:rFonts w:ascii="Calibri" w:hAnsi="Calibri"/>
                <w:sz w:val="20"/>
              </w:rPr>
              <w:t>i klinkerit</w:t>
            </w:r>
          </w:p>
          <w:p>
            <w:pPr>
              <w:pStyle w:val="TableParagraph"/>
              <w:spacing w:line="229" w:lineRule="exact"/>
              <w:ind w:left="107"/>
              <w:rPr>
                <w:rFonts w:ascii="Calibri" w:hAnsi="Calibri"/>
                <w:sz w:val="20"/>
              </w:rPr>
            </w:pPr>
            <w:r>
              <w:rPr>
                <w:rFonts w:ascii="Calibri" w:hAnsi="Calibri"/>
                <w:spacing w:val="-2"/>
                <w:sz w:val="20"/>
              </w:rPr>
              <w:t>(µg/Nm</w:t>
            </w:r>
            <w:r>
              <w:rPr>
                <w:rFonts w:ascii="Calibri" w:hAnsi="Calibri"/>
                <w:spacing w:val="-2"/>
                <w:sz w:val="20"/>
                <w:vertAlign w:val="superscript"/>
              </w:rPr>
              <w:t>3</w:t>
            </w:r>
            <w:r>
              <w:rPr>
                <w:rFonts w:ascii="Calibri" w:hAnsi="Calibri"/>
                <w:spacing w:val="-2"/>
                <w:sz w:val="20"/>
                <w:vertAlign w:val="baseline"/>
              </w:rPr>
              <w:t>)</w:t>
            </w:r>
          </w:p>
        </w:tc>
        <w:tc>
          <w:tcPr>
            <w:tcW w:w="1349" w:type="dxa"/>
            <w:shd w:val="clear" w:color="auto" w:fill="EAB8A3"/>
          </w:tcPr>
          <w:p>
            <w:pPr>
              <w:pStyle w:val="TableParagraph"/>
              <w:ind w:left="107"/>
              <w:rPr>
                <w:rFonts w:ascii="Calibri" w:hAnsi="Calibri"/>
                <w:sz w:val="20"/>
              </w:rPr>
            </w:pPr>
            <w:r>
              <w:rPr>
                <w:rFonts w:ascii="Calibri" w:hAnsi="Calibri"/>
                <w:spacing w:val="-2"/>
                <w:sz w:val="20"/>
              </w:rPr>
              <w:t>Pluhur-CEM2 (µg/Nm</w:t>
            </w:r>
            <w:r>
              <w:rPr>
                <w:rFonts w:ascii="Calibri" w:hAnsi="Calibri"/>
                <w:spacing w:val="-2"/>
                <w:sz w:val="20"/>
                <w:vertAlign w:val="superscript"/>
              </w:rPr>
              <w:t>3</w:t>
            </w:r>
            <w:r>
              <w:rPr>
                <w:rFonts w:ascii="Calibri" w:hAnsi="Calibri"/>
                <w:spacing w:val="-2"/>
                <w:sz w:val="20"/>
                <w:vertAlign w:val="baseline"/>
              </w:rPr>
              <w:t>)</w:t>
            </w:r>
          </w:p>
        </w:tc>
        <w:tc>
          <w:tcPr>
            <w:tcW w:w="1000" w:type="dxa"/>
            <w:shd w:val="clear" w:color="auto" w:fill="EAB8A3"/>
          </w:tcPr>
          <w:p>
            <w:pPr>
              <w:pStyle w:val="TableParagraph"/>
              <w:ind w:left="107" w:right="121"/>
              <w:rPr>
                <w:rFonts w:ascii="Calibri" w:hAnsi="Calibri"/>
                <w:sz w:val="20"/>
              </w:rPr>
            </w:pPr>
            <w:r>
              <w:rPr>
                <w:rFonts w:ascii="Calibri" w:hAnsi="Calibri"/>
                <w:spacing w:val="-4"/>
                <w:sz w:val="20"/>
              </w:rPr>
              <w:t>SOx </w:t>
            </w:r>
            <w:r>
              <w:rPr>
                <w:rFonts w:ascii="Calibri" w:hAnsi="Calibri"/>
                <w:spacing w:val="-2"/>
                <w:sz w:val="20"/>
              </w:rPr>
              <w:t>(µg/Nm</w:t>
            </w:r>
            <w:r>
              <w:rPr>
                <w:rFonts w:ascii="Calibri" w:hAnsi="Calibri"/>
                <w:spacing w:val="-2"/>
                <w:sz w:val="20"/>
                <w:vertAlign w:val="superscript"/>
              </w:rPr>
              <w:t>3</w:t>
            </w:r>
            <w:r>
              <w:rPr>
                <w:rFonts w:ascii="Calibri" w:hAnsi="Calibri"/>
                <w:spacing w:val="-2"/>
                <w:sz w:val="20"/>
                <w:vertAlign w:val="baseline"/>
              </w:rPr>
              <w:t>)</w:t>
            </w:r>
          </w:p>
        </w:tc>
        <w:tc>
          <w:tcPr>
            <w:tcW w:w="1167" w:type="dxa"/>
          </w:tcPr>
          <w:p>
            <w:pPr>
              <w:pStyle w:val="TableParagraph"/>
              <w:ind w:left="107" w:right="288"/>
              <w:rPr>
                <w:rFonts w:ascii="Calibri" w:hAnsi="Calibri"/>
                <w:sz w:val="20"/>
              </w:rPr>
            </w:pPr>
            <w:r>
              <w:rPr>
                <w:rFonts w:ascii="Calibri" w:hAnsi="Calibri"/>
                <w:spacing w:val="-4"/>
                <w:sz w:val="20"/>
              </w:rPr>
              <w:t>NOx </w:t>
            </w:r>
            <w:r>
              <w:rPr>
                <w:rFonts w:ascii="Calibri" w:hAnsi="Calibri"/>
                <w:spacing w:val="-2"/>
                <w:sz w:val="20"/>
              </w:rPr>
              <w:t>(µg/Nm</w:t>
            </w:r>
            <w:r>
              <w:rPr>
                <w:rFonts w:ascii="Calibri" w:hAnsi="Calibri"/>
                <w:spacing w:val="-2"/>
                <w:sz w:val="20"/>
                <w:vertAlign w:val="superscript"/>
              </w:rPr>
              <w:t>3</w:t>
            </w:r>
            <w:r>
              <w:rPr>
                <w:rFonts w:ascii="Calibri" w:hAnsi="Calibri"/>
                <w:spacing w:val="-2"/>
                <w:sz w:val="20"/>
                <w:vertAlign w:val="baseline"/>
              </w:rPr>
              <w:t>)</w:t>
            </w:r>
          </w:p>
        </w:tc>
      </w:tr>
      <w:tr>
        <w:trPr>
          <w:trHeight w:val="244" w:hRule="atLeast"/>
        </w:trPr>
        <w:tc>
          <w:tcPr>
            <w:tcW w:w="2698" w:type="dxa"/>
          </w:tcPr>
          <w:p>
            <w:pPr>
              <w:pStyle w:val="TableParagraph"/>
              <w:spacing w:line="224" w:lineRule="exact"/>
              <w:ind w:left="107"/>
              <w:rPr>
                <w:rFonts w:ascii="Calibri"/>
                <w:sz w:val="20"/>
              </w:rPr>
            </w:pPr>
            <w:r>
              <w:rPr>
                <w:rFonts w:ascii="Calibri"/>
                <w:sz w:val="20"/>
              </w:rPr>
              <w:t>Matjet</w:t>
            </w:r>
            <w:r>
              <w:rPr>
                <w:rFonts w:ascii="Calibri"/>
                <w:spacing w:val="-3"/>
                <w:sz w:val="20"/>
              </w:rPr>
              <w:t> </w:t>
            </w:r>
            <w:r>
              <w:rPr>
                <w:rFonts w:ascii="Calibri"/>
                <w:spacing w:val="-4"/>
                <w:sz w:val="20"/>
              </w:rPr>
              <w:t>2018</w:t>
            </w:r>
          </w:p>
        </w:tc>
        <w:tc>
          <w:tcPr>
            <w:tcW w:w="1259" w:type="dxa"/>
          </w:tcPr>
          <w:p>
            <w:pPr>
              <w:pStyle w:val="TableParagraph"/>
              <w:spacing w:line="224" w:lineRule="exact"/>
              <w:ind w:left="107"/>
              <w:rPr>
                <w:rFonts w:ascii="Calibri"/>
                <w:sz w:val="20"/>
              </w:rPr>
            </w:pPr>
            <w:r>
              <w:rPr>
                <w:rFonts w:ascii="Calibri"/>
                <w:spacing w:val="-4"/>
                <w:sz w:val="20"/>
              </w:rPr>
              <w:t>3.32</w:t>
            </w:r>
          </w:p>
        </w:tc>
        <w:tc>
          <w:tcPr>
            <w:tcW w:w="1439" w:type="dxa"/>
          </w:tcPr>
          <w:p>
            <w:pPr>
              <w:pStyle w:val="TableParagraph"/>
              <w:spacing w:line="224" w:lineRule="exact"/>
              <w:ind w:left="107"/>
              <w:rPr>
                <w:rFonts w:ascii="Calibri"/>
                <w:sz w:val="20"/>
              </w:rPr>
            </w:pPr>
            <w:r>
              <w:rPr>
                <w:rFonts w:ascii="Calibri"/>
                <w:spacing w:val="-4"/>
                <w:sz w:val="20"/>
              </w:rPr>
              <w:t>2.66</w:t>
            </w:r>
          </w:p>
        </w:tc>
        <w:tc>
          <w:tcPr>
            <w:tcW w:w="1349" w:type="dxa"/>
          </w:tcPr>
          <w:p>
            <w:pPr>
              <w:pStyle w:val="TableParagraph"/>
              <w:spacing w:line="224" w:lineRule="exact"/>
              <w:ind w:left="107"/>
              <w:rPr>
                <w:rFonts w:ascii="Calibri"/>
                <w:sz w:val="20"/>
              </w:rPr>
            </w:pPr>
            <w:r>
              <w:rPr>
                <w:rFonts w:ascii="Calibri"/>
                <w:spacing w:val="-4"/>
                <w:sz w:val="20"/>
              </w:rPr>
              <w:t>2.75</w:t>
            </w:r>
          </w:p>
        </w:tc>
        <w:tc>
          <w:tcPr>
            <w:tcW w:w="1000" w:type="dxa"/>
          </w:tcPr>
          <w:p>
            <w:pPr>
              <w:pStyle w:val="TableParagraph"/>
              <w:spacing w:line="224" w:lineRule="exact"/>
              <w:ind w:left="107"/>
              <w:rPr>
                <w:rFonts w:ascii="Calibri"/>
                <w:sz w:val="20"/>
              </w:rPr>
            </w:pPr>
            <w:r>
              <w:rPr>
                <w:rFonts w:ascii="Calibri"/>
                <w:spacing w:val="-2"/>
                <w:sz w:val="20"/>
              </w:rPr>
              <w:t>44.90</w:t>
            </w:r>
          </w:p>
        </w:tc>
        <w:tc>
          <w:tcPr>
            <w:tcW w:w="1167" w:type="dxa"/>
          </w:tcPr>
          <w:p>
            <w:pPr>
              <w:pStyle w:val="TableParagraph"/>
              <w:spacing w:line="224" w:lineRule="exact"/>
              <w:ind w:left="107"/>
              <w:rPr>
                <w:rFonts w:ascii="Calibri"/>
                <w:sz w:val="20"/>
              </w:rPr>
            </w:pPr>
            <w:r>
              <w:rPr>
                <w:rFonts w:ascii="Calibri"/>
                <w:spacing w:val="-2"/>
                <w:sz w:val="20"/>
              </w:rPr>
              <w:t>546.06</w:t>
            </w:r>
          </w:p>
        </w:tc>
      </w:tr>
      <w:tr>
        <w:trPr>
          <w:trHeight w:val="244" w:hRule="atLeast"/>
        </w:trPr>
        <w:tc>
          <w:tcPr>
            <w:tcW w:w="2698" w:type="dxa"/>
          </w:tcPr>
          <w:p>
            <w:pPr>
              <w:pStyle w:val="TableParagraph"/>
              <w:spacing w:line="224" w:lineRule="exact"/>
              <w:ind w:left="107"/>
              <w:rPr>
                <w:rFonts w:ascii="Calibri"/>
                <w:sz w:val="20"/>
              </w:rPr>
            </w:pPr>
            <w:r>
              <w:rPr>
                <w:rFonts w:ascii="Calibri"/>
                <w:sz w:val="20"/>
              </w:rPr>
              <w:t>Matjet</w:t>
            </w:r>
            <w:r>
              <w:rPr>
                <w:rFonts w:ascii="Calibri"/>
                <w:spacing w:val="-3"/>
                <w:sz w:val="20"/>
              </w:rPr>
              <w:t> </w:t>
            </w:r>
            <w:r>
              <w:rPr>
                <w:rFonts w:ascii="Calibri"/>
                <w:spacing w:val="-4"/>
                <w:sz w:val="20"/>
              </w:rPr>
              <w:t>2019</w:t>
            </w:r>
          </w:p>
        </w:tc>
        <w:tc>
          <w:tcPr>
            <w:tcW w:w="1259" w:type="dxa"/>
          </w:tcPr>
          <w:p>
            <w:pPr>
              <w:pStyle w:val="TableParagraph"/>
              <w:spacing w:line="224" w:lineRule="exact"/>
              <w:ind w:left="107"/>
              <w:rPr>
                <w:rFonts w:ascii="Calibri"/>
                <w:sz w:val="20"/>
              </w:rPr>
            </w:pPr>
            <w:r>
              <w:rPr>
                <w:rFonts w:ascii="Calibri"/>
                <w:spacing w:val="-4"/>
                <w:sz w:val="20"/>
              </w:rPr>
              <w:t>4.00</w:t>
            </w:r>
          </w:p>
        </w:tc>
        <w:tc>
          <w:tcPr>
            <w:tcW w:w="1439" w:type="dxa"/>
          </w:tcPr>
          <w:p>
            <w:pPr>
              <w:pStyle w:val="TableParagraph"/>
              <w:spacing w:line="224" w:lineRule="exact"/>
              <w:ind w:left="107"/>
              <w:rPr>
                <w:rFonts w:ascii="Calibri"/>
                <w:sz w:val="20"/>
              </w:rPr>
            </w:pPr>
            <w:r>
              <w:rPr>
                <w:rFonts w:ascii="Calibri"/>
                <w:spacing w:val="-4"/>
                <w:sz w:val="20"/>
              </w:rPr>
              <w:t>0.84</w:t>
            </w:r>
          </w:p>
        </w:tc>
        <w:tc>
          <w:tcPr>
            <w:tcW w:w="1349" w:type="dxa"/>
          </w:tcPr>
          <w:p>
            <w:pPr>
              <w:pStyle w:val="TableParagraph"/>
              <w:spacing w:line="224" w:lineRule="exact"/>
              <w:ind w:left="107"/>
              <w:rPr>
                <w:rFonts w:ascii="Calibri"/>
                <w:sz w:val="20"/>
              </w:rPr>
            </w:pPr>
            <w:r>
              <w:rPr>
                <w:rFonts w:ascii="Calibri"/>
                <w:spacing w:val="-4"/>
                <w:sz w:val="20"/>
              </w:rPr>
              <w:t>2.34</w:t>
            </w:r>
          </w:p>
        </w:tc>
        <w:tc>
          <w:tcPr>
            <w:tcW w:w="1000" w:type="dxa"/>
          </w:tcPr>
          <w:p>
            <w:pPr>
              <w:pStyle w:val="TableParagraph"/>
              <w:spacing w:line="224" w:lineRule="exact"/>
              <w:ind w:left="107"/>
              <w:rPr>
                <w:rFonts w:ascii="Calibri"/>
                <w:sz w:val="20"/>
              </w:rPr>
            </w:pPr>
            <w:r>
              <w:rPr>
                <w:rFonts w:ascii="Calibri"/>
                <w:spacing w:val="-2"/>
                <w:sz w:val="20"/>
              </w:rPr>
              <w:t>28.00</w:t>
            </w:r>
          </w:p>
        </w:tc>
        <w:tc>
          <w:tcPr>
            <w:tcW w:w="1167" w:type="dxa"/>
          </w:tcPr>
          <w:p>
            <w:pPr>
              <w:pStyle w:val="TableParagraph"/>
              <w:spacing w:line="224" w:lineRule="exact"/>
              <w:ind w:left="107"/>
              <w:rPr>
                <w:rFonts w:ascii="Calibri"/>
                <w:sz w:val="20"/>
              </w:rPr>
            </w:pPr>
            <w:r>
              <w:rPr>
                <w:rFonts w:ascii="Calibri"/>
                <w:spacing w:val="-2"/>
                <w:sz w:val="20"/>
              </w:rPr>
              <w:t>622.00</w:t>
            </w:r>
          </w:p>
        </w:tc>
      </w:tr>
      <w:tr>
        <w:trPr>
          <w:trHeight w:val="244" w:hRule="atLeast"/>
        </w:trPr>
        <w:tc>
          <w:tcPr>
            <w:tcW w:w="2698" w:type="dxa"/>
          </w:tcPr>
          <w:p>
            <w:pPr>
              <w:pStyle w:val="TableParagraph"/>
              <w:spacing w:line="224" w:lineRule="exact"/>
              <w:ind w:left="107"/>
              <w:rPr>
                <w:rFonts w:ascii="Calibri"/>
                <w:sz w:val="20"/>
              </w:rPr>
            </w:pPr>
            <w:r>
              <w:rPr>
                <w:rFonts w:ascii="Calibri"/>
                <w:sz w:val="20"/>
              </w:rPr>
              <w:t>Matjet</w:t>
            </w:r>
            <w:r>
              <w:rPr>
                <w:rFonts w:ascii="Calibri"/>
                <w:spacing w:val="-3"/>
                <w:sz w:val="20"/>
              </w:rPr>
              <w:t> </w:t>
            </w:r>
            <w:r>
              <w:rPr>
                <w:rFonts w:ascii="Calibri"/>
                <w:spacing w:val="-4"/>
                <w:sz w:val="20"/>
              </w:rPr>
              <w:t>2020</w:t>
            </w:r>
          </w:p>
        </w:tc>
        <w:tc>
          <w:tcPr>
            <w:tcW w:w="1259" w:type="dxa"/>
          </w:tcPr>
          <w:p>
            <w:pPr>
              <w:pStyle w:val="TableParagraph"/>
              <w:spacing w:line="224" w:lineRule="exact"/>
              <w:ind w:left="107"/>
              <w:rPr>
                <w:rFonts w:ascii="Calibri"/>
                <w:sz w:val="20"/>
              </w:rPr>
            </w:pPr>
            <w:r>
              <w:rPr>
                <w:rFonts w:ascii="Calibri"/>
                <w:spacing w:val="-4"/>
                <w:sz w:val="20"/>
              </w:rPr>
              <w:t>4.19</w:t>
            </w:r>
          </w:p>
        </w:tc>
        <w:tc>
          <w:tcPr>
            <w:tcW w:w="1439" w:type="dxa"/>
          </w:tcPr>
          <w:p>
            <w:pPr>
              <w:pStyle w:val="TableParagraph"/>
              <w:spacing w:line="224" w:lineRule="exact"/>
              <w:ind w:left="107"/>
              <w:rPr>
                <w:rFonts w:ascii="Calibri"/>
                <w:sz w:val="20"/>
              </w:rPr>
            </w:pPr>
            <w:r>
              <w:rPr>
                <w:rFonts w:ascii="Calibri"/>
                <w:spacing w:val="-4"/>
                <w:sz w:val="20"/>
              </w:rPr>
              <w:t>0.55</w:t>
            </w:r>
          </w:p>
        </w:tc>
        <w:tc>
          <w:tcPr>
            <w:tcW w:w="1349" w:type="dxa"/>
          </w:tcPr>
          <w:p>
            <w:pPr>
              <w:pStyle w:val="TableParagraph"/>
              <w:spacing w:line="224" w:lineRule="exact"/>
              <w:ind w:left="107"/>
              <w:rPr>
                <w:rFonts w:ascii="Calibri"/>
                <w:sz w:val="20"/>
              </w:rPr>
            </w:pPr>
            <w:r>
              <w:rPr>
                <w:rFonts w:ascii="Calibri"/>
                <w:spacing w:val="-4"/>
                <w:sz w:val="20"/>
              </w:rPr>
              <w:t>1.81</w:t>
            </w:r>
          </w:p>
        </w:tc>
        <w:tc>
          <w:tcPr>
            <w:tcW w:w="1000" w:type="dxa"/>
          </w:tcPr>
          <w:p>
            <w:pPr>
              <w:pStyle w:val="TableParagraph"/>
              <w:spacing w:line="224" w:lineRule="exact"/>
              <w:ind w:left="107"/>
              <w:rPr>
                <w:rFonts w:ascii="Calibri"/>
                <w:sz w:val="20"/>
              </w:rPr>
            </w:pPr>
            <w:r>
              <w:rPr>
                <w:rFonts w:ascii="Calibri"/>
                <w:spacing w:val="-2"/>
                <w:sz w:val="20"/>
              </w:rPr>
              <w:t>37.10</w:t>
            </w:r>
          </w:p>
        </w:tc>
        <w:tc>
          <w:tcPr>
            <w:tcW w:w="1167" w:type="dxa"/>
          </w:tcPr>
          <w:p>
            <w:pPr>
              <w:pStyle w:val="TableParagraph"/>
              <w:spacing w:line="224" w:lineRule="exact"/>
              <w:ind w:left="107"/>
              <w:rPr>
                <w:rFonts w:ascii="Calibri"/>
                <w:sz w:val="20"/>
              </w:rPr>
            </w:pPr>
            <w:r>
              <w:rPr>
                <w:rFonts w:ascii="Calibri"/>
                <w:spacing w:val="-2"/>
                <w:sz w:val="20"/>
              </w:rPr>
              <w:t>523.73</w:t>
            </w:r>
          </w:p>
        </w:tc>
      </w:tr>
      <w:tr>
        <w:trPr>
          <w:trHeight w:val="488" w:hRule="atLeast"/>
        </w:trPr>
        <w:tc>
          <w:tcPr>
            <w:tcW w:w="2698" w:type="dxa"/>
          </w:tcPr>
          <w:p>
            <w:pPr>
              <w:pStyle w:val="TableParagraph"/>
              <w:spacing w:line="243" w:lineRule="exact"/>
              <w:ind w:left="107"/>
              <w:rPr>
                <w:rFonts w:ascii="Calibri"/>
                <w:sz w:val="20"/>
              </w:rPr>
            </w:pPr>
            <w:r>
              <w:rPr>
                <w:rFonts w:ascii="Calibri"/>
                <w:sz w:val="20"/>
              </w:rPr>
              <w:t>Normat</w:t>
            </w:r>
            <w:r>
              <w:rPr>
                <w:rFonts w:ascii="Calibri"/>
                <w:spacing w:val="-2"/>
                <w:sz w:val="20"/>
              </w:rPr>
              <w:t> </w:t>
            </w:r>
            <w:r>
              <w:rPr>
                <w:rFonts w:ascii="Calibri"/>
                <w:sz w:val="20"/>
              </w:rPr>
              <w:t>e</w:t>
            </w:r>
            <w:r>
              <w:rPr>
                <w:rFonts w:ascii="Calibri"/>
                <w:spacing w:val="-2"/>
                <w:sz w:val="20"/>
              </w:rPr>
              <w:t> </w:t>
            </w:r>
            <w:r>
              <w:rPr>
                <w:rFonts w:ascii="Calibri"/>
                <w:sz w:val="20"/>
              </w:rPr>
              <w:t>lejuara/</w:t>
            </w:r>
            <w:r>
              <w:rPr>
                <w:rFonts w:ascii="Calibri"/>
                <w:spacing w:val="-1"/>
                <w:sz w:val="20"/>
              </w:rPr>
              <w:t> </w:t>
            </w:r>
            <w:r>
              <w:rPr>
                <w:rFonts w:ascii="Calibri"/>
                <w:spacing w:val="-2"/>
                <w:sz w:val="20"/>
              </w:rPr>
              <w:t>standardet</w:t>
            </w:r>
          </w:p>
          <w:p>
            <w:pPr>
              <w:pStyle w:val="TableParagraph"/>
              <w:spacing w:line="224" w:lineRule="exact"/>
              <w:ind w:left="107"/>
              <w:rPr>
                <w:rFonts w:ascii="Calibri"/>
                <w:sz w:val="20"/>
              </w:rPr>
            </w:pPr>
            <w:r>
              <w:rPr>
                <w:rFonts w:ascii="Calibri"/>
                <w:spacing w:val="-2"/>
                <w:sz w:val="20"/>
              </w:rPr>
              <w:t>kosovare</w:t>
            </w:r>
          </w:p>
        </w:tc>
        <w:tc>
          <w:tcPr>
            <w:tcW w:w="1259" w:type="dxa"/>
          </w:tcPr>
          <w:p>
            <w:pPr>
              <w:pStyle w:val="TableParagraph"/>
              <w:spacing w:line="243" w:lineRule="exact"/>
              <w:ind w:left="107"/>
              <w:rPr>
                <w:rFonts w:ascii="Calibri"/>
                <w:sz w:val="20"/>
              </w:rPr>
            </w:pPr>
            <w:r>
              <w:rPr>
                <w:rFonts w:ascii="Calibri"/>
                <w:spacing w:val="-2"/>
                <w:sz w:val="20"/>
              </w:rPr>
              <w:t>30.00</w:t>
            </w:r>
          </w:p>
        </w:tc>
        <w:tc>
          <w:tcPr>
            <w:tcW w:w="1439" w:type="dxa"/>
          </w:tcPr>
          <w:p>
            <w:pPr>
              <w:pStyle w:val="TableParagraph"/>
              <w:spacing w:line="243" w:lineRule="exact"/>
              <w:ind w:left="107"/>
              <w:rPr>
                <w:rFonts w:ascii="Calibri"/>
                <w:sz w:val="20"/>
              </w:rPr>
            </w:pPr>
            <w:r>
              <w:rPr>
                <w:rFonts w:ascii="Calibri"/>
                <w:spacing w:val="-2"/>
                <w:sz w:val="20"/>
              </w:rPr>
              <w:t>20.00</w:t>
            </w:r>
          </w:p>
        </w:tc>
        <w:tc>
          <w:tcPr>
            <w:tcW w:w="1349" w:type="dxa"/>
          </w:tcPr>
          <w:p>
            <w:pPr>
              <w:pStyle w:val="TableParagraph"/>
              <w:spacing w:line="243" w:lineRule="exact"/>
              <w:ind w:left="107"/>
              <w:rPr>
                <w:rFonts w:ascii="Calibri"/>
                <w:sz w:val="20"/>
              </w:rPr>
            </w:pPr>
            <w:r>
              <w:rPr>
                <w:rFonts w:ascii="Calibri"/>
                <w:spacing w:val="-2"/>
                <w:sz w:val="20"/>
              </w:rPr>
              <w:t>20.00</w:t>
            </w:r>
          </w:p>
        </w:tc>
        <w:tc>
          <w:tcPr>
            <w:tcW w:w="1000" w:type="dxa"/>
          </w:tcPr>
          <w:p>
            <w:pPr>
              <w:pStyle w:val="TableParagraph"/>
              <w:spacing w:line="243" w:lineRule="exact"/>
              <w:ind w:left="107"/>
              <w:rPr>
                <w:rFonts w:ascii="Calibri"/>
                <w:sz w:val="20"/>
              </w:rPr>
            </w:pPr>
            <w:r>
              <w:rPr>
                <w:rFonts w:ascii="Calibri"/>
                <w:spacing w:val="-2"/>
                <w:sz w:val="20"/>
              </w:rPr>
              <w:t>300.00</w:t>
            </w:r>
          </w:p>
        </w:tc>
        <w:tc>
          <w:tcPr>
            <w:tcW w:w="1167" w:type="dxa"/>
          </w:tcPr>
          <w:p>
            <w:pPr>
              <w:pStyle w:val="TableParagraph"/>
              <w:spacing w:line="243" w:lineRule="exact"/>
              <w:ind w:left="107"/>
              <w:rPr>
                <w:rFonts w:ascii="Calibri"/>
                <w:sz w:val="20"/>
              </w:rPr>
            </w:pPr>
            <w:r>
              <w:rPr>
                <w:rFonts w:ascii="Calibri"/>
                <w:spacing w:val="-2"/>
                <w:sz w:val="20"/>
              </w:rPr>
              <w:t>500.00</w:t>
            </w:r>
          </w:p>
        </w:tc>
      </w:tr>
    </w:tbl>
    <w:p>
      <w:pPr>
        <w:pStyle w:val="Heading2"/>
        <w:numPr>
          <w:ilvl w:val="1"/>
          <w:numId w:val="12"/>
        </w:numPr>
        <w:tabs>
          <w:tab w:pos="1311" w:val="left" w:leader="none"/>
          <w:tab w:pos="10104" w:val="left" w:leader="none"/>
        </w:tabs>
        <w:spacing w:line="240" w:lineRule="auto" w:before="1" w:after="0"/>
        <w:ind w:left="704" w:right="0" w:firstLine="96"/>
        <w:jc w:val="left"/>
        <w:rPr>
          <w:color w:val="FFFFFF"/>
          <w:sz w:val="22"/>
        </w:rPr>
      </w:pPr>
      <w:r>
        <w:rPr>
          <w:color w:val="FFFFFF"/>
          <w:shd w:fill="EAB8A3" w:color="auto" w:val="clear"/>
        </w:rPr>
        <w:t>Ndotja</w:t>
      </w:r>
      <w:r>
        <w:rPr>
          <w:color w:val="FFFFFF"/>
          <w:spacing w:val="-6"/>
          <w:shd w:fill="EAB8A3" w:color="auto" w:val="clear"/>
        </w:rPr>
        <w:t> </w:t>
      </w:r>
      <w:r>
        <w:rPr>
          <w:color w:val="FFFFFF"/>
          <w:shd w:fill="EAB8A3" w:color="auto" w:val="clear"/>
        </w:rPr>
        <w:t>e</w:t>
      </w:r>
      <w:r>
        <w:rPr>
          <w:color w:val="FFFFFF"/>
          <w:spacing w:val="-5"/>
          <w:shd w:fill="EAB8A3" w:color="auto" w:val="clear"/>
        </w:rPr>
        <w:t> </w:t>
      </w:r>
      <w:r>
        <w:rPr>
          <w:color w:val="FFFFFF"/>
          <w:spacing w:val="-4"/>
          <w:shd w:fill="EAB8A3" w:color="auto" w:val="clear"/>
        </w:rPr>
        <w:t>ujit</w:t>
      </w:r>
      <w:r>
        <w:rPr>
          <w:color w:val="FFFFFF"/>
          <w:shd w:fill="EAB8A3" w:color="auto" w:val="clear"/>
        </w:rPr>
        <w:tab/>
      </w:r>
    </w:p>
    <w:p>
      <w:pPr>
        <w:pStyle w:val="BodyText"/>
        <w:spacing w:before="10"/>
        <w:rPr>
          <w:b/>
          <w:sz w:val="20"/>
        </w:rPr>
      </w:pPr>
    </w:p>
    <w:p>
      <w:pPr>
        <w:pStyle w:val="BodyText"/>
        <w:ind w:left="704" w:right="1463"/>
        <w:jc w:val="both"/>
      </w:pPr>
      <w:r>
        <w:rPr/>
        <w:t>Burimi kryesor i ndotjes së lumenjve në komunë janë ujërat e kanalizimit, si pasojë e sistemit të pakompletuar dhe joadekuat të menaxhimit të tyre (shih aneksin 10 - Harta e ndjeshmërisë së ujërave</w:t>
      </w:r>
      <w:r>
        <w:rPr>
          <w:spacing w:val="-6"/>
        </w:rPr>
        <w:t> </w:t>
      </w:r>
      <w:r>
        <w:rPr/>
        <w:t>nëntokësor</w:t>
      </w:r>
      <w:r>
        <w:rPr>
          <w:spacing w:val="-6"/>
        </w:rPr>
        <w:t> </w:t>
      </w:r>
      <w:r>
        <w:rPr/>
        <w:t>ndaj</w:t>
      </w:r>
      <w:r>
        <w:rPr>
          <w:spacing w:val="-7"/>
        </w:rPr>
        <w:t> </w:t>
      </w:r>
      <w:r>
        <w:rPr/>
        <w:t>ndotjes).</w:t>
      </w:r>
      <w:r>
        <w:rPr>
          <w:spacing w:val="-7"/>
        </w:rPr>
        <w:t> </w:t>
      </w:r>
      <w:r>
        <w:rPr/>
        <w:t>Ky</w:t>
      </w:r>
      <w:r>
        <w:rPr>
          <w:spacing w:val="-7"/>
        </w:rPr>
        <w:t> </w:t>
      </w:r>
      <w:r>
        <w:rPr/>
        <w:t>rrjet</w:t>
      </w:r>
      <w:r>
        <w:rPr>
          <w:spacing w:val="-6"/>
        </w:rPr>
        <w:t> </w:t>
      </w:r>
      <w:r>
        <w:rPr/>
        <w:t>shkakton</w:t>
      </w:r>
      <w:r>
        <w:rPr>
          <w:spacing w:val="-7"/>
        </w:rPr>
        <w:t> </w:t>
      </w:r>
      <w:r>
        <w:rPr/>
        <w:t>derdhjen</w:t>
      </w:r>
      <w:r>
        <w:rPr>
          <w:spacing w:val="-8"/>
        </w:rPr>
        <w:t> </w:t>
      </w:r>
      <w:r>
        <w:rPr/>
        <w:t>e</w:t>
      </w:r>
      <w:r>
        <w:rPr>
          <w:spacing w:val="-6"/>
        </w:rPr>
        <w:t> </w:t>
      </w:r>
      <w:r>
        <w:rPr/>
        <w:t>ujërave</w:t>
      </w:r>
      <w:r>
        <w:rPr>
          <w:spacing w:val="-6"/>
        </w:rPr>
        <w:t> </w:t>
      </w:r>
      <w:r>
        <w:rPr/>
        <w:t>të</w:t>
      </w:r>
      <w:r>
        <w:rPr>
          <w:spacing w:val="-8"/>
        </w:rPr>
        <w:t> </w:t>
      </w:r>
      <w:r>
        <w:rPr/>
        <w:t>zeza</w:t>
      </w:r>
      <w:r>
        <w:rPr>
          <w:spacing w:val="-5"/>
        </w:rPr>
        <w:t> </w:t>
      </w:r>
      <w:r>
        <w:rPr/>
        <w:t>pa</w:t>
      </w:r>
      <w:r>
        <w:rPr>
          <w:spacing w:val="-7"/>
        </w:rPr>
        <w:t> </w:t>
      </w:r>
      <w:r>
        <w:rPr/>
        <w:t>trajtim</w:t>
      </w:r>
      <w:r>
        <w:rPr>
          <w:spacing w:val="-6"/>
        </w:rPr>
        <w:t> </w:t>
      </w:r>
      <w:r>
        <w:rPr/>
        <w:t>paraprak, me</w:t>
      </w:r>
      <w:r>
        <w:rPr>
          <w:spacing w:val="-4"/>
        </w:rPr>
        <w:t> </w:t>
      </w:r>
      <w:r>
        <w:rPr/>
        <w:t>një</w:t>
      </w:r>
      <w:r>
        <w:rPr>
          <w:spacing w:val="-5"/>
        </w:rPr>
        <w:t> </w:t>
      </w:r>
      <w:r>
        <w:rPr/>
        <w:t>ndikim</w:t>
      </w:r>
      <w:r>
        <w:rPr>
          <w:spacing w:val="-5"/>
        </w:rPr>
        <w:t> </w:t>
      </w:r>
      <w:r>
        <w:rPr/>
        <w:t>negativ</w:t>
      </w:r>
      <w:r>
        <w:rPr>
          <w:spacing w:val="-5"/>
        </w:rPr>
        <w:t> </w:t>
      </w:r>
      <w:r>
        <w:rPr/>
        <w:t>në</w:t>
      </w:r>
      <w:r>
        <w:rPr>
          <w:spacing w:val="-5"/>
        </w:rPr>
        <w:t> </w:t>
      </w:r>
      <w:r>
        <w:rPr/>
        <w:t>cilësinë</w:t>
      </w:r>
      <w:r>
        <w:rPr>
          <w:spacing w:val="-5"/>
        </w:rPr>
        <w:t> </w:t>
      </w:r>
      <w:r>
        <w:rPr/>
        <w:t>e</w:t>
      </w:r>
      <w:r>
        <w:rPr>
          <w:spacing w:val="-6"/>
        </w:rPr>
        <w:t> </w:t>
      </w:r>
      <w:r>
        <w:rPr/>
        <w:t>ujit</w:t>
      </w:r>
      <w:r>
        <w:rPr>
          <w:spacing w:val="-6"/>
        </w:rPr>
        <w:t> </w:t>
      </w:r>
      <w:r>
        <w:rPr/>
        <w:t>si</w:t>
      </w:r>
      <w:r>
        <w:rPr>
          <w:spacing w:val="-4"/>
        </w:rPr>
        <w:t> </w:t>
      </w:r>
      <w:r>
        <w:rPr/>
        <w:t>dhe</w:t>
      </w:r>
      <w:r>
        <w:rPr>
          <w:spacing w:val="-5"/>
        </w:rPr>
        <w:t> </w:t>
      </w:r>
      <w:r>
        <w:rPr/>
        <w:t>në</w:t>
      </w:r>
      <w:r>
        <w:rPr>
          <w:spacing w:val="-6"/>
        </w:rPr>
        <w:t> </w:t>
      </w:r>
      <w:r>
        <w:rPr/>
        <w:t>jetën</w:t>
      </w:r>
      <w:r>
        <w:rPr>
          <w:spacing w:val="-5"/>
        </w:rPr>
        <w:t> </w:t>
      </w:r>
      <w:r>
        <w:rPr/>
        <w:t>bimore</w:t>
      </w:r>
      <w:r>
        <w:rPr>
          <w:spacing w:val="-5"/>
        </w:rPr>
        <w:t> </w:t>
      </w:r>
      <w:r>
        <w:rPr/>
        <w:t>dhe</w:t>
      </w:r>
      <w:r>
        <w:rPr>
          <w:spacing w:val="-5"/>
        </w:rPr>
        <w:t> </w:t>
      </w:r>
      <w:r>
        <w:rPr/>
        <w:t>shtazore.</w:t>
      </w:r>
      <w:r>
        <w:rPr>
          <w:spacing w:val="-4"/>
        </w:rPr>
        <w:t> </w:t>
      </w:r>
      <w:r>
        <w:rPr/>
        <w:t>Pasojat</w:t>
      </w:r>
      <w:r>
        <w:rPr>
          <w:spacing w:val="-6"/>
        </w:rPr>
        <w:t> </w:t>
      </w:r>
      <w:r>
        <w:rPr/>
        <w:t>e</w:t>
      </w:r>
      <w:r>
        <w:rPr>
          <w:spacing w:val="-6"/>
        </w:rPr>
        <w:t> </w:t>
      </w:r>
      <w:r>
        <w:rPr/>
        <w:t>kësaj</w:t>
      </w:r>
      <w:r>
        <w:rPr>
          <w:spacing w:val="-4"/>
        </w:rPr>
        <w:t> </w:t>
      </w:r>
      <w:r>
        <w:rPr/>
        <w:t>ndotje mund të shkojnë edhe më tej duke shkaktuar ndikime negative në tokë dhe në ajër. Në rastin e Hanit</w:t>
      </w:r>
      <w:r>
        <w:rPr>
          <w:spacing w:val="-9"/>
        </w:rPr>
        <w:t> </w:t>
      </w:r>
      <w:r>
        <w:rPr/>
        <w:t>të</w:t>
      </w:r>
      <w:r>
        <w:rPr>
          <w:spacing w:val="-10"/>
        </w:rPr>
        <w:t> </w:t>
      </w:r>
      <w:r>
        <w:rPr/>
        <w:t>Elezit,</w:t>
      </w:r>
      <w:r>
        <w:rPr>
          <w:spacing w:val="-9"/>
        </w:rPr>
        <w:t> </w:t>
      </w:r>
      <w:r>
        <w:rPr/>
        <w:t>kjo</w:t>
      </w:r>
      <w:r>
        <w:rPr>
          <w:spacing w:val="-9"/>
        </w:rPr>
        <w:t> </w:t>
      </w:r>
      <w:r>
        <w:rPr/>
        <w:t>ndotje</w:t>
      </w:r>
      <w:r>
        <w:rPr>
          <w:spacing w:val="-9"/>
        </w:rPr>
        <w:t> </w:t>
      </w:r>
      <w:r>
        <w:rPr/>
        <w:t>grumbullohet</w:t>
      </w:r>
      <w:r>
        <w:rPr>
          <w:spacing w:val="-9"/>
        </w:rPr>
        <w:t> </w:t>
      </w:r>
      <w:r>
        <w:rPr/>
        <w:t>edhe</w:t>
      </w:r>
      <w:r>
        <w:rPr>
          <w:spacing w:val="-10"/>
        </w:rPr>
        <w:t> </w:t>
      </w:r>
      <w:r>
        <w:rPr/>
        <w:t>nga</w:t>
      </w:r>
      <w:r>
        <w:rPr>
          <w:spacing w:val="-10"/>
        </w:rPr>
        <w:t> </w:t>
      </w:r>
      <w:r>
        <w:rPr/>
        <w:t>Komunat</w:t>
      </w:r>
      <w:r>
        <w:rPr>
          <w:spacing w:val="-9"/>
        </w:rPr>
        <w:t> </w:t>
      </w:r>
      <w:r>
        <w:rPr/>
        <w:t>e</w:t>
      </w:r>
      <w:r>
        <w:rPr>
          <w:spacing w:val="-10"/>
        </w:rPr>
        <w:t> </w:t>
      </w:r>
      <w:r>
        <w:rPr/>
        <w:t>Kaçanikut,</w:t>
      </w:r>
      <w:r>
        <w:rPr>
          <w:spacing w:val="-10"/>
        </w:rPr>
        <w:t> </w:t>
      </w:r>
      <w:r>
        <w:rPr/>
        <w:t>Ferizajt</w:t>
      </w:r>
      <w:r>
        <w:rPr>
          <w:spacing w:val="-9"/>
        </w:rPr>
        <w:t> </w:t>
      </w:r>
      <w:r>
        <w:rPr/>
        <w:t>dhe</w:t>
      </w:r>
      <w:r>
        <w:rPr>
          <w:spacing w:val="-10"/>
        </w:rPr>
        <w:t> </w:t>
      </w:r>
      <w:r>
        <w:rPr/>
        <w:t>Shtërpces</w:t>
      </w:r>
      <w:r>
        <w:rPr>
          <w:spacing w:val="-10"/>
        </w:rPr>
        <w:t> </w:t>
      </w:r>
      <w:r>
        <w:rPr/>
        <w:t>,të cilat njëjtë ujërat e zeza i lëshojnë në lumenj (Nerodime dhe Lepenc) të pa trajtuara. Si përgjigje ndaj</w:t>
      </w:r>
      <w:r>
        <w:rPr>
          <w:spacing w:val="-7"/>
        </w:rPr>
        <w:t> </w:t>
      </w:r>
      <w:r>
        <w:rPr/>
        <w:t>kësaj</w:t>
      </w:r>
      <w:r>
        <w:rPr>
          <w:spacing w:val="-6"/>
        </w:rPr>
        <w:t> </w:t>
      </w:r>
      <w:r>
        <w:rPr/>
        <w:t>dukurie,</w:t>
      </w:r>
      <w:r>
        <w:rPr>
          <w:spacing w:val="-6"/>
        </w:rPr>
        <w:t> </w:t>
      </w:r>
      <w:r>
        <w:rPr/>
        <w:t>dhe</w:t>
      </w:r>
      <w:r>
        <w:rPr>
          <w:spacing w:val="-8"/>
        </w:rPr>
        <w:t> </w:t>
      </w:r>
      <w:r>
        <w:rPr/>
        <w:t>me</w:t>
      </w:r>
      <w:r>
        <w:rPr>
          <w:spacing w:val="-6"/>
        </w:rPr>
        <w:t> </w:t>
      </w:r>
      <w:r>
        <w:rPr/>
        <w:t>qëllim</w:t>
      </w:r>
      <w:r>
        <w:rPr>
          <w:spacing w:val="-6"/>
        </w:rPr>
        <w:t> </w:t>
      </w:r>
      <w:r>
        <w:rPr/>
        <w:t>të</w:t>
      </w:r>
      <w:r>
        <w:rPr>
          <w:spacing w:val="-9"/>
        </w:rPr>
        <w:t> </w:t>
      </w:r>
      <w:r>
        <w:rPr/>
        <w:t>ofrimit</w:t>
      </w:r>
      <w:r>
        <w:rPr>
          <w:spacing w:val="-6"/>
        </w:rPr>
        <w:t> </w:t>
      </w:r>
      <w:r>
        <w:rPr/>
        <w:t>të</w:t>
      </w:r>
      <w:r>
        <w:rPr>
          <w:spacing w:val="-6"/>
        </w:rPr>
        <w:t> </w:t>
      </w:r>
      <w:r>
        <w:rPr/>
        <w:t>shërbimeve</w:t>
      </w:r>
      <w:r>
        <w:rPr>
          <w:spacing w:val="-8"/>
        </w:rPr>
        <w:t> </w:t>
      </w:r>
      <w:r>
        <w:rPr/>
        <w:t>cilësore,</w:t>
      </w:r>
      <w:r>
        <w:rPr>
          <w:spacing w:val="-7"/>
        </w:rPr>
        <w:t> </w:t>
      </w:r>
      <w:r>
        <w:rPr/>
        <w:t>komuna</w:t>
      </w:r>
      <w:r>
        <w:rPr>
          <w:spacing w:val="-9"/>
        </w:rPr>
        <w:t> </w:t>
      </w:r>
      <w:r>
        <w:rPr/>
        <w:t>është</w:t>
      </w:r>
      <w:r>
        <w:rPr>
          <w:spacing w:val="-7"/>
        </w:rPr>
        <w:t> </w:t>
      </w:r>
      <w:r>
        <w:rPr/>
        <w:t>duke</w:t>
      </w:r>
      <w:r>
        <w:rPr>
          <w:spacing w:val="-5"/>
        </w:rPr>
        <w:t> </w:t>
      </w:r>
      <w:r>
        <w:rPr/>
        <w:t>e</w:t>
      </w:r>
      <w:r>
        <w:rPr>
          <w:spacing w:val="-8"/>
        </w:rPr>
        <w:t> </w:t>
      </w:r>
      <w:r>
        <w:rPr>
          <w:spacing w:val="-2"/>
        </w:rPr>
        <w:t>ndërtuar</w:t>
      </w:r>
    </w:p>
    <w:p>
      <w:pPr>
        <w:pStyle w:val="BodyText"/>
        <w:rPr>
          <w:sz w:val="20"/>
        </w:rPr>
      </w:pPr>
    </w:p>
    <w:p>
      <w:pPr>
        <w:pStyle w:val="BodyText"/>
        <w:rPr>
          <w:sz w:val="11"/>
        </w:rPr>
      </w:pPr>
      <w:r>
        <w:rPr/>
        <w:pict>
          <v:rect style="position:absolute;margin-left:72pt;margin-top:7.54251pt;width:144.020pt;height:.65997pt;mso-position-horizontal-relative:page;mso-position-vertical-relative:paragraph;z-index:-15695872;mso-wrap-distance-left:0;mso-wrap-distance-right:0" id="docshape292"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16</w:t>
      </w:r>
      <w:r>
        <w:rPr>
          <w:rFonts w:ascii="Calibri" w:hAnsi="Calibri"/>
          <w:spacing w:val="-4"/>
          <w:sz w:val="20"/>
          <w:vertAlign w:val="baseline"/>
        </w:rPr>
        <w:t> </w:t>
      </w:r>
      <w:r>
        <w:rPr>
          <w:rFonts w:ascii="Calibri" w:hAnsi="Calibri"/>
          <w:sz w:val="20"/>
          <w:vertAlign w:val="baseline"/>
        </w:rPr>
        <w:t>Drejtoria</w:t>
      </w:r>
      <w:r>
        <w:rPr>
          <w:rFonts w:ascii="Calibri" w:hAnsi="Calibri"/>
          <w:spacing w:val="-3"/>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z w:val="20"/>
          <w:vertAlign w:val="baseline"/>
        </w:rPr>
        <w:t>Shërbimeve</w:t>
      </w:r>
      <w:r>
        <w:rPr>
          <w:rFonts w:ascii="Calibri" w:hAnsi="Calibri"/>
          <w:spacing w:val="-4"/>
          <w:sz w:val="20"/>
          <w:vertAlign w:val="baseline"/>
        </w:rPr>
        <w:t> </w:t>
      </w:r>
      <w:r>
        <w:rPr>
          <w:rFonts w:ascii="Calibri" w:hAnsi="Calibri"/>
          <w:sz w:val="20"/>
          <w:vertAlign w:val="baseline"/>
        </w:rPr>
        <w:t>Publike</w:t>
      </w:r>
      <w:r>
        <w:rPr>
          <w:rFonts w:ascii="Calibri" w:hAnsi="Calibri"/>
          <w:spacing w:val="-4"/>
          <w:sz w:val="20"/>
          <w:vertAlign w:val="baseline"/>
        </w:rPr>
        <w:t> </w:t>
      </w:r>
      <w:r>
        <w:rPr>
          <w:rFonts w:ascii="Calibri" w:hAnsi="Calibri"/>
          <w:sz w:val="20"/>
          <w:vertAlign w:val="baseline"/>
        </w:rPr>
        <w:t>dhe</w:t>
      </w:r>
      <w:r>
        <w:rPr>
          <w:rFonts w:ascii="Calibri" w:hAnsi="Calibri"/>
          <w:spacing w:val="-4"/>
          <w:sz w:val="20"/>
          <w:vertAlign w:val="baseline"/>
        </w:rPr>
        <w:t> </w:t>
      </w:r>
      <w:r>
        <w:rPr>
          <w:rFonts w:ascii="Calibri" w:hAnsi="Calibri"/>
          <w:spacing w:val="-2"/>
          <w:sz w:val="20"/>
          <w:vertAlign w:val="baseline"/>
        </w:rPr>
        <w:t>Emergjencë</w:t>
      </w:r>
    </w:p>
    <w:p>
      <w:pPr>
        <w:spacing w:before="1"/>
        <w:ind w:left="740" w:right="0" w:firstLine="0"/>
        <w:jc w:val="left"/>
        <w:rPr>
          <w:rFonts w:ascii="Calibri"/>
          <w:sz w:val="20"/>
        </w:rPr>
      </w:pPr>
      <w:r>
        <w:rPr>
          <w:rFonts w:ascii="Calibri"/>
          <w:sz w:val="20"/>
          <w:vertAlign w:val="superscript"/>
        </w:rPr>
        <w:t>17</w:t>
      </w:r>
      <w:r>
        <w:rPr>
          <w:rFonts w:ascii="Calibri"/>
          <w:spacing w:val="-4"/>
          <w:sz w:val="20"/>
          <w:vertAlign w:val="baseline"/>
        </w:rPr>
        <w:t> </w:t>
      </w:r>
      <w:r>
        <w:rPr>
          <w:rFonts w:ascii="Calibri"/>
          <w:sz w:val="20"/>
          <w:vertAlign w:val="baseline"/>
        </w:rPr>
        <w:t>Annual</w:t>
      </w:r>
      <w:r>
        <w:rPr>
          <w:rFonts w:ascii="Calibri"/>
          <w:spacing w:val="-4"/>
          <w:sz w:val="20"/>
          <w:vertAlign w:val="baseline"/>
        </w:rPr>
        <w:t> </w:t>
      </w:r>
      <w:r>
        <w:rPr>
          <w:rFonts w:ascii="Calibri"/>
          <w:sz w:val="20"/>
          <w:vertAlign w:val="baseline"/>
        </w:rPr>
        <w:t>Sustainability</w:t>
      </w:r>
      <w:r>
        <w:rPr>
          <w:rFonts w:ascii="Calibri"/>
          <w:spacing w:val="-4"/>
          <w:sz w:val="20"/>
          <w:vertAlign w:val="baseline"/>
        </w:rPr>
        <w:t> </w:t>
      </w:r>
      <w:r>
        <w:rPr>
          <w:rFonts w:ascii="Calibri"/>
          <w:sz w:val="20"/>
          <w:vertAlign w:val="baseline"/>
        </w:rPr>
        <w:t>Report</w:t>
      </w:r>
      <w:r>
        <w:rPr>
          <w:rFonts w:ascii="Calibri"/>
          <w:spacing w:val="-5"/>
          <w:sz w:val="20"/>
          <w:vertAlign w:val="baseline"/>
        </w:rPr>
        <w:t> </w:t>
      </w:r>
      <w:r>
        <w:rPr>
          <w:rFonts w:ascii="Calibri"/>
          <w:sz w:val="20"/>
          <w:vertAlign w:val="baseline"/>
        </w:rPr>
        <w:t>2020,</w:t>
      </w:r>
      <w:r>
        <w:rPr>
          <w:rFonts w:ascii="Calibri"/>
          <w:spacing w:val="-5"/>
          <w:sz w:val="20"/>
          <w:vertAlign w:val="baseline"/>
        </w:rPr>
        <w:t> </w:t>
      </w:r>
      <w:r>
        <w:rPr>
          <w:rFonts w:ascii="Calibri"/>
          <w:sz w:val="20"/>
          <w:vertAlign w:val="baseline"/>
        </w:rPr>
        <w:t>Sharrcem</w:t>
      </w:r>
      <w:r>
        <w:rPr>
          <w:rFonts w:ascii="Calibri"/>
          <w:spacing w:val="-3"/>
          <w:sz w:val="20"/>
          <w:vertAlign w:val="baseline"/>
        </w:rPr>
        <w:t> </w:t>
      </w:r>
      <w:r>
        <w:rPr>
          <w:rFonts w:ascii="Calibri"/>
          <w:spacing w:val="-2"/>
          <w:sz w:val="20"/>
          <w:vertAlign w:val="baseline"/>
        </w:rPr>
        <w:t>sh.p.k.</w:t>
      </w:r>
    </w:p>
    <w:p>
      <w:pPr>
        <w:spacing w:after="0"/>
        <w:jc w:val="left"/>
        <w:rPr>
          <w:rFonts w:ascii="Calibri"/>
          <w:sz w:val="20"/>
        </w:rPr>
        <w:sectPr>
          <w:pgSz w:w="12240" w:h="15840"/>
          <w:pgMar w:header="0" w:footer="990" w:top="1380" w:bottom="1180" w:left="700" w:right="0"/>
        </w:sectPr>
      </w:pPr>
    </w:p>
    <w:p>
      <w:pPr>
        <w:pStyle w:val="BodyText"/>
        <w:spacing w:before="60"/>
        <w:ind w:left="704" w:right="1469"/>
        <w:jc w:val="both"/>
      </w:pPr>
      <w:r>
        <w:rPr/>
        <w:t>sistemin kryesor të kanalizimit duke përfshirë edhe kolektorët ku do të përfshihen të gjitha vendbanimet e komunës.</w:t>
      </w:r>
    </w:p>
    <w:p>
      <w:pPr>
        <w:pStyle w:val="BodyText"/>
        <w:spacing w:before="10"/>
        <w:rPr>
          <w:sz w:val="20"/>
        </w:rPr>
      </w:pPr>
    </w:p>
    <w:p>
      <w:pPr>
        <w:pStyle w:val="BodyText"/>
        <w:ind w:left="704" w:right="1464"/>
        <w:jc w:val="both"/>
      </w:pPr>
      <w:r>
        <w:rPr/>
        <w:t>Karakteristike për Hanin e Elezit është edhe ndotja e lumit dhe bregut të Lepencit nga mbetjet e asbest-çimentos të derdhura për dhjetëra vite nga industria tashmë jo funksionale. Para 4 viteve, MMPHI</w:t>
      </w:r>
      <w:r>
        <w:rPr>
          <w:spacing w:val="-6"/>
        </w:rPr>
        <w:t> </w:t>
      </w:r>
      <w:r>
        <w:rPr/>
        <w:t>realizoi</w:t>
      </w:r>
      <w:r>
        <w:rPr>
          <w:spacing w:val="-5"/>
        </w:rPr>
        <w:t> </w:t>
      </w:r>
      <w:r>
        <w:rPr/>
        <w:t>një</w:t>
      </w:r>
      <w:r>
        <w:rPr>
          <w:spacing w:val="-6"/>
        </w:rPr>
        <w:t> </w:t>
      </w:r>
      <w:r>
        <w:rPr/>
        <w:t>projekt</w:t>
      </w:r>
      <w:r>
        <w:rPr>
          <w:spacing w:val="-5"/>
        </w:rPr>
        <w:t> </w:t>
      </w:r>
      <w:r>
        <w:rPr/>
        <w:t>ku</w:t>
      </w:r>
      <w:r>
        <w:rPr>
          <w:spacing w:val="-7"/>
        </w:rPr>
        <w:t> </w:t>
      </w:r>
      <w:r>
        <w:rPr/>
        <w:t>gërmoi</w:t>
      </w:r>
      <w:r>
        <w:rPr>
          <w:spacing w:val="-5"/>
        </w:rPr>
        <w:t> </w:t>
      </w:r>
      <w:r>
        <w:rPr/>
        <w:t>dhe</w:t>
      </w:r>
      <w:r>
        <w:rPr>
          <w:spacing w:val="-7"/>
        </w:rPr>
        <w:t> </w:t>
      </w:r>
      <w:r>
        <w:rPr/>
        <w:t>transportoi</w:t>
      </w:r>
      <w:r>
        <w:rPr>
          <w:spacing w:val="-7"/>
        </w:rPr>
        <w:t> </w:t>
      </w:r>
      <w:r>
        <w:rPr/>
        <w:t>këto</w:t>
      </w:r>
      <w:r>
        <w:rPr>
          <w:spacing w:val="-8"/>
        </w:rPr>
        <w:t> </w:t>
      </w:r>
      <w:r>
        <w:rPr/>
        <w:t>mbetje</w:t>
      </w:r>
      <w:r>
        <w:rPr>
          <w:spacing w:val="-6"/>
        </w:rPr>
        <w:t> </w:t>
      </w:r>
      <w:r>
        <w:rPr/>
        <w:t>në</w:t>
      </w:r>
      <w:r>
        <w:rPr>
          <w:spacing w:val="-7"/>
        </w:rPr>
        <w:t> </w:t>
      </w:r>
      <w:r>
        <w:rPr/>
        <w:t>deponinë</w:t>
      </w:r>
      <w:r>
        <w:rPr>
          <w:spacing w:val="-5"/>
        </w:rPr>
        <w:t> </w:t>
      </w:r>
      <w:r>
        <w:rPr/>
        <w:t>e</w:t>
      </w:r>
      <w:r>
        <w:rPr>
          <w:spacing w:val="-7"/>
        </w:rPr>
        <w:t> </w:t>
      </w:r>
      <w:r>
        <w:rPr/>
        <w:t>përgatitur</w:t>
      </w:r>
      <w:r>
        <w:rPr>
          <w:spacing w:val="-7"/>
        </w:rPr>
        <w:t> </w:t>
      </w:r>
      <w:r>
        <w:rPr/>
        <w:t>enkas në rrafshnaltën e Gorancës (Zheden). Megjithatë, vlerësimet nga qeveria lokale dhe banorë e Lagjes së Anëlumit (zona urbane) tregojnëse ka ende mbetje të tilla përgjatë breglumit të Lepencit.Edhe</w:t>
      </w:r>
      <w:r>
        <w:rPr>
          <w:spacing w:val="-14"/>
        </w:rPr>
        <w:t> </w:t>
      </w:r>
      <w:r>
        <w:rPr/>
        <w:t>ujërat</w:t>
      </w:r>
      <w:r>
        <w:rPr>
          <w:spacing w:val="-14"/>
        </w:rPr>
        <w:t> </w:t>
      </w:r>
      <w:r>
        <w:rPr/>
        <w:t>industriale</w:t>
      </w:r>
      <w:r>
        <w:rPr>
          <w:spacing w:val="-14"/>
        </w:rPr>
        <w:t> </w:t>
      </w:r>
      <w:r>
        <w:rPr/>
        <w:t>të</w:t>
      </w:r>
      <w:r>
        <w:rPr>
          <w:spacing w:val="-15"/>
        </w:rPr>
        <w:t> </w:t>
      </w:r>
      <w:r>
        <w:rPr/>
        <w:t>pa</w:t>
      </w:r>
      <w:r>
        <w:rPr>
          <w:spacing w:val="-14"/>
        </w:rPr>
        <w:t> </w:t>
      </w:r>
      <w:r>
        <w:rPr/>
        <w:t>trajtuara</w:t>
      </w:r>
      <w:r>
        <w:rPr>
          <w:spacing w:val="-14"/>
        </w:rPr>
        <w:t> </w:t>
      </w:r>
      <w:r>
        <w:rPr/>
        <w:t>mundë</w:t>
      </w:r>
      <w:r>
        <w:rPr>
          <w:spacing w:val="-14"/>
        </w:rPr>
        <w:t> </w:t>
      </w:r>
      <w:r>
        <w:rPr/>
        <w:t>të</w:t>
      </w:r>
      <w:r>
        <w:rPr>
          <w:spacing w:val="-14"/>
        </w:rPr>
        <w:t> </w:t>
      </w:r>
      <w:r>
        <w:rPr/>
        <w:t>shkaktojnë</w:t>
      </w:r>
      <w:r>
        <w:rPr>
          <w:spacing w:val="-14"/>
        </w:rPr>
        <w:t> </w:t>
      </w:r>
      <w:r>
        <w:rPr/>
        <w:t>ndotjen</w:t>
      </w:r>
      <w:r>
        <w:rPr>
          <w:spacing w:val="-15"/>
        </w:rPr>
        <w:t> </w:t>
      </w:r>
      <w:r>
        <w:rPr/>
        <w:t>e</w:t>
      </w:r>
      <w:r>
        <w:rPr>
          <w:spacing w:val="-14"/>
        </w:rPr>
        <w:t> </w:t>
      </w:r>
      <w:r>
        <w:rPr/>
        <w:t>ujërave.</w:t>
      </w:r>
      <w:r>
        <w:rPr>
          <w:spacing w:val="-14"/>
        </w:rPr>
        <w:t> </w:t>
      </w:r>
      <w:r>
        <w:rPr/>
        <w:t>Duke</w:t>
      </w:r>
      <w:r>
        <w:rPr>
          <w:spacing w:val="-15"/>
        </w:rPr>
        <w:t> </w:t>
      </w:r>
      <w:r>
        <w:rPr/>
        <w:t>e</w:t>
      </w:r>
      <w:r>
        <w:rPr>
          <w:spacing w:val="-14"/>
        </w:rPr>
        <w:t> </w:t>
      </w:r>
      <w:r>
        <w:rPr/>
        <w:t>ditur karakteristikat industriale të komunës, duhet bërë</w:t>
      </w:r>
      <w:r>
        <w:rPr>
          <w:spacing w:val="-1"/>
        </w:rPr>
        <w:t> </w:t>
      </w:r>
      <w:r>
        <w:rPr/>
        <w:t>hulumtime</w:t>
      </w:r>
      <w:r>
        <w:rPr>
          <w:spacing w:val="-1"/>
        </w:rPr>
        <w:t> </w:t>
      </w:r>
      <w:r>
        <w:rPr/>
        <w:t>dhe monitorime në këtë</w:t>
      </w:r>
      <w:r>
        <w:rPr>
          <w:spacing w:val="-1"/>
        </w:rPr>
        <w:t> </w:t>
      </w:r>
      <w:r>
        <w:rPr/>
        <w:t>drejtim nga ndotës potencial.</w:t>
      </w:r>
    </w:p>
    <w:p>
      <w:pPr>
        <w:pStyle w:val="BodyText"/>
        <w:spacing w:before="11"/>
        <w:rPr>
          <w:sz w:val="20"/>
        </w:rPr>
      </w:pPr>
    </w:p>
    <w:p>
      <w:pPr>
        <w:pStyle w:val="BodyText"/>
        <w:ind w:left="704" w:right="1463"/>
        <w:jc w:val="both"/>
      </w:pPr>
      <w:r>
        <w:rPr/>
        <w:t>Zhvillimet tjera shqetësuese potenciale që kanë të bëjnë me ndikimet në lumin Lepenc janë ndërtimi i planifikuar i 2 hidrocentraleve (Lepenci 1 dhe Lumi i Kotlina) që janë vlerësuar</w:t>
      </w:r>
      <w:r>
        <w:rPr/>
        <w:t> se mundë të ndikojnë negativisht në tërë ekosistemin e ujit të pastër</w:t>
      </w:r>
      <w:r>
        <w:rPr>
          <w:spacing w:val="-1"/>
        </w:rPr>
        <w:t> </w:t>
      </w:r>
      <w:r>
        <w:rPr/>
        <w:t>të Pellgut të Lepencit për shkak të</w:t>
      </w:r>
      <w:r>
        <w:rPr>
          <w:spacing w:val="-4"/>
        </w:rPr>
        <w:t> </w:t>
      </w:r>
      <w:r>
        <w:rPr/>
        <w:t>devijim</w:t>
      </w:r>
      <w:r>
        <w:rPr>
          <w:spacing w:val="-5"/>
        </w:rPr>
        <w:t> </w:t>
      </w:r>
      <w:r>
        <w:rPr/>
        <w:t>të</w:t>
      </w:r>
      <w:r>
        <w:rPr>
          <w:spacing w:val="-5"/>
        </w:rPr>
        <w:t> </w:t>
      </w:r>
      <w:r>
        <w:rPr/>
        <w:t>70%</w:t>
      </w:r>
      <w:r>
        <w:rPr>
          <w:spacing w:val="-4"/>
        </w:rPr>
        <w:t> </w:t>
      </w:r>
      <w:r>
        <w:rPr/>
        <w:t>të</w:t>
      </w:r>
      <w:r>
        <w:rPr>
          <w:spacing w:val="-4"/>
        </w:rPr>
        <w:t> </w:t>
      </w:r>
      <w:r>
        <w:rPr/>
        <w:t>ujit</w:t>
      </w:r>
      <w:r>
        <w:rPr>
          <w:spacing w:val="-5"/>
        </w:rPr>
        <w:t> </w:t>
      </w:r>
      <w:r>
        <w:rPr/>
        <w:t>në</w:t>
      </w:r>
      <w:r>
        <w:rPr>
          <w:spacing w:val="-5"/>
        </w:rPr>
        <w:t> </w:t>
      </w:r>
      <w:r>
        <w:rPr/>
        <w:t>gypa</w:t>
      </w:r>
      <w:r>
        <w:rPr>
          <w:spacing w:val="-5"/>
        </w:rPr>
        <w:t> </w:t>
      </w:r>
      <w:r>
        <w:rPr/>
        <w:t>për</w:t>
      </w:r>
      <w:r>
        <w:rPr>
          <w:spacing w:val="-4"/>
        </w:rPr>
        <w:t> </w:t>
      </w:r>
      <w:r>
        <w:rPr/>
        <w:t>kilometra</w:t>
      </w:r>
      <w:r>
        <w:rPr>
          <w:spacing w:val="-5"/>
        </w:rPr>
        <w:t> </w:t>
      </w:r>
      <w:r>
        <w:rPr/>
        <w:t>të</w:t>
      </w:r>
      <w:r>
        <w:rPr>
          <w:spacing w:val="-5"/>
        </w:rPr>
        <w:t> </w:t>
      </w:r>
      <w:r>
        <w:rPr/>
        <w:t>tëra</w:t>
      </w:r>
      <w:r>
        <w:rPr>
          <w:spacing w:val="-5"/>
        </w:rPr>
        <w:t> </w:t>
      </w:r>
      <w:r>
        <w:rPr/>
        <w:t>dhe</w:t>
      </w:r>
      <w:r>
        <w:rPr>
          <w:spacing w:val="-5"/>
        </w:rPr>
        <w:t> </w:t>
      </w:r>
      <w:r>
        <w:rPr/>
        <w:t>arsyet</w:t>
      </w:r>
      <w:r>
        <w:rPr>
          <w:spacing w:val="-4"/>
        </w:rPr>
        <w:t> </w:t>
      </w:r>
      <w:r>
        <w:rPr/>
        <w:t>tjera</w:t>
      </w:r>
      <w:r>
        <w:rPr>
          <w:vertAlign w:val="superscript"/>
        </w:rPr>
        <w:t>18</w:t>
      </w:r>
      <w:r>
        <w:rPr>
          <w:vertAlign w:val="baseline"/>
        </w:rPr>
        <w:t>.</w:t>
      </w:r>
      <w:r>
        <w:rPr>
          <w:spacing w:val="-5"/>
          <w:vertAlign w:val="baseline"/>
        </w:rPr>
        <w:t> </w:t>
      </w:r>
      <w:r>
        <w:rPr>
          <w:vertAlign w:val="baseline"/>
        </w:rPr>
        <w:t>Për</w:t>
      </w:r>
      <w:r>
        <w:rPr>
          <w:spacing w:val="-4"/>
          <w:vertAlign w:val="baseline"/>
        </w:rPr>
        <w:t> </w:t>
      </w:r>
      <w:r>
        <w:rPr>
          <w:vertAlign w:val="baseline"/>
        </w:rPr>
        <w:t>më</w:t>
      </w:r>
      <w:r>
        <w:rPr>
          <w:spacing w:val="-4"/>
          <w:vertAlign w:val="baseline"/>
        </w:rPr>
        <w:t> </w:t>
      </w:r>
      <w:r>
        <w:rPr>
          <w:vertAlign w:val="baseline"/>
        </w:rPr>
        <w:t>tepër</w:t>
      </w:r>
      <w:r>
        <w:rPr>
          <w:spacing w:val="-5"/>
          <w:vertAlign w:val="baseline"/>
        </w:rPr>
        <w:t> </w:t>
      </w:r>
      <w:r>
        <w:rPr>
          <w:vertAlign w:val="baseline"/>
        </w:rPr>
        <w:t>lumi</w:t>
      </w:r>
      <w:r>
        <w:rPr>
          <w:spacing w:val="-4"/>
          <w:vertAlign w:val="baseline"/>
        </w:rPr>
        <w:t> </w:t>
      </w:r>
      <w:r>
        <w:rPr>
          <w:vertAlign w:val="baseline"/>
        </w:rPr>
        <w:t>paraqet një nga elementet kryesore të mjedisit të kategorizuar si Monument Natyror.</w:t>
      </w:r>
    </w:p>
    <w:p>
      <w:pPr>
        <w:pStyle w:val="BodyText"/>
        <w:spacing w:before="5"/>
        <w:rPr>
          <w:sz w:val="15"/>
        </w:rPr>
      </w:pPr>
    </w:p>
    <w:p>
      <w:pPr>
        <w:pStyle w:val="Heading2"/>
        <w:numPr>
          <w:ilvl w:val="1"/>
          <w:numId w:val="12"/>
        </w:numPr>
        <w:tabs>
          <w:tab w:pos="1370" w:val="left" w:leader="none"/>
          <w:tab w:pos="10104" w:val="left" w:leader="none"/>
        </w:tabs>
        <w:spacing w:line="240" w:lineRule="auto" w:before="90" w:after="0"/>
        <w:ind w:left="1370" w:right="0" w:hanging="570"/>
        <w:jc w:val="both"/>
        <w:rPr>
          <w:color w:val="FFFFFF"/>
        </w:rPr>
      </w:pPr>
      <w:r>
        <w:rPr>
          <w:color w:val="FFFFFF"/>
          <w:shd w:fill="EAB8A3" w:color="auto" w:val="clear"/>
        </w:rPr>
        <w:t>Ndotja</w:t>
      </w:r>
      <w:r>
        <w:rPr>
          <w:color w:val="FFFFFF"/>
          <w:spacing w:val="-6"/>
          <w:shd w:fill="EAB8A3" w:color="auto" w:val="clear"/>
        </w:rPr>
        <w:t> </w:t>
      </w:r>
      <w:r>
        <w:rPr>
          <w:color w:val="FFFFFF"/>
          <w:shd w:fill="EAB8A3" w:color="auto" w:val="clear"/>
        </w:rPr>
        <w:t>e</w:t>
      </w:r>
      <w:r>
        <w:rPr>
          <w:color w:val="FFFFFF"/>
          <w:spacing w:val="-5"/>
          <w:shd w:fill="EAB8A3" w:color="auto" w:val="clear"/>
        </w:rPr>
        <w:t> </w:t>
      </w:r>
      <w:r>
        <w:rPr>
          <w:color w:val="FFFFFF"/>
          <w:spacing w:val="-2"/>
          <w:shd w:fill="EAB8A3" w:color="auto" w:val="clear"/>
        </w:rPr>
        <w:t>tokës</w:t>
      </w:r>
      <w:r>
        <w:rPr>
          <w:color w:val="FFFFFF"/>
          <w:shd w:fill="EAB8A3" w:color="auto" w:val="clear"/>
        </w:rPr>
        <w:tab/>
      </w:r>
    </w:p>
    <w:p>
      <w:pPr>
        <w:pStyle w:val="BodyText"/>
        <w:rPr>
          <w:b/>
        </w:rPr>
      </w:pPr>
    </w:p>
    <w:p>
      <w:pPr>
        <w:pStyle w:val="BodyText"/>
        <w:ind w:left="740" w:right="1464"/>
        <w:jc w:val="both"/>
      </w:pPr>
      <w:r>
        <w:rPr/>
        <w:t>Mbeturinat e ngurta të akumuluara në deponitë ilegale janë ndër ndotësit kryesorë të tokës në komunë. Këto janë kryesisht deponi ilegale të mbeturinave shtëpiake, dhe në disa raste mbetjeve të ndërtim/ rrënimit, të cilat kryesisht gjenden në afërsi të rrugëve (shih aneksin 10 - Harta e deponive ilegale). Ndikimet negative të këtyre deponive janë të shumta, ku përveç kontaminimit të</w:t>
      </w:r>
      <w:r>
        <w:rPr>
          <w:spacing w:val="-7"/>
        </w:rPr>
        <w:t> </w:t>
      </w:r>
      <w:r>
        <w:rPr/>
        <w:t>drejtpërdrejtë</w:t>
      </w:r>
      <w:r>
        <w:rPr>
          <w:spacing w:val="-8"/>
        </w:rPr>
        <w:t> </w:t>
      </w:r>
      <w:r>
        <w:rPr/>
        <w:t>të</w:t>
      </w:r>
      <w:r>
        <w:rPr>
          <w:spacing w:val="-8"/>
        </w:rPr>
        <w:t> </w:t>
      </w:r>
      <w:r>
        <w:rPr/>
        <w:t>tokës</w:t>
      </w:r>
      <w:r>
        <w:rPr>
          <w:spacing w:val="-9"/>
        </w:rPr>
        <w:t> </w:t>
      </w:r>
      <w:r>
        <w:rPr/>
        <w:t>dhe</w:t>
      </w:r>
      <w:r>
        <w:rPr>
          <w:spacing w:val="-7"/>
        </w:rPr>
        <w:t> </w:t>
      </w:r>
      <w:r>
        <w:rPr/>
        <w:t>ajrit,</w:t>
      </w:r>
      <w:r>
        <w:rPr>
          <w:spacing w:val="-8"/>
        </w:rPr>
        <w:t> </w:t>
      </w:r>
      <w:r>
        <w:rPr/>
        <w:t>ndikimi</w:t>
      </w:r>
      <w:r>
        <w:rPr>
          <w:spacing w:val="-8"/>
        </w:rPr>
        <w:t> </w:t>
      </w:r>
      <w:r>
        <w:rPr/>
        <w:t>i</w:t>
      </w:r>
      <w:r>
        <w:rPr>
          <w:spacing w:val="-8"/>
        </w:rPr>
        <w:t> </w:t>
      </w:r>
      <w:r>
        <w:rPr/>
        <w:t>tyre</w:t>
      </w:r>
      <w:r>
        <w:rPr>
          <w:spacing w:val="-9"/>
        </w:rPr>
        <w:t> </w:t>
      </w:r>
      <w:r>
        <w:rPr/>
        <w:t>mund</w:t>
      </w:r>
      <w:r>
        <w:rPr>
          <w:spacing w:val="-7"/>
        </w:rPr>
        <w:t> </w:t>
      </w:r>
      <w:r>
        <w:rPr/>
        <w:t>të</w:t>
      </w:r>
      <w:r>
        <w:rPr>
          <w:spacing w:val="-8"/>
        </w:rPr>
        <w:t> </w:t>
      </w:r>
      <w:r>
        <w:rPr/>
        <w:t>bartet</w:t>
      </w:r>
      <w:r>
        <w:rPr>
          <w:spacing w:val="-7"/>
        </w:rPr>
        <w:t> </w:t>
      </w:r>
      <w:r>
        <w:rPr/>
        <w:t>në</w:t>
      </w:r>
      <w:r>
        <w:rPr>
          <w:spacing w:val="-8"/>
        </w:rPr>
        <w:t> </w:t>
      </w:r>
      <w:r>
        <w:rPr/>
        <w:t>rrjedhat</w:t>
      </w:r>
      <w:r>
        <w:rPr>
          <w:spacing w:val="-7"/>
        </w:rPr>
        <w:t> </w:t>
      </w:r>
      <w:r>
        <w:rPr/>
        <w:t>e</w:t>
      </w:r>
      <w:r>
        <w:rPr>
          <w:spacing w:val="-7"/>
        </w:rPr>
        <w:t> </w:t>
      </w:r>
      <w:r>
        <w:rPr/>
        <w:t>ujërave</w:t>
      </w:r>
      <w:r>
        <w:rPr>
          <w:spacing w:val="-7"/>
        </w:rPr>
        <w:t> </w:t>
      </w:r>
      <w:r>
        <w:rPr/>
        <w:t>sipërfaqësorë dhe</w:t>
      </w:r>
      <w:r>
        <w:rPr>
          <w:spacing w:val="-13"/>
        </w:rPr>
        <w:t> </w:t>
      </w:r>
      <w:r>
        <w:rPr/>
        <w:t>nëntokësorë</w:t>
      </w:r>
      <w:r>
        <w:rPr>
          <w:spacing w:val="-12"/>
        </w:rPr>
        <w:t> </w:t>
      </w:r>
      <w:r>
        <w:rPr/>
        <w:t>nëpërmjet</w:t>
      </w:r>
      <w:r>
        <w:rPr>
          <w:spacing w:val="-13"/>
        </w:rPr>
        <w:t> </w:t>
      </w:r>
      <w:r>
        <w:rPr/>
        <w:t>reshjeve.</w:t>
      </w:r>
      <w:r>
        <w:rPr>
          <w:spacing w:val="-14"/>
        </w:rPr>
        <w:t> </w:t>
      </w:r>
      <w:r>
        <w:rPr/>
        <w:t>Drejtoria</w:t>
      </w:r>
      <w:r>
        <w:rPr>
          <w:spacing w:val="-14"/>
        </w:rPr>
        <w:t> </w:t>
      </w:r>
      <w:r>
        <w:rPr/>
        <w:t>e</w:t>
      </w:r>
      <w:r>
        <w:rPr>
          <w:spacing w:val="-13"/>
        </w:rPr>
        <w:t> </w:t>
      </w:r>
      <w:r>
        <w:rPr/>
        <w:t>Shërbimeve</w:t>
      </w:r>
      <w:r>
        <w:rPr>
          <w:spacing w:val="-13"/>
        </w:rPr>
        <w:t> </w:t>
      </w:r>
      <w:r>
        <w:rPr/>
        <w:t>Publike</w:t>
      </w:r>
      <w:r>
        <w:rPr>
          <w:spacing w:val="-13"/>
        </w:rPr>
        <w:t> </w:t>
      </w:r>
      <w:r>
        <w:rPr/>
        <w:t>për</w:t>
      </w:r>
      <w:r>
        <w:rPr>
          <w:spacing w:val="-14"/>
        </w:rPr>
        <w:t> </w:t>
      </w:r>
      <w:r>
        <w:rPr/>
        <w:t>çdo</w:t>
      </w:r>
      <w:r>
        <w:rPr>
          <w:spacing w:val="-13"/>
        </w:rPr>
        <w:t> </w:t>
      </w:r>
      <w:r>
        <w:rPr/>
        <w:t>vit</w:t>
      </w:r>
      <w:r>
        <w:rPr>
          <w:spacing w:val="-14"/>
        </w:rPr>
        <w:t> </w:t>
      </w:r>
      <w:r>
        <w:rPr/>
        <w:t>e</w:t>
      </w:r>
      <w:r>
        <w:rPr>
          <w:spacing w:val="-13"/>
        </w:rPr>
        <w:t> </w:t>
      </w:r>
      <w:r>
        <w:rPr/>
        <w:t>bën</w:t>
      </w:r>
      <w:r>
        <w:rPr>
          <w:spacing w:val="-15"/>
        </w:rPr>
        <w:t> </w:t>
      </w:r>
      <w:r>
        <w:rPr/>
        <w:t>evidentimin e</w:t>
      </w:r>
      <w:r>
        <w:rPr>
          <w:spacing w:val="-4"/>
        </w:rPr>
        <w:t> </w:t>
      </w:r>
      <w:r>
        <w:rPr/>
        <w:t>deponive</w:t>
      </w:r>
      <w:r>
        <w:rPr>
          <w:spacing w:val="-4"/>
        </w:rPr>
        <w:t> </w:t>
      </w:r>
      <w:r>
        <w:rPr/>
        <w:t>ilegale</w:t>
      </w:r>
      <w:r>
        <w:rPr>
          <w:spacing w:val="-5"/>
        </w:rPr>
        <w:t> </w:t>
      </w:r>
      <w:r>
        <w:rPr/>
        <w:t>dhe</w:t>
      </w:r>
      <w:r>
        <w:rPr>
          <w:spacing w:val="-4"/>
        </w:rPr>
        <w:t> </w:t>
      </w:r>
      <w:r>
        <w:rPr/>
        <w:t>organizon</w:t>
      </w:r>
      <w:r>
        <w:rPr>
          <w:spacing w:val="-3"/>
        </w:rPr>
        <w:t> </w:t>
      </w:r>
      <w:r>
        <w:rPr/>
        <w:t>pastrimin</w:t>
      </w:r>
      <w:r>
        <w:rPr>
          <w:spacing w:val="-4"/>
        </w:rPr>
        <w:t> </w:t>
      </w:r>
      <w:r>
        <w:rPr/>
        <w:t>e</w:t>
      </w:r>
      <w:r>
        <w:rPr>
          <w:spacing w:val="-4"/>
        </w:rPr>
        <w:t> </w:t>
      </w:r>
      <w:r>
        <w:rPr/>
        <w:t>tyre.Në</w:t>
      </w:r>
      <w:r>
        <w:rPr>
          <w:spacing w:val="-5"/>
        </w:rPr>
        <w:t> </w:t>
      </w:r>
      <w:r>
        <w:rPr/>
        <w:t>mungesë</w:t>
      </w:r>
      <w:r>
        <w:rPr>
          <w:spacing w:val="-4"/>
        </w:rPr>
        <w:t> </w:t>
      </w:r>
      <w:r>
        <w:rPr/>
        <w:t>të</w:t>
      </w:r>
      <w:r>
        <w:rPr>
          <w:spacing w:val="-3"/>
        </w:rPr>
        <w:t> </w:t>
      </w:r>
      <w:r>
        <w:rPr/>
        <w:t>një</w:t>
      </w:r>
      <w:r>
        <w:rPr>
          <w:spacing w:val="-4"/>
        </w:rPr>
        <w:t> </w:t>
      </w:r>
      <w:r>
        <w:rPr/>
        <w:t>sistemi</w:t>
      </w:r>
      <w:r>
        <w:rPr>
          <w:spacing w:val="-4"/>
        </w:rPr>
        <w:t> </w:t>
      </w:r>
      <w:r>
        <w:rPr/>
        <w:t>të</w:t>
      </w:r>
      <w:r>
        <w:rPr>
          <w:spacing w:val="-3"/>
        </w:rPr>
        <w:t> </w:t>
      </w:r>
      <w:r>
        <w:rPr/>
        <w:t>kompletuar</w:t>
      </w:r>
      <w:r>
        <w:rPr>
          <w:spacing w:val="-4"/>
        </w:rPr>
        <w:t> </w:t>
      </w:r>
      <w:r>
        <w:rPr/>
        <w:t>dhe</w:t>
      </w:r>
      <w:r>
        <w:rPr>
          <w:spacing w:val="-4"/>
        </w:rPr>
        <w:t> </w:t>
      </w:r>
      <w:r>
        <w:rPr/>
        <w:t>të mjaftueshme</w:t>
      </w:r>
      <w:r>
        <w:rPr>
          <w:spacing w:val="-11"/>
        </w:rPr>
        <w:t> </w:t>
      </w:r>
      <w:r>
        <w:rPr/>
        <w:t>të</w:t>
      </w:r>
      <w:r>
        <w:rPr>
          <w:spacing w:val="-11"/>
        </w:rPr>
        <w:t> </w:t>
      </w:r>
      <w:r>
        <w:rPr/>
        <w:t>kanalizimit,</w:t>
      </w:r>
      <w:r>
        <w:rPr>
          <w:spacing w:val="-11"/>
        </w:rPr>
        <w:t> </w:t>
      </w:r>
      <w:r>
        <w:rPr/>
        <w:t>ujërat</w:t>
      </w:r>
      <w:r>
        <w:rPr>
          <w:spacing w:val="-11"/>
        </w:rPr>
        <w:t> </w:t>
      </w:r>
      <w:r>
        <w:rPr/>
        <w:t>e</w:t>
      </w:r>
      <w:r>
        <w:rPr>
          <w:spacing w:val="-12"/>
        </w:rPr>
        <w:t> </w:t>
      </w:r>
      <w:r>
        <w:rPr/>
        <w:t>zeza</w:t>
      </w:r>
      <w:r>
        <w:rPr>
          <w:spacing w:val="-11"/>
        </w:rPr>
        <w:t> </w:t>
      </w:r>
      <w:r>
        <w:rPr/>
        <w:t>duhet</w:t>
      </w:r>
      <w:r>
        <w:rPr>
          <w:spacing w:val="-11"/>
        </w:rPr>
        <w:t> </w:t>
      </w:r>
      <w:r>
        <w:rPr/>
        <w:t>të</w:t>
      </w:r>
      <w:r>
        <w:rPr>
          <w:spacing w:val="-11"/>
        </w:rPr>
        <w:t> </w:t>
      </w:r>
      <w:r>
        <w:rPr/>
        <w:t>trajtohen</w:t>
      </w:r>
      <w:r>
        <w:rPr>
          <w:spacing w:val="-11"/>
        </w:rPr>
        <w:t> </w:t>
      </w:r>
      <w:r>
        <w:rPr/>
        <w:t>si</w:t>
      </w:r>
      <w:r>
        <w:rPr>
          <w:spacing w:val="-12"/>
        </w:rPr>
        <w:t> </w:t>
      </w:r>
      <w:r>
        <w:rPr/>
        <w:t>ndotës</w:t>
      </w:r>
      <w:r>
        <w:rPr>
          <w:spacing w:val="-11"/>
        </w:rPr>
        <w:t> </w:t>
      </w:r>
      <w:r>
        <w:rPr/>
        <w:t>potencial</w:t>
      </w:r>
      <w:r>
        <w:rPr>
          <w:spacing w:val="-11"/>
        </w:rPr>
        <w:t> </w:t>
      </w:r>
      <w:r>
        <w:rPr/>
        <w:t>të</w:t>
      </w:r>
      <w:r>
        <w:rPr>
          <w:spacing w:val="-11"/>
        </w:rPr>
        <w:t> </w:t>
      </w:r>
      <w:r>
        <w:rPr/>
        <w:t>tokës.</w:t>
      </w:r>
      <w:r>
        <w:rPr>
          <w:spacing w:val="-11"/>
        </w:rPr>
        <w:t> </w:t>
      </w:r>
      <w:r>
        <w:rPr/>
        <w:t>Kjo</w:t>
      </w:r>
      <w:r>
        <w:rPr>
          <w:spacing w:val="-11"/>
        </w:rPr>
        <w:t> </w:t>
      </w:r>
      <w:r>
        <w:rPr/>
        <w:t>ndotje mund të shkaktohet nga kalimi i ujërave të zeza në zonat e ujit sipërfaqësor</w:t>
      </w:r>
      <w:r>
        <w:rPr/>
        <w:t> apo</w:t>
      </w:r>
      <w:r>
        <w:rPr/>
        <w:t> rrjedhave nëntokësore,</w:t>
      </w:r>
      <w:r>
        <w:rPr/>
        <w:t> varësisht nga forma e shkarkimit të tyre - drejtpërdrejtë në rrjedhat e ujit (në shumicën e rasteve) ose në sipërfaqen e tokës.</w:t>
      </w:r>
    </w:p>
    <w:p>
      <w:pPr>
        <w:pStyle w:val="BodyText"/>
        <w:spacing w:before="10"/>
        <w:rPr>
          <w:sz w:val="20"/>
        </w:rPr>
      </w:pPr>
    </w:p>
    <w:p>
      <w:pPr>
        <w:pStyle w:val="BodyText"/>
        <w:spacing w:before="1"/>
        <w:ind w:left="740" w:right="1469"/>
        <w:jc w:val="both"/>
      </w:pPr>
      <w:r>
        <w:rPr/>
        <w:t>Përveç</w:t>
      </w:r>
      <w:r>
        <w:rPr/>
        <w:t> ndotjes</w:t>
      </w:r>
      <w:r>
        <w:rPr/>
        <w:t> së drejtpërdrejtë, si një formë tjetër e degradimit të tokës është ndryshimi i destinimit të tokës bujqësore në tokë ndërtimore. Po ashtu, problem të veçantë paraqet edhe degradimi i pyjeve përmes prerjes ilegale.</w:t>
      </w:r>
    </w:p>
    <w:p>
      <w:pPr>
        <w:pStyle w:val="BodyText"/>
        <w:spacing w:before="10"/>
        <w:rPr>
          <w:sz w:val="20"/>
        </w:rPr>
      </w:pPr>
    </w:p>
    <w:p>
      <w:pPr>
        <w:pStyle w:val="Heading2"/>
        <w:numPr>
          <w:ilvl w:val="1"/>
          <w:numId w:val="12"/>
        </w:numPr>
        <w:tabs>
          <w:tab w:pos="1370" w:val="left" w:leader="none"/>
          <w:tab w:pos="10104" w:val="left" w:leader="none"/>
        </w:tabs>
        <w:spacing w:line="240" w:lineRule="auto" w:before="0" w:after="0"/>
        <w:ind w:left="740" w:right="0" w:firstLine="60"/>
        <w:jc w:val="both"/>
        <w:rPr>
          <w:color w:val="FFFFFF"/>
        </w:rPr>
      </w:pPr>
      <w:r>
        <w:rPr>
          <w:color w:val="FFFFFF"/>
          <w:shd w:fill="EAB8A3" w:color="auto" w:val="clear"/>
        </w:rPr>
        <w:t>Ndotja</w:t>
      </w:r>
      <w:r>
        <w:rPr>
          <w:color w:val="FFFFFF"/>
          <w:spacing w:val="-9"/>
          <w:shd w:fill="EAB8A3" w:color="auto" w:val="clear"/>
        </w:rPr>
        <w:t> </w:t>
      </w:r>
      <w:r>
        <w:rPr>
          <w:color w:val="FFFFFF"/>
          <w:spacing w:val="-2"/>
          <w:shd w:fill="EAB8A3" w:color="auto" w:val="clear"/>
        </w:rPr>
        <w:t>akustike</w:t>
      </w:r>
      <w:r>
        <w:rPr>
          <w:color w:val="FFFFFF"/>
          <w:shd w:fill="EAB8A3" w:color="auto" w:val="clear"/>
        </w:rPr>
        <w:tab/>
      </w:r>
    </w:p>
    <w:p>
      <w:pPr>
        <w:pStyle w:val="BodyText"/>
        <w:spacing w:before="10"/>
        <w:rPr>
          <w:b/>
          <w:sz w:val="20"/>
        </w:rPr>
      </w:pPr>
    </w:p>
    <w:p>
      <w:pPr>
        <w:pStyle w:val="BodyText"/>
        <w:ind w:left="740" w:right="1464"/>
        <w:jc w:val="both"/>
      </w:pPr>
      <w:r>
        <w:rPr/>
        <w:t>Sa</w:t>
      </w:r>
      <w:r>
        <w:rPr>
          <w:spacing w:val="-6"/>
        </w:rPr>
        <w:t> </w:t>
      </w:r>
      <w:r>
        <w:rPr/>
        <w:t>i</w:t>
      </w:r>
      <w:r>
        <w:rPr>
          <w:spacing w:val="-6"/>
        </w:rPr>
        <w:t> </w:t>
      </w:r>
      <w:r>
        <w:rPr/>
        <w:t>përket</w:t>
      </w:r>
      <w:r>
        <w:rPr>
          <w:spacing w:val="-5"/>
        </w:rPr>
        <w:t> </w:t>
      </w:r>
      <w:r>
        <w:rPr/>
        <w:t>ndotjes</w:t>
      </w:r>
      <w:r>
        <w:rPr>
          <w:spacing w:val="-6"/>
        </w:rPr>
        <w:t> </w:t>
      </w:r>
      <w:r>
        <w:rPr/>
        <w:t>akustik,</w:t>
      </w:r>
      <w:r>
        <w:rPr>
          <w:spacing w:val="-6"/>
        </w:rPr>
        <w:t> </w:t>
      </w:r>
      <w:r>
        <w:rPr/>
        <w:t>nuk</w:t>
      </w:r>
      <w:r>
        <w:rPr>
          <w:spacing w:val="-6"/>
        </w:rPr>
        <w:t> </w:t>
      </w:r>
      <w:r>
        <w:rPr/>
        <w:t>ka</w:t>
      </w:r>
      <w:r>
        <w:rPr>
          <w:spacing w:val="-6"/>
        </w:rPr>
        <w:t> </w:t>
      </w:r>
      <w:r>
        <w:rPr/>
        <w:t>të</w:t>
      </w:r>
      <w:r>
        <w:rPr>
          <w:spacing w:val="-5"/>
        </w:rPr>
        <w:t> </w:t>
      </w:r>
      <w:r>
        <w:rPr/>
        <w:t>dhëna</w:t>
      </w:r>
      <w:r>
        <w:rPr>
          <w:spacing w:val="-6"/>
        </w:rPr>
        <w:t> </w:t>
      </w:r>
      <w:r>
        <w:rPr/>
        <w:t>në</w:t>
      </w:r>
      <w:r>
        <w:rPr>
          <w:spacing w:val="-6"/>
        </w:rPr>
        <w:t> </w:t>
      </w:r>
      <w:r>
        <w:rPr/>
        <w:t>dispozicion</w:t>
      </w:r>
      <w:r>
        <w:rPr>
          <w:spacing w:val="-6"/>
        </w:rPr>
        <w:t> </w:t>
      </w:r>
      <w:r>
        <w:rPr/>
        <w:t>për</w:t>
      </w:r>
      <w:r>
        <w:rPr>
          <w:spacing w:val="-7"/>
        </w:rPr>
        <w:t> </w:t>
      </w:r>
      <w:r>
        <w:rPr/>
        <w:t>nivelin</w:t>
      </w:r>
      <w:r>
        <w:rPr>
          <w:spacing w:val="-6"/>
        </w:rPr>
        <w:t> </w:t>
      </w:r>
      <w:r>
        <w:rPr/>
        <w:t>e</w:t>
      </w:r>
      <w:r>
        <w:rPr>
          <w:spacing w:val="-6"/>
        </w:rPr>
        <w:t> </w:t>
      </w:r>
      <w:r>
        <w:rPr/>
        <w:t>ndotjes</w:t>
      </w:r>
      <w:r>
        <w:rPr>
          <w:spacing w:val="-6"/>
        </w:rPr>
        <w:t> </w:t>
      </w:r>
      <w:r>
        <w:rPr/>
        <w:t>në</w:t>
      </w:r>
      <w:r>
        <w:rPr>
          <w:spacing w:val="-6"/>
        </w:rPr>
        <w:t> </w:t>
      </w:r>
      <w:r>
        <w:rPr/>
        <w:t>komunë,</w:t>
      </w:r>
      <w:r>
        <w:rPr>
          <w:spacing w:val="-6"/>
        </w:rPr>
        <w:t> </w:t>
      </w:r>
      <w:r>
        <w:rPr/>
        <w:t>andaj mund të jepen vetëm vlerësime të përgjithshme. Fakti që përmes territorit të komunës kalon autoudha R6 dhe nacionalja N2 ndërsa asnjëra nga to nuk ka ndonjë formë mbrojtëse, tregon se zhurma është evidente . Gjithashtu ndotësit tjerë janë veprimtaritë industriale si Sharrce, Kosovaplast</w:t>
      </w:r>
      <w:r>
        <w:rPr>
          <w:spacing w:val="58"/>
        </w:rPr>
        <w:t> </w:t>
      </w:r>
      <w:r>
        <w:rPr/>
        <w:t>(në</w:t>
      </w:r>
      <w:r>
        <w:rPr>
          <w:spacing w:val="59"/>
        </w:rPr>
        <w:t> </w:t>
      </w:r>
      <w:r>
        <w:rPr/>
        <w:t>zonën</w:t>
      </w:r>
      <w:r>
        <w:rPr>
          <w:spacing w:val="59"/>
        </w:rPr>
        <w:t> </w:t>
      </w:r>
      <w:r>
        <w:rPr/>
        <w:t>urbane)</w:t>
      </w:r>
      <w:r>
        <w:rPr>
          <w:spacing w:val="59"/>
        </w:rPr>
        <w:t> </w:t>
      </w:r>
      <w:r>
        <w:rPr/>
        <w:t>dhe</w:t>
      </w:r>
      <w:r>
        <w:rPr>
          <w:spacing w:val="59"/>
        </w:rPr>
        <w:t> </w:t>
      </w:r>
      <w:r>
        <w:rPr/>
        <w:t>gërmimet</w:t>
      </w:r>
      <w:r>
        <w:rPr>
          <w:spacing w:val="59"/>
        </w:rPr>
        <w:t> </w:t>
      </w:r>
      <w:r>
        <w:rPr/>
        <w:t>grumbulluese</w:t>
      </w:r>
      <w:r>
        <w:rPr>
          <w:spacing w:val="59"/>
        </w:rPr>
        <w:t> </w:t>
      </w:r>
      <w:r>
        <w:rPr/>
        <w:t>(gurthyesit)</w:t>
      </w:r>
      <w:r>
        <w:rPr>
          <w:spacing w:val="59"/>
        </w:rPr>
        <w:t> </w:t>
      </w:r>
      <w:r>
        <w:rPr/>
        <w:t>brenda</w:t>
      </w:r>
      <w:r>
        <w:rPr>
          <w:spacing w:val="58"/>
        </w:rPr>
        <w:t> </w:t>
      </w:r>
      <w:r>
        <w:rPr/>
        <w:t>territorit</w:t>
      </w:r>
      <w:r>
        <w:rPr>
          <w:spacing w:val="59"/>
        </w:rPr>
        <w:t> </w:t>
      </w:r>
      <w:r>
        <w:rPr>
          <w:spacing w:val="-5"/>
        </w:rPr>
        <w:t>të</w:t>
      </w:r>
    </w:p>
    <w:p>
      <w:pPr>
        <w:pStyle w:val="BodyText"/>
        <w:rPr>
          <w:sz w:val="20"/>
        </w:rPr>
      </w:pPr>
    </w:p>
    <w:p>
      <w:pPr>
        <w:pStyle w:val="BodyText"/>
        <w:rPr>
          <w:sz w:val="20"/>
        </w:rPr>
      </w:pPr>
    </w:p>
    <w:p>
      <w:pPr>
        <w:pStyle w:val="BodyText"/>
        <w:rPr>
          <w:sz w:val="20"/>
        </w:rPr>
      </w:pPr>
    </w:p>
    <w:p>
      <w:pPr>
        <w:pStyle w:val="BodyText"/>
        <w:spacing w:before="3"/>
        <w:rPr>
          <w:sz w:val="14"/>
        </w:rPr>
      </w:pPr>
      <w:r>
        <w:rPr/>
        <w:pict>
          <v:rect style="position:absolute;margin-left:72pt;margin-top:9.436874pt;width:144.020pt;height:.66003pt;mso-position-horizontal-relative:page;mso-position-vertical-relative:paragraph;z-index:-15695360;mso-wrap-distance-left:0;mso-wrap-distance-right:0" id="docshape293"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18</w:t>
      </w:r>
      <w:r>
        <w:rPr>
          <w:rFonts w:ascii="Calibri" w:hAnsi="Calibri"/>
          <w:sz w:val="20"/>
          <w:vertAlign w:val="baseline"/>
        </w:rPr>
        <w:t>Drejtoria</w:t>
      </w:r>
      <w:r>
        <w:rPr>
          <w:rFonts w:ascii="Calibri" w:hAnsi="Calibri"/>
          <w:spacing w:val="-4"/>
          <w:sz w:val="20"/>
          <w:vertAlign w:val="baseline"/>
        </w:rPr>
        <w:t> </w:t>
      </w:r>
      <w:r>
        <w:rPr>
          <w:rFonts w:ascii="Calibri" w:hAnsi="Calibri"/>
          <w:sz w:val="20"/>
          <w:vertAlign w:val="baseline"/>
        </w:rPr>
        <w:t>e</w:t>
      </w:r>
      <w:r>
        <w:rPr>
          <w:rFonts w:ascii="Calibri" w:hAnsi="Calibri"/>
          <w:spacing w:val="-4"/>
          <w:sz w:val="20"/>
          <w:vertAlign w:val="baseline"/>
        </w:rPr>
        <w:t> </w:t>
      </w:r>
      <w:r>
        <w:rPr>
          <w:rFonts w:ascii="Calibri" w:hAnsi="Calibri"/>
          <w:sz w:val="20"/>
          <w:vertAlign w:val="baseline"/>
        </w:rPr>
        <w:t>Shërbimeve</w:t>
      </w:r>
      <w:r>
        <w:rPr>
          <w:rFonts w:ascii="Calibri" w:hAnsi="Calibri"/>
          <w:spacing w:val="-4"/>
          <w:sz w:val="20"/>
          <w:vertAlign w:val="baseline"/>
        </w:rPr>
        <w:t> </w:t>
      </w:r>
      <w:r>
        <w:rPr>
          <w:rFonts w:ascii="Calibri" w:hAnsi="Calibri"/>
          <w:sz w:val="20"/>
          <w:vertAlign w:val="baseline"/>
        </w:rPr>
        <w:t>Publike</w:t>
      </w:r>
      <w:r>
        <w:rPr>
          <w:rFonts w:ascii="Calibri" w:hAnsi="Calibri"/>
          <w:spacing w:val="-3"/>
          <w:sz w:val="20"/>
          <w:vertAlign w:val="baseline"/>
        </w:rPr>
        <w:t> </w:t>
      </w:r>
      <w:r>
        <w:rPr>
          <w:rFonts w:ascii="Calibri" w:hAnsi="Calibri"/>
          <w:sz w:val="20"/>
          <w:vertAlign w:val="baseline"/>
        </w:rPr>
        <w:t>dhe</w:t>
      </w:r>
      <w:r>
        <w:rPr>
          <w:rFonts w:ascii="Calibri" w:hAnsi="Calibri"/>
          <w:spacing w:val="-6"/>
          <w:sz w:val="20"/>
          <w:vertAlign w:val="baseline"/>
        </w:rPr>
        <w:t> </w:t>
      </w:r>
      <w:r>
        <w:rPr>
          <w:rFonts w:ascii="Calibri" w:hAnsi="Calibri"/>
          <w:spacing w:val="-2"/>
          <w:sz w:val="20"/>
          <w:vertAlign w:val="baseline"/>
        </w:rPr>
        <w:t>Emergjencë</w:t>
      </w:r>
    </w:p>
    <w:p>
      <w:pPr>
        <w:spacing w:after="0"/>
        <w:jc w:val="left"/>
        <w:rPr>
          <w:rFonts w:ascii="Calibri" w:hAnsi="Calibri"/>
          <w:sz w:val="20"/>
        </w:rPr>
        <w:sectPr>
          <w:pgSz w:w="12240" w:h="15840"/>
          <w:pgMar w:header="0" w:footer="990" w:top="1380" w:bottom="1180" w:left="700" w:right="0"/>
        </w:sectPr>
      </w:pPr>
    </w:p>
    <w:p>
      <w:pPr>
        <w:pStyle w:val="BodyText"/>
        <w:ind w:left="4999" w:right="-44"/>
        <w:rPr>
          <w:rFonts w:ascii="Calibri"/>
          <w:sz w:val="20"/>
        </w:rPr>
      </w:pPr>
      <w:r>
        <w:rPr/>
        <w:pict>
          <v:rect style="position:absolute;margin-left:0pt;margin-top:0pt;width:610.5pt;height:791.24994pt;mso-position-horizontal-relative:page;mso-position-vertical-relative:page;z-index:-19961344" id="docshape294" filled="true" fillcolor="#ffefe4" stroked="false">
            <v:fill type="solid"/>
            <w10:wrap type="none"/>
          </v:rect>
        </w:pict>
      </w:r>
      <w:r>
        <w:rPr>
          <w:rFonts w:ascii="Calibri"/>
          <w:sz w:val="20"/>
        </w:rPr>
        <w:pict>
          <v:group style="width:325.55pt;height:90.15pt;mso-position-horizontal-relative:char;mso-position-vertical-relative:line" id="docshapegroup295" coordorigin="0,0" coordsize="6511,1803">
            <v:rect style="position:absolute;left:0;top:0;width:6511;height:1775" id="docshape296" filled="true" fillcolor="#f9c297" stroked="false">
              <v:fill type="solid"/>
            </v:rect>
            <v:shape style="position:absolute;left:0;top:0;width:6511;height:1803" type="#_x0000_t202" id="docshape297" filled="false" stroked="false">
              <v:textbox inset="0,0,0,0">
                <w:txbxContent>
                  <w:p>
                    <w:pPr>
                      <w:spacing w:line="780" w:lineRule="atLeast" w:before="242"/>
                      <w:ind w:left="2366" w:right="0" w:hanging="1353"/>
                      <w:jc w:val="left"/>
                      <w:rPr>
                        <w:b/>
                        <w:sz w:val="56"/>
                      </w:rPr>
                    </w:pPr>
                    <w:r>
                      <w:rPr>
                        <w:b/>
                        <w:sz w:val="56"/>
                      </w:rPr>
                      <w:t>Kultura,</w:t>
                    </w:r>
                    <w:r>
                      <w:rPr>
                        <w:b/>
                        <w:spacing w:val="-18"/>
                        <w:sz w:val="56"/>
                      </w:rPr>
                      <w:t> </w:t>
                    </w:r>
                    <w:r>
                      <w:rPr>
                        <w:b/>
                        <w:sz w:val="56"/>
                      </w:rPr>
                      <w:t>Sporti</w:t>
                    </w:r>
                    <w:r>
                      <w:rPr>
                        <w:b/>
                        <w:spacing w:val="-18"/>
                        <w:sz w:val="56"/>
                      </w:rPr>
                      <w:t> </w:t>
                    </w:r>
                    <w:r>
                      <w:rPr>
                        <w:b/>
                        <w:sz w:val="56"/>
                      </w:rPr>
                      <w:t>dhe </w:t>
                    </w:r>
                    <w:r>
                      <w:rPr>
                        <w:b/>
                        <w:spacing w:val="-2"/>
                        <w:sz w:val="56"/>
                      </w:rPr>
                      <w:t>Turizmi</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4"/>
        </w:rPr>
      </w:pPr>
      <w:r>
        <w:rPr/>
        <w:drawing>
          <wp:anchor distT="0" distB="0" distL="0" distR="0" allowOverlap="1" layoutInCell="1" locked="0" behindDoc="0" simplePos="0" relativeHeight="67">
            <wp:simplePos x="0" y="0"/>
            <wp:positionH relativeFrom="page">
              <wp:posOffset>516775</wp:posOffset>
            </wp:positionH>
            <wp:positionV relativeFrom="paragraph">
              <wp:posOffset>125030</wp:posOffset>
            </wp:positionV>
            <wp:extent cx="5455907" cy="5381625"/>
            <wp:effectExtent l="0" t="0" r="0" b="0"/>
            <wp:wrapTopAndBottom/>
            <wp:docPr id="31" name="image51.png"/>
            <wp:cNvGraphicFramePr>
              <a:graphicFrameLocks noChangeAspect="1"/>
            </wp:cNvGraphicFramePr>
            <a:graphic>
              <a:graphicData uri="http://schemas.openxmlformats.org/drawingml/2006/picture">
                <pic:pic>
                  <pic:nvPicPr>
                    <pic:cNvPr id="32" name="image51.png"/>
                    <pic:cNvPicPr/>
                  </pic:nvPicPr>
                  <pic:blipFill>
                    <a:blip r:embed="rId72" cstate="print"/>
                    <a:stretch>
                      <a:fillRect/>
                    </a:stretch>
                  </pic:blipFill>
                  <pic:spPr>
                    <a:xfrm>
                      <a:off x="0" y="0"/>
                      <a:ext cx="5455907" cy="5381625"/>
                    </a:xfrm>
                    <a:prstGeom prst="rect">
                      <a:avLst/>
                    </a:prstGeom>
                  </pic:spPr>
                </pic:pic>
              </a:graphicData>
            </a:graphic>
          </wp:anchor>
        </w:drawing>
      </w:r>
    </w:p>
    <w:p>
      <w:pPr>
        <w:spacing w:after="0"/>
        <w:rPr>
          <w:rFonts w:ascii="Calibri"/>
          <w:sz w:val="14"/>
        </w:rPr>
        <w:sectPr>
          <w:footerReference w:type="default" r:id="rId71"/>
          <w:pgSz w:w="12240" w:h="15840"/>
          <w:pgMar w:footer="0" w:header="0" w:top="640" w:bottom="280" w:left="700" w:right="0"/>
        </w:sectPr>
      </w:pPr>
    </w:p>
    <w:p>
      <w:pPr>
        <w:pStyle w:val="Heading1"/>
        <w:spacing w:before="102"/>
        <w:ind w:left="2028"/>
      </w:pPr>
      <w:r>
        <w:rPr/>
        <w:pict>
          <v:group style="position:absolute;margin-left:-.5pt;margin-top:.45pt;width:612.25pt;height:52.3pt;mso-position-horizontal-relative:page;mso-position-vertical-relative:page;z-index:-19960832" id="docshapegroup299" coordorigin="-10,9" coordsize="12245,1046">
            <v:shape style="position:absolute;left:-10;top:9;width:7087;height:1046" type="#_x0000_t75" id="docshape300" stroked="false">
              <v:imagedata r:id="rId74" o:title=""/>
            </v:shape>
            <v:rect style="position:absolute;left:7078;top:19;width:5147;height:547" id="docshape301" filled="true" fillcolor="#eab9a4" stroked="false">
              <v:fill type="solid"/>
            </v:rect>
            <v:rect style="position:absolute;left:7078;top:19;width:5147;height:547" id="docshape302" filled="false" stroked="true" strokeweight="1pt" strokecolor="#eab9a4">
              <v:stroke dashstyle="solid"/>
            </v:rect>
            <v:shape style="position:absolute;left:5650;top:31;width:2820;height:1013" id="docshape303" coordorigin="5651,31" coordsize="2820,1013" path="m8471,31l6766,31,5651,1043,7356,1043,8471,31xe" filled="true" fillcolor="#eab9a4" stroked="false">
              <v:path arrowok="t"/>
              <v:fill type="solid"/>
            </v:shape>
            <v:shape style="position:absolute;left:5650;top:31;width:2820;height:1013" id="docshape304" coordorigin="5651,31" coordsize="2820,1013" path="m5651,1043l6766,31,8471,31,7356,1043,5651,1043xe" filled="false" stroked="true" strokeweight="1pt" strokecolor="#eab9a4">
              <v:path arrowok="t"/>
              <v:stroke dashstyle="solid"/>
            </v:shape>
            <w10:wrap type="none"/>
          </v:group>
        </w:pict>
      </w:r>
      <w:r>
        <w:rPr>
          <w:color w:val="FFFFFF"/>
        </w:rPr>
        <w:t>11.</w:t>
      </w:r>
      <w:r>
        <w:rPr>
          <w:color w:val="FFFFFF"/>
          <w:spacing w:val="-1"/>
        </w:rPr>
        <w:t> </w:t>
      </w:r>
      <w:r>
        <w:rPr>
          <w:color w:val="FFFFFF"/>
          <w:spacing w:val="-2"/>
        </w:rPr>
        <w:t>Kultura</w:t>
      </w:r>
    </w:p>
    <w:p>
      <w:pPr>
        <w:pStyle w:val="BodyText"/>
        <w:rPr>
          <w:b/>
          <w:sz w:val="20"/>
        </w:rPr>
      </w:pPr>
    </w:p>
    <w:p>
      <w:pPr>
        <w:pStyle w:val="BodyText"/>
        <w:rPr>
          <w:b/>
          <w:sz w:val="20"/>
        </w:rPr>
      </w:pPr>
    </w:p>
    <w:p>
      <w:pPr>
        <w:pStyle w:val="BodyText"/>
        <w:rPr>
          <w:b/>
          <w:sz w:val="20"/>
        </w:rPr>
      </w:pPr>
    </w:p>
    <w:p>
      <w:pPr>
        <w:pStyle w:val="BodyText"/>
        <w:spacing w:before="6"/>
        <w:rPr>
          <w:b/>
          <w:sz w:val="16"/>
        </w:rPr>
      </w:pPr>
    </w:p>
    <w:p>
      <w:pPr>
        <w:pStyle w:val="BodyText"/>
        <w:spacing w:before="90"/>
        <w:ind w:left="740" w:right="1463" w:firstLine="60"/>
        <w:jc w:val="both"/>
      </w:pPr>
      <w:r>
        <w:rPr/>
        <w:t>Në komunën e Hanit të Elezit funksionon qendra kulturore „Imri Curri“, ku në këtë qendër janë të</w:t>
      </w:r>
      <w:r>
        <w:rPr>
          <w:spacing w:val="-15"/>
        </w:rPr>
        <w:t> </w:t>
      </w:r>
      <w:r>
        <w:rPr/>
        <w:t>përfshira</w:t>
      </w:r>
      <w:r>
        <w:rPr>
          <w:spacing w:val="-15"/>
        </w:rPr>
        <w:t> </w:t>
      </w:r>
      <w:r>
        <w:rPr/>
        <w:t>salla</w:t>
      </w:r>
      <w:r>
        <w:rPr>
          <w:spacing w:val="-15"/>
        </w:rPr>
        <w:t> </w:t>
      </w:r>
      <w:r>
        <w:rPr/>
        <w:t>kryesore</w:t>
      </w:r>
      <w:r>
        <w:rPr>
          <w:spacing w:val="-15"/>
        </w:rPr>
        <w:t> </w:t>
      </w:r>
      <w:r>
        <w:rPr/>
        <w:t>për</w:t>
      </w:r>
      <w:r>
        <w:rPr>
          <w:spacing w:val="-15"/>
        </w:rPr>
        <w:t> </w:t>
      </w:r>
      <w:r>
        <w:rPr/>
        <w:t>organizimin</w:t>
      </w:r>
      <w:r>
        <w:rPr>
          <w:spacing w:val="-15"/>
        </w:rPr>
        <w:t> </w:t>
      </w:r>
      <w:r>
        <w:rPr/>
        <w:t>e</w:t>
      </w:r>
      <w:r>
        <w:rPr>
          <w:spacing w:val="-15"/>
        </w:rPr>
        <w:t> </w:t>
      </w:r>
      <w:r>
        <w:rPr/>
        <w:t>manifestimeve</w:t>
      </w:r>
      <w:r>
        <w:rPr>
          <w:spacing w:val="-15"/>
        </w:rPr>
        <w:t> </w:t>
      </w:r>
      <w:r>
        <w:rPr/>
        <w:t>të</w:t>
      </w:r>
      <w:r>
        <w:rPr>
          <w:spacing w:val="-15"/>
        </w:rPr>
        <w:t> </w:t>
      </w:r>
      <w:r>
        <w:rPr/>
        <w:t>ndryshme</w:t>
      </w:r>
      <w:r>
        <w:rPr>
          <w:spacing w:val="-15"/>
        </w:rPr>
        <w:t> </w:t>
      </w:r>
      <w:r>
        <w:rPr/>
        <w:t>kulturore</w:t>
      </w:r>
      <w:r>
        <w:rPr>
          <w:spacing w:val="-15"/>
        </w:rPr>
        <w:t> </w:t>
      </w:r>
      <w:r>
        <w:rPr/>
        <w:t>si:</w:t>
      </w:r>
      <w:r>
        <w:rPr>
          <w:spacing w:val="-15"/>
        </w:rPr>
        <w:t> </w:t>
      </w:r>
      <w:r>
        <w:rPr/>
        <w:t>manifesitime përkujtimore,</w:t>
      </w:r>
      <w:r>
        <w:rPr>
          <w:spacing w:val="-9"/>
        </w:rPr>
        <w:t> </w:t>
      </w:r>
      <w:r>
        <w:rPr/>
        <w:t>shfaqje</w:t>
      </w:r>
      <w:r>
        <w:rPr>
          <w:spacing w:val="-9"/>
        </w:rPr>
        <w:t> </w:t>
      </w:r>
      <w:r>
        <w:rPr/>
        <w:t>teatrale</w:t>
      </w:r>
      <w:r>
        <w:rPr>
          <w:spacing w:val="-8"/>
        </w:rPr>
        <w:t> </w:t>
      </w:r>
      <w:r>
        <w:rPr/>
        <w:t>dhe</w:t>
      </w:r>
      <w:r>
        <w:rPr>
          <w:spacing w:val="-8"/>
        </w:rPr>
        <w:t> </w:t>
      </w:r>
      <w:r>
        <w:rPr/>
        <w:t>koncerte</w:t>
      </w:r>
      <w:r>
        <w:rPr>
          <w:spacing w:val="-9"/>
        </w:rPr>
        <w:t> </w:t>
      </w:r>
      <w:r>
        <w:rPr/>
        <w:t>të</w:t>
      </w:r>
      <w:r>
        <w:rPr>
          <w:spacing w:val="-9"/>
        </w:rPr>
        <w:t> </w:t>
      </w:r>
      <w:r>
        <w:rPr/>
        <w:t>ndryshme.</w:t>
      </w:r>
      <w:r>
        <w:rPr>
          <w:spacing w:val="-9"/>
        </w:rPr>
        <w:t> </w:t>
      </w:r>
      <w:r>
        <w:rPr/>
        <w:t>Poashtu</w:t>
      </w:r>
      <w:r>
        <w:rPr>
          <w:spacing w:val="-8"/>
        </w:rPr>
        <w:t> </w:t>
      </w:r>
      <w:r>
        <w:rPr/>
        <w:t>në</w:t>
      </w:r>
      <w:r>
        <w:rPr>
          <w:spacing w:val="-8"/>
        </w:rPr>
        <w:t> </w:t>
      </w:r>
      <w:r>
        <w:rPr/>
        <w:t>objekt</w:t>
      </w:r>
      <w:r>
        <w:rPr>
          <w:spacing w:val="-8"/>
        </w:rPr>
        <w:t> </w:t>
      </w:r>
      <w:r>
        <w:rPr/>
        <w:t>gjinden</w:t>
      </w:r>
      <w:r>
        <w:rPr>
          <w:spacing w:val="-10"/>
        </w:rPr>
        <w:t> </w:t>
      </w:r>
      <w:r>
        <w:rPr/>
        <w:t>edhe</w:t>
      </w:r>
      <w:r>
        <w:rPr>
          <w:spacing w:val="-8"/>
        </w:rPr>
        <w:t> </w:t>
      </w:r>
      <w:r>
        <w:rPr/>
        <w:t>sallat</w:t>
      </w:r>
      <w:r>
        <w:rPr>
          <w:spacing w:val="-8"/>
        </w:rPr>
        <w:t> </w:t>
      </w:r>
      <w:r>
        <w:rPr/>
        <w:t>për takime dhe aktivite të tjera, bibloteka e qytetit me një kapacitet të mjaftueshëm të librave, është funksionale</w:t>
      </w:r>
      <w:r>
        <w:rPr>
          <w:spacing w:val="-5"/>
        </w:rPr>
        <w:t> </w:t>
      </w:r>
      <w:r>
        <w:rPr/>
        <w:t>edhe</w:t>
      </w:r>
      <w:r>
        <w:rPr>
          <w:spacing w:val="-4"/>
        </w:rPr>
        <w:t> </w:t>
      </w:r>
      <w:r>
        <w:rPr/>
        <w:t>këndi</w:t>
      </w:r>
      <w:r>
        <w:rPr>
          <w:spacing w:val="-5"/>
        </w:rPr>
        <w:t> </w:t>
      </w:r>
      <w:r>
        <w:rPr/>
        <w:t>për</w:t>
      </w:r>
      <w:r>
        <w:rPr>
          <w:spacing w:val="-4"/>
        </w:rPr>
        <w:t> </w:t>
      </w:r>
      <w:r>
        <w:rPr/>
        <w:t>ekspozita</w:t>
      </w:r>
      <w:r>
        <w:rPr>
          <w:spacing w:val="-5"/>
        </w:rPr>
        <w:t> </w:t>
      </w:r>
      <w:r>
        <w:rPr/>
        <w:t>(piktura,</w:t>
      </w:r>
      <w:r>
        <w:rPr>
          <w:spacing w:val="-4"/>
        </w:rPr>
        <w:t> </w:t>
      </w:r>
      <w:r>
        <w:rPr/>
        <w:t>veshje</w:t>
      </w:r>
      <w:r>
        <w:rPr>
          <w:spacing w:val="-4"/>
        </w:rPr>
        <w:t> </w:t>
      </w:r>
      <w:r>
        <w:rPr/>
        <w:t>tradicionale,</w:t>
      </w:r>
      <w:r>
        <w:rPr>
          <w:spacing w:val="-4"/>
        </w:rPr>
        <w:t> </w:t>
      </w:r>
      <w:r>
        <w:rPr/>
        <w:t>traditat</w:t>
      </w:r>
      <w:r>
        <w:rPr>
          <w:spacing w:val="-5"/>
        </w:rPr>
        <w:t> </w:t>
      </w:r>
      <w:r>
        <w:rPr/>
        <w:t>popullore,</w:t>
      </w:r>
      <w:r>
        <w:rPr>
          <w:spacing w:val="-4"/>
        </w:rPr>
        <w:t> </w:t>
      </w:r>
      <w:r>
        <w:rPr/>
        <w:t>monomente të lashta të gjetura në trevat komunës). Në kuadër të aktiviteve kulturore është edhe Shoqëria Kulturore Artistike SHKA”Sharri”, e formuar më 1974, e që janë pjesëmarrës në pothuajse çdo aktivitet duke sjellë një laramani të këngëve dhe valleve të bukura tradicionale.</w:t>
      </w:r>
    </w:p>
    <w:p>
      <w:pPr>
        <w:pStyle w:val="BodyText"/>
        <w:spacing w:before="11"/>
        <w:rPr>
          <w:sz w:val="20"/>
        </w:rPr>
      </w:pPr>
    </w:p>
    <w:p>
      <w:pPr>
        <w:pStyle w:val="Heading2"/>
        <w:numPr>
          <w:ilvl w:val="1"/>
          <w:numId w:val="12"/>
        </w:numPr>
        <w:tabs>
          <w:tab w:pos="1370" w:val="left" w:leader="none"/>
          <w:tab w:pos="10104" w:val="left" w:leader="none"/>
        </w:tabs>
        <w:spacing w:line="240" w:lineRule="auto" w:before="0" w:after="0"/>
        <w:ind w:left="1370" w:right="0" w:hanging="570"/>
        <w:jc w:val="both"/>
        <w:rPr>
          <w:color w:val="FFFFFF"/>
        </w:rPr>
      </w:pPr>
      <w:r>
        <w:rPr>
          <w:color w:val="FFFFFF"/>
          <w:spacing w:val="-2"/>
          <w:shd w:fill="EAB8A3" w:color="auto" w:val="clear"/>
        </w:rPr>
        <w:t>Sporti</w:t>
      </w:r>
      <w:r>
        <w:rPr>
          <w:color w:val="FFFFFF"/>
          <w:shd w:fill="EAB8A3" w:color="auto" w:val="clear"/>
        </w:rPr>
        <w:tab/>
      </w:r>
    </w:p>
    <w:p>
      <w:pPr>
        <w:pStyle w:val="BodyText"/>
        <w:spacing w:before="3"/>
        <w:rPr>
          <w:b/>
        </w:rPr>
      </w:pPr>
    </w:p>
    <w:p>
      <w:pPr>
        <w:pStyle w:val="BodyText"/>
        <w:ind w:left="740" w:right="1522"/>
        <w:jc w:val="both"/>
      </w:pPr>
      <w:r>
        <w:rPr/>
        <w:t>Në</w:t>
      </w:r>
      <w:r>
        <w:rPr>
          <w:spacing w:val="-4"/>
        </w:rPr>
        <w:t> </w:t>
      </w:r>
      <w:r>
        <w:rPr/>
        <w:t>komunën</w:t>
      </w:r>
      <w:r>
        <w:rPr>
          <w:spacing w:val="-3"/>
        </w:rPr>
        <w:t> </w:t>
      </w:r>
      <w:r>
        <w:rPr/>
        <w:t>e</w:t>
      </w:r>
      <w:r>
        <w:rPr>
          <w:spacing w:val="-3"/>
        </w:rPr>
        <w:t> </w:t>
      </w:r>
      <w:r>
        <w:rPr/>
        <w:t>Hanit</w:t>
      </w:r>
      <w:r>
        <w:rPr>
          <w:spacing w:val="-4"/>
        </w:rPr>
        <w:t> </w:t>
      </w:r>
      <w:r>
        <w:rPr/>
        <w:t>të</w:t>
      </w:r>
      <w:r>
        <w:rPr>
          <w:spacing w:val="-4"/>
        </w:rPr>
        <w:t> </w:t>
      </w:r>
      <w:r>
        <w:rPr/>
        <w:t>Elezit</w:t>
      </w:r>
      <w:r>
        <w:rPr>
          <w:spacing w:val="-3"/>
        </w:rPr>
        <w:t> </w:t>
      </w:r>
      <w:r>
        <w:rPr/>
        <w:t>ekzistojnë</w:t>
      </w:r>
      <w:r>
        <w:rPr>
          <w:spacing w:val="-3"/>
        </w:rPr>
        <w:t> </w:t>
      </w:r>
      <w:r>
        <w:rPr/>
        <w:t>klubet</w:t>
      </w:r>
      <w:r>
        <w:rPr>
          <w:spacing w:val="-3"/>
        </w:rPr>
        <w:t> </w:t>
      </w:r>
      <w:r>
        <w:rPr/>
        <w:t>sportive</w:t>
      </w:r>
      <w:r>
        <w:rPr>
          <w:spacing w:val="-3"/>
        </w:rPr>
        <w:t> </w:t>
      </w:r>
      <w:r>
        <w:rPr/>
        <w:t>si</w:t>
      </w:r>
      <w:r>
        <w:rPr>
          <w:spacing w:val="-3"/>
        </w:rPr>
        <w:t> </w:t>
      </w:r>
      <w:r>
        <w:rPr/>
        <w:t>Klubi</w:t>
      </w:r>
      <w:r>
        <w:rPr>
          <w:spacing w:val="-3"/>
        </w:rPr>
        <w:t> </w:t>
      </w:r>
      <w:r>
        <w:rPr/>
        <w:t>i</w:t>
      </w:r>
      <w:r>
        <w:rPr>
          <w:spacing w:val="-3"/>
        </w:rPr>
        <w:t> </w:t>
      </w:r>
      <w:r>
        <w:rPr/>
        <w:t>Futbollit</w:t>
      </w:r>
      <w:r>
        <w:rPr>
          <w:spacing w:val="-3"/>
        </w:rPr>
        <w:t> </w:t>
      </w:r>
      <w:r>
        <w:rPr/>
        <w:t>“Sharri”</w:t>
      </w:r>
      <w:r>
        <w:rPr>
          <w:spacing w:val="-3"/>
        </w:rPr>
        <w:t> </w:t>
      </w:r>
      <w:r>
        <w:rPr/>
        <w:t>për</w:t>
      </w:r>
      <w:r>
        <w:rPr>
          <w:spacing w:val="-3"/>
        </w:rPr>
        <w:t> </w:t>
      </w:r>
      <w:r>
        <w:rPr/>
        <w:t>të</w:t>
      </w:r>
      <w:r>
        <w:rPr>
          <w:spacing w:val="-3"/>
        </w:rPr>
        <w:t> </w:t>
      </w:r>
      <w:r>
        <w:rPr/>
        <w:t>gjitha grup moshat që merr pjesë në garat e organizuara nga Federata e Futbollit të Kosovës.</w:t>
      </w:r>
    </w:p>
    <w:p>
      <w:pPr>
        <w:pStyle w:val="BodyText"/>
        <w:spacing w:before="4"/>
      </w:pPr>
    </w:p>
    <w:p>
      <w:pPr>
        <w:pStyle w:val="BodyText"/>
        <w:ind w:left="740" w:right="1476"/>
      </w:pPr>
      <w:r>
        <w:rPr/>
        <w:t>Klubi</w:t>
      </w:r>
      <w:r>
        <w:rPr>
          <w:spacing w:val="-4"/>
        </w:rPr>
        <w:t> </w:t>
      </w:r>
      <w:r>
        <w:rPr/>
        <w:t>i</w:t>
      </w:r>
      <w:r>
        <w:rPr>
          <w:spacing w:val="-3"/>
        </w:rPr>
        <w:t> </w:t>
      </w:r>
      <w:r>
        <w:rPr/>
        <w:t>mundjes</w:t>
      </w:r>
      <w:r>
        <w:rPr>
          <w:spacing w:val="-3"/>
        </w:rPr>
        <w:t> </w:t>
      </w:r>
      <w:r>
        <w:rPr/>
        <w:t>“Dardania”</w:t>
      </w:r>
      <w:r>
        <w:rPr>
          <w:spacing w:val="-3"/>
        </w:rPr>
        <w:t> </w:t>
      </w:r>
      <w:r>
        <w:rPr/>
        <w:t>i</w:t>
      </w:r>
      <w:r>
        <w:rPr>
          <w:spacing w:val="-4"/>
        </w:rPr>
        <w:t> </w:t>
      </w:r>
      <w:r>
        <w:rPr/>
        <w:t>cili</w:t>
      </w:r>
      <w:r>
        <w:rPr>
          <w:spacing w:val="-3"/>
        </w:rPr>
        <w:t> </w:t>
      </w:r>
      <w:r>
        <w:rPr/>
        <w:t>merre</w:t>
      </w:r>
      <w:r>
        <w:rPr>
          <w:spacing w:val="-3"/>
        </w:rPr>
        <w:t> </w:t>
      </w:r>
      <w:r>
        <w:rPr/>
        <w:t>pjesë</w:t>
      </w:r>
      <w:r>
        <w:rPr>
          <w:spacing w:val="-3"/>
        </w:rPr>
        <w:t> </w:t>
      </w:r>
      <w:r>
        <w:rPr/>
        <w:t>në</w:t>
      </w:r>
      <w:r>
        <w:rPr>
          <w:spacing w:val="-4"/>
        </w:rPr>
        <w:t> </w:t>
      </w:r>
      <w:r>
        <w:rPr/>
        <w:t>garat</w:t>
      </w:r>
      <w:r>
        <w:rPr>
          <w:spacing w:val="-3"/>
        </w:rPr>
        <w:t> </w:t>
      </w:r>
      <w:r>
        <w:rPr/>
        <w:t>në</w:t>
      </w:r>
      <w:r>
        <w:rPr>
          <w:spacing w:val="-3"/>
        </w:rPr>
        <w:t> </w:t>
      </w:r>
      <w:r>
        <w:rPr/>
        <w:t>Kosovë</w:t>
      </w:r>
      <w:r>
        <w:rPr>
          <w:spacing w:val="-3"/>
        </w:rPr>
        <w:t> </w:t>
      </w:r>
      <w:r>
        <w:rPr/>
        <w:t>dhe</w:t>
      </w:r>
      <w:r>
        <w:rPr>
          <w:spacing w:val="-3"/>
        </w:rPr>
        <w:t> </w:t>
      </w:r>
      <w:r>
        <w:rPr/>
        <w:t>jashtë</w:t>
      </w:r>
      <w:r>
        <w:rPr>
          <w:spacing w:val="-3"/>
        </w:rPr>
        <w:t> </w:t>
      </w:r>
      <w:r>
        <w:rPr/>
        <w:t>saj.</w:t>
      </w:r>
      <w:r>
        <w:rPr>
          <w:spacing w:val="-3"/>
        </w:rPr>
        <w:t> </w:t>
      </w:r>
      <w:r>
        <w:rPr/>
        <w:t>Më</w:t>
      </w:r>
      <w:r>
        <w:rPr>
          <w:spacing w:val="-4"/>
        </w:rPr>
        <w:t> </w:t>
      </w:r>
      <w:r>
        <w:rPr/>
        <w:t>herët</w:t>
      </w:r>
      <w:r>
        <w:rPr>
          <w:spacing w:val="-3"/>
        </w:rPr>
        <w:t> </w:t>
      </w:r>
      <w:r>
        <w:rPr/>
        <w:t>por edhe tani, ka pasur mundës të suksesshëm që kanë fituar medalje të arta në nivel vendi edhe medalje ndërkombëtare.</w:t>
      </w:r>
    </w:p>
    <w:p>
      <w:pPr>
        <w:pStyle w:val="BodyText"/>
        <w:spacing w:before="5"/>
      </w:pPr>
    </w:p>
    <w:p>
      <w:pPr>
        <w:pStyle w:val="BodyText"/>
        <w:ind w:left="740"/>
      </w:pPr>
      <w:r>
        <w:rPr/>
        <w:t>Gjithashtu</w:t>
      </w:r>
      <w:r>
        <w:rPr>
          <w:spacing w:val="-2"/>
        </w:rPr>
        <w:t> </w:t>
      </w:r>
      <w:r>
        <w:rPr/>
        <w:t>edhe</w:t>
      </w:r>
      <w:r>
        <w:rPr>
          <w:spacing w:val="-2"/>
        </w:rPr>
        <w:t> </w:t>
      </w:r>
      <w:r>
        <w:rPr/>
        <w:t>është</w:t>
      </w:r>
      <w:r>
        <w:rPr>
          <w:spacing w:val="-2"/>
        </w:rPr>
        <w:t> </w:t>
      </w:r>
      <w:r>
        <w:rPr/>
        <w:t>e</w:t>
      </w:r>
      <w:r>
        <w:rPr>
          <w:spacing w:val="-3"/>
        </w:rPr>
        <w:t> </w:t>
      </w:r>
      <w:r>
        <w:rPr/>
        <w:t>organizuar</w:t>
      </w:r>
      <w:r>
        <w:rPr>
          <w:spacing w:val="-2"/>
        </w:rPr>
        <w:t> </w:t>
      </w:r>
      <w:r>
        <w:rPr/>
        <w:t>edhe</w:t>
      </w:r>
      <w:r>
        <w:rPr>
          <w:spacing w:val="-2"/>
        </w:rPr>
        <w:t> </w:t>
      </w:r>
      <w:r>
        <w:rPr/>
        <w:t>Klubi</w:t>
      </w:r>
      <w:r>
        <w:rPr>
          <w:spacing w:val="-1"/>
        </w:rPr>
        <w:t> </w:t>
      </w:r>
      <w:r>
        <w:rPr/>
        <w:t>i</w:t>
      </w:r>
      <w:r>
        <w:rPr>
          <w:spacing w:val="-3"/>
        </w:rPr>
        <w:t> </w:t>
      </w:r>
      <w:r>
        <w:rPr/>
        <w:t>Volejbollit</w:t>
      </w:r>
      <w:r>
        <w:rPr>
          <w:spacing w:val="-2"/>
        </w:rPr>
        <w:t> </w:t>
      </w:r>
      <w:r>
        <w:rPr/>
        <w:t>“Sharri</w:t>
      </w:r>
      <w:r>
        <w:rPr>
          <w:spacing w:val="-2"/>
        </w:rPr>
        <w:t> </w:t>
      </w:r>
      <w:r>
        <w:rPr/>
        <w:t>për</w:t>
      </w:r>
      <w:r>
        <w:rPr>
          <w:spacing w:val="-2"/>
        </w:rPr>
        <w:t> </w:t>
      </w:r>
      <w:r>
        <w:rPr/>
        <w:t>gjininë</w:t>
      </w:r>
      <w:r>
        <w:rPr>
          <w:spacing w:val="-2"/>
        </w:rPr>
        <w:t> femërore.</w:t>
      </w:r>
    </w:p>
    <w:p>
      <w:pPr>
        <w:pStyle w:val="BodyText"/>
        <w:spacing w:before="3"/>
      </w:pPr>
    </w:p>
    <w:p>
      <w:pPr>
        <w:pStyle w:val="BodyText"/>
        <w:spacing w:before="1"/>
        <w:ind w:left="740" w:right="1435" w:firstLine="60"/>
      </w:pPr>
      <w:r>
        <w:rPr/>
        <w:t>Komuna</w:t>
      </w:r>
      <w:r>
        <w:rPr>
          <w:spacing w:val="-4"/>
        </w:rPr>
        <w:t> </w:t>
      </w:r>
      <w:r>
        <w:rPr/>
        <w:t>jonë</w:t>
      </w:r>
      <w:r>
        <w:rPr>
          <w:spacing w:val="-3"/>
        </w:rPr>
        <w:t> </w:t>
      </w:r>
      <w:r>
        <w:rPr/>
        <w:t>ka</w:t>
      </w:r>
      <w:r>
        <w:rPr>
          <w:spacing w:val="-3"/>
        </w:rPr>
        <w:t> </w:t>
      </w:r>
      <w:r>
        <w:rPr/>
        <w:t>3(tri)</w:t>
      </w:r>
      <w:r>
        <w:rPr>
          <w:spacing w:val="-3"/>
        </w:rPr>
        <w:t> </w:t>
      </w:r>
      <w:r>
        <w:rPr/>
        <w:t>salla</w:t>
      </w:r>
      <w:r>
        <w:rPr>
          <w:spacing w:val="-4"/>
        </w:rPr>
        <w:t> </w:t>
      </w:r>
      <w:r>
        <w:rPr/>
        <w:t>sportive.</w:t>
      </w:r>
      <w:r>
        <w:rPr>
          <w:spacing w:val="-3"/>
        </w:rPr>
        <w:t> </w:t>
      </w:r>
      <w:r>
        <w:rPr/>
        <w:t>Një</w:t>
      </w:r>
      <w:r>
        <w:rPr>
          <w:spacing w:val="-4"/>
        </w:rPr>
        <w:t> </w:t>
      </w:r>
      <w:r>
        <w:rPr/>
        <w:t>në</w:t>
      </w:r>
      <w:r>
        <w:rPr>
          <w:spacing w:val="-3"/>
        </w:rPr>
        <w:t> </w:t>
      </w:r>
      <w:r>
        <w:rPr/>
        <w:t>Han</w:t>
      </w:r>
      <w:r>
        <w:rPr>
          <w:spacing w:val="-4"/>
        </w:rPr>
        <w:t> </w:t>
      </w:r>
      <w:r>
        <w:rPr/>
        <w:t>të</w:t>
      </w:r>
      <w:r>
        <w:rPr>
          <w:spacing w:val="-3"/>
        </w:rPr>
        <w:t> </w:t>
      </w:r>
      <w:r>
        <w:rPr/>
        <w:t>Elezit</w:t>
      </w:r>
      <w:r>
        <w:rPr>
          <w:spacing w:val="-4"/>
        </w:rPr>
        <w:t> </w:t>
      </w:r>
      <w:r>
        <w:rPr/>
        <w:t>tek</w:t>
      </w:r>
      <w:r>
        <w:rPr>
          <w:spacing w:val="-3"/>
        </w:rPr>
        <w:t> </w:t>
      </w:r>
      <w:r>
        <w:rPr/>
        <w:t>SHFMU</w:t>
      </w:r>
      <w:r>
        <w:rPr>
          <w:spacing w:val="-4"/>
        </w:rPr>
        <w:t> </w:t>
      </w:r>
      <w:r>
        <w:rPr/>
        <w:t>“Ilaz</w:t>
      </w:r>
      <w:r>
        <w:rPr>
          <w:spacing w:val="-3"/>
        </w:rPr>
        <w:t> </w:t>
      </w:r>
      <w:r>
        <w:rPr/>
        <w:t>Thaçi''.</w:t>
      </w:r>
      <w:r>
        <w:rPr>
          <w:spacing w:val="-4"/>
        </w:rPr>
        <w:t> </w:t>
      </w:r>
      <w:r>
        <w:rPr/>
        <w:t>Në</w:t>
      </w:r>
      <w:r>
        <w:rPr>
          <w:spacing w:val="-3"/>
        </w:rPr>
        <w:t> </w:t>
      </w:r>
      <w:r>
        <w:rPr/>
        <w:t>fshatin Gorancë tek SHFMU “Veli Ballazhi'', dhe në fshatin Paldenicë tek SHFMU “Kështjella e</w:t>
      </w:r>
    </w:p>
    <w:p>
      <w:pPr>
        <w:pStyle w:val="BodyText"/>
        <w:ind w:left="740" w:right="1435"/>
      </w:pPr>
      <w:r>
        <w:rPr/>
        <w:t>Diturisë''.</w:t>
      </w:r>
      <w:r>
        <w:rPr>
          <w:spacing w:val="-3"/>
        </w:rPr>
        <w:t> </w:t>
      </w:r>
      <w:r>
        <w:rPr/>
        <w:t>Gjithashtu</w:t>
      </w:r>
      <w:r>
        <w:rPr>
          <w:spacing w:val="-3"/>
        </w:rPr>
        <w:t> </w:t>
      </w:r>
      <w:r>
        <w:rPr/>
        <w:t>edhe</w:t>
      </w:r>
      <w:r>
        <w:rPr>
          <w:spacing w:val="-3"/>
        </w:rPr>
        <w:t> </w:t>
      </w:r>
      <w:r>
        <w:rPr/>
        <w:t>stadiumin</w:t>
      </w:r>
      <w:r>
        <w:rPr>
          <w:spacing w:val="-5"/>
        </w:rPr>
        <w:t> </w:t>
      </w:r>
      <w:r>
        <w:rPr/>
        <w:t>i</w:t>
      </w:r>
      <w:r>
        <w:rPr>
          <w:spacing w:val="-3"/>
        </w:rPr>
        <w:t> </w:t>
      </w:r>
      <w:r>
        <w:rPr/>
        <w:t>futbollit</w:t>
      </w:r>
      <w:r>
        <w:rPr>
          <w:spacing w:val="-3"/>
        </w:rPr>
        <w:t> </w:t>
      </w:r>
      <w:r>
        <w:rPr/>
        <w:t>“Suad</w:t>
      </w:r>
      <w:r>
        <w:rPr>
          <w:spacing w:val="-3"/>
        </w:rPr>
        <w:t> </w:t>
      </w:r>
      <w:r>
        <w:rPr/>
        <w:t>Brava”</w:t>
      </w:r>
      <w:r>
        <w:rPr>
          <w:spacing w:val="-4"/>
        </w:rPr>
        <w:t> </w:t>
      </w:r>
      <w:r>
        <w:rPr/>
        <w:t>ku</w:t>
      </w:r>
      <w:r>
        <w:rPr>
          <w:spacing w:val="-3"/>
        </w:rPr>
        <w:t> </w:t>
      </w:r>
      <w:r>
        <w:rPr/>
        <w:t>i</w:t>
      </w:r>
      <w:r>
        <w:rPr>
          <w:spacing w:val="-3"/>
        </w:rPr>
        <w:t> </w:t>
      </w:r>
      <w:r>
        <w:rPr/>
        <w:t>mban</w:t>
      </w:r>
      <w:r>
        <w:rPr>
          <w:spacing w:val="-3"/>
        </w:rPr>
        <w:t> </w:t>
      </w:r>
      <w:r>
        <w:rPr/>
        <w:t>aktivitet</w:t>
      </w:r>
      <w:r>
        <w:rPr>
          <w:spacing w:val="-3"/>
        </w:rPr>
        <w:t> </w:t>
      </w:r>
      <w:r>
        <w:rPr/>
        <w:t>Klubi</w:t>
      </w:r>
      <w:r>
        <w:rPr>
          <w:spacing w:val="-3"/>
        </w:rPr>
        <w:t> </w:t>
      </w:r>
      <w:r>
        <w:rPr/>
        <w:t>i</w:t>
      </w:r>
      <w:r>
        <w:rPr>
          <w:spacing w:val="-3"/>
        </w:rPr>
        <w:t> </w:t>
      </w:r>
      <w:r>
        <w:rPr/>
        <w:t>Futbollit </w:t>
      </w:r>
      <w:r>
        <w:rPr>
          <w:spacing w:val="-2"/>
        </w:rPr>
        <w:t>“Sharri”.</w:t>
      </w:r>
    </w:p>
    <w:p>
      <w:pPr>
        <w:pStyle w:val="BodyText"/>
        <w:spacing w:before="4"/>
      </w:pPr>
    </w:p>
    <w:p>
      <w:pPr>
        <w:pStyle w:val="BodyText"/>
        <w:ind w:left="740" w:right="1435"/>
      </w:pPr>
      <w:r>
        <w:rPr/>
        <w:t>Ekziston</w:t>
      </w:r>
      <w:r>
        <w:rPr>
          <w:spacing w:val="-3"/>
        </w:rPr>
        <w:t> </w:t>
      </w:r>
      <w:r>
        <w:rPr/>
        <w:t>edhe</w:t>
      </w:r>
      <w:r>
        <w:rPr>
          <w:spacing w:val="-3"/>
        </w:rPr>
        <w:t> </w:t>
      </w:r>
      <w:r>
        <w:rPr/>
        <w:t>një</w:t>
      </w:r>
      <w:r>
        <w:rPr>
          <w:spacing w:val="-3"/>
        </w:rPr>
        <w:t> </w:t>
      </w:r>
      <w:r>
        <w:rPr/>
        <w:t>fushë</w:t>
      </w:r>
      <w:r>
        <w:rPr>
          <w:spacing w:val="-4"/>
        </w:rPr>
        <w:t> </w:t>
      </w:r>
      <w:r>
        <w:rPr/>
        <w:t>sportive</w:t>
      </w:r>
      <w:r>
        <w:rPr>
          <w:spacing w:val="-3"/>
        </w:rPr>
        <w:t> </w:t>
      </w:r>
      <w:r>
        <w:rPr/>
        <w:t>private</w:t>
      </w:r>
      <w:r>
        <w:rPr>
          <w:spacing w:val="-3"/>
        </w:rPr>
        <w:t> </w:t>
      </w:r>
      <w:r>
        <w:rPr/>
        <w:t>e</w:t>
      </w:r>
      <w:r>
        <w:rPr>
          <w:spacing w:val="-4"/>
        </w:rPr>
        <w:t> </w:t>
      </w:r>
      <w:r>
        <w:rPr/>
        <w:t>mbuluar</w:t>
      </w:r>
      <w:r>
        <w:rPr>
          <w:spacing w:val="-3"/>
        </w:rPr>
        <w:t> </w:t>
      </w:r>
      <w:r>
        <w:rPr/>
        <w:t>e</w:t>
      </w:r>
      <w:r>
        <w:rPr>
          <w:spacing w:val="-3"/>
        </w:rPr>
        <w:t> </w:t>
      </w:r>
      <w:r>
        <w:rPr/>
        <w:t>futbollit</w:t>
      </w:r>
      <w:r>
        <w:rPr>
          <w:spacing w:val="-4"/>
        </w:rPr>
        <w:t> </w:t>
      </w:r>
      <w:r>
        <w:rPr/>
        <w:t>të</w:t>
      </w:r>
      <w:r>
        <w:rPr>
          <w:spacing w:val="-3"/>
        </w:rPr>
        <w:t> </w:t>
      </w:r>
      <w:r>
        <w:rPr/>
        <w:t>vogël</w:t>
      </w:r>
      <w:r>
        <w:rPr>
          <w:spacing w:val="-3"/>
        </w:rPr>
        <w:t> </w:t>
      </w:r>
      <w:r>
        <w:rPr/>
        <w:t>ku</w:t>
      </w:r>
      <w:r>
        <w:rPr>
          <w:spacing w:val="-3"/>
        </w:rPr>
        <w:t> </w:t>
      </w:r>
      <w:r>
        <w:rPr/>
        <w:t>rinia</w:t>
      </w:r>
      <w:r>
        <w:rPr>
          <w:spacing w:val="-3"/>
        </w:rPr>
        <w:t> </w:t>
      </w:r>
      <w:r>
        <w:rPr/>
        <w:t>dhe</w:t>
      </w:r>
      <w:r>
        <w:rPr>
          <w:spacing w:val="-3"/>
        </w:rPr>
        <w:t> </w:t>
      </w:r>
      <w:r>
        <w:rPr/>
        <w:t>moshat</w:t>
      </w:r>
      <w:r>
        <w:rPr>
          <w:spacing w:val="-2"/>
        </w:rPr>
        <w:t> </w:t>
      </w:r>
      <w:r>
        <w:rPr/>
        <w:t>tjera praktikoj lojën e futbollit te vogël.</w:t>
      </w:r>
    </w:p>
    <w:p>
      <w:pPr>
        <w:pStyle w:val="BodyText"/>
        <w:spacing w:before="4"/>
      </w:pPr>
    </w:p>
    <w:p>
      <w:pPr>
        <w:pStyle w:val="BodyText"/>
        <w:spacing w:before="1"/>
        <w:ind w:left="740" w:right="1435"/>
      </w:pPr>
      <w:r>
        <w:rPr/>
        <w:t>Kohët</w:t>
      </w:r>
      <w:r>
        <w:rPr>
          <w:spacing w:val="-3"/>
        </w:rPr>
        <w:t> </w:t>
      </w:r>
      <w:r>
        <w:rPr/>
        <w:t>e</w:t>
      </w:r>
      <w:r>
        <w:rPr>
          <w:spacing w:val="-3"/>
        </w:rPr>
        <w:t> </w:t>
      </w:r>
      <w:r>
        <w:rPr/>
        <w:t>fundit</w:t>
      </w:r>
      <w:r>
        <w:rPr>
          <w:spacing w:val="-3"/>
        </w:rPr>
        <w:t> </w:t>
      </w:r>
      <w:r>
        <w:rPr/>
        <w:t>ka</w:t>
      </w:r>
      <w:r>
        <w:rPr>
          <w:spacing w:val="-3"/>
        </w:rPr>
        <w:t> </w:t>
      </w:r>
      <w:r>
        <w:rPr/>
        <w:t>marrë</w:t>
      </w:r>
      <w:r>
        <w:rPr>
          <w:spacing w:val="-4"/>
        </w:rPr>
        <w:t> </w:t>
      </w:r>
      <w:r>
        <w:rPr/>
        <w:t>hov</w:t>
      </w:r>
      <w:r>
        <w:rPr>
          <w:spacing w:val="-3"/>
        </w:rPr>
        <w:t> </w:t>
      </w:r>
      <w:r>
        <w:rPr/>
        <w:t>edhe</w:t>
      </w:r>
      <w:r>
        <w:rPr>
          <w:spacing w:val="-3"/>
        </w:rPr>
        <w:t> </w:t>
      </w:r>
      <w:r>
        <w:rPr/>
        <w:t>sporti</w:t>
      </w:r>
      <w:r>
        <w:rPr>
          <w:spacing w:val="-3"/>
        </w:rPr>
        <w:t> </w:t>
      </w:r>
      <w:r>
        <w:rPr/>
        <w:t>i</w:t>
      </w:r>
      <w:r>
        <w:rPr>
          <w:spacing w:val="-3"/>
        </w:rPr>
        <w:t> </w:t>
      </w:r>
      <w:r>
        <w:rPr/>
        <w:t>bjeshkatarisë</w:t>
      </w:r>
      <w:r>
        <w:rPr>
          <w:spacing w:val="-3"/>
        </w:rPr>
        <w:t> </w:t>
      </w:r>
      <w:r>
        <w:rPr/>
        <w:t>me</w:t>
      </w:r>
      <w:r>
        <w:rPr>
          <w:spacing w:val="-3"/>
        </w:rPr>
        <w:t> </w:t>
      </w:r>
      <w:r>
        <w:rPr/>
        <w:t>Klubin</w:t>
      </w:r>
      <w:r>
        <w:rPr>
          <w:spacing w:val="-3"/>
        </w:rPr>
        <w:t> </w:t>
      </w:r>
      <w:r>
        <w:rPr/>
        <w:t>Alpin</w:t>
      </w:r>
      <w:r>
        <w:rPr>
          <w:spacing w:val="-3"/>
        </w:rPr>
        <w:t> </w:t>
      </w:r>
      <w:r>
        <w:rPr/>
        <w:t>të</w:t>
      </w:r>
      <w:r>
        <w:rPr>
          <w:spacing w:val="-3"/>
        </w:rPr>
        <w:t> </w:t>
      </w:r>
      <w:r>
        <w:rPr/>
        <w:t>Hanit</w:t>
      </w:r>
      <w:r>
        <w:rPr>
          <w:spacing w:val="-2"/>
        </w:rPr>
        <w:t> </w:t>
      </w:r>
      <w:r>
        <w:rPr/>
        <w:t>të</w:t>
      </w:r>
      <w:r>
        <w:rPr>
          <w:spacing w:val="-2"/>
        </w:rPr>
        <w:t> </w:t>
      </w:r>
      <w:r>
        <w:rPr/>
        <w:t>Elezit</w:t>
      </w:r>
      <w:r>
        <w:rPr>
          <w:spacing w:val="-3"/>
        </w:rPr>
        <w:t> </w:t>
      </w:r>
      <w:r>
        <w:rPr/>
        <w:t>(jo</w:t>
      </w:r>
      <w:r>
        <w:rPr>
          <w:spacing w:val="-4"/>
        </w:rPr>
        <w:t> </w:t>
      </w:r>
      <w:r>
        <w:rPr/>
        <w:t>i regjistruar). Ky klub është shumë aktiv me ecje gati të përjavshme. Rreth 10 ecje në vit organizohen nëpër bjeshkët e Hani të Elezit duke mbledhur bjeshkatarë nga shumë vend të Kosovës dhe Maqedonisë dhe duke promovuar trashëgiminë natyrore dhe kulturore të vendit.</w:t>
      </w:r>
    </w:p>
    <w:p>
      <w:pPr>
        <w:pStyle w:val="BodyText"/>
        <w:spacing w:before="3"/>
      </w:pPr>
    </w:p>
    <w:p>
      <w:pPr>
        <w:pStyle w:val="BodyText"/>
        <w:ind w:left="740" w:right="1435"/>
      </w:pPr>
      <w:r>
        <w:rPr/>
        <w:t>Të gjitha organizatat e lartpërmendura (përveç Klubit Alpin) janë të regjistruara si OJQ dhe funksionojnë</w:t>
      </w:r>
      <w:r>
        <w:rPr>
          <w:spacing w:val="-3"/>
        </w:rPr>
        <w:t> </w:t>
      </w:r>
      <w:r>
        <w:rPr/>
        <w:t>me</w:t>
      </w:r>
      <w:r>
        <w:rPr>
          <w:spacing w:val="-3"/>
        </w:rPr>
        <w:t> </w:t>
      </w:r>
      <w:r>
        <w:rPr/>
        <w:t>subvencione</w:t>
      </w:r>
      <w:r>
        <w:rPr>
          <w:spacing w:val="-3"/>
        </w:rPr>
        <w:t> </w:t>
      </w:r>
      <w:r>
        <w:rPr/>
        <w:t>vjetore</w:t>
      </w:r>
      <w:r>
        <w:rPr>
          <w:spacing w:val="-3"/>
        </w:rPr>
        <w:t> </w:t>
      </w:r>
      <w:r>
        <w:rPr/>
        <w:t>nga</w:t>
      </w:r>
      <w:r>
        <w:rPr>
          <w:spacing w:val="-3"/>
        </w:rPr>
        <w:t> </w:t>
      </w:r>
      <w:r>
        <w:rPr/>
        <w:t>qeveria</w:t>
      </w:r>
      <w:r>
        <w:rPr>
          <w:spacing w:val="-3"/>
        </w:rPr>
        <w:t> </w:t>
      </w:r>
      <w:r>
        <w:rPr/>
        <w:t>lokale</w:t>
      </w:r>
      <w:r>
        <w:rPr>
          <w:spacing w:val="-3"/>
        </w:rPr>
        <w:t> </w:t>
      </w:r>
      <w:r>
        <w:rPr/>
        <w:t>dhe</w:t>
      </w:r>
      <w:r>
        <w:rPr>
          <w:spacing w:val="-5"/>
        </w:rPr>
        <w:t> </w:t>
      </w:r>
      <w:r>
        <w:rPr/>
        <w:t>në</w:t>
      </w:r>
      <w:r>
        <w:rPr>
          <w:spacing w:val="-3"/>
        </w:rPr>
        <w:t> </w:t>
      </w:r>
      <w:r>
        <w:rPr/>
        <w:t>raste</w:t>
      </w:r>
      <w:r>
        <w:rPr>
          <w:spacing w:val="-3"/>
        </w:rPr>
        <w:t> </w:t>
      </w:r>
      <w:r>
        <w:rPr/>
        <w:t>të</w:t>
      </w:r>
      <w:r>
        <w:rPr>
          <w:spacing w:val="-3"/>
        </w:rPr>
        <w:t> </w:t>
      </w:r>
      <w:r>
        <w:rPr/>
        <w:t>caktuara</w:t>
      </w:r>
      <w:r>
        <w:rPr>
          <w:spacing w:val="-3"/>
        </w:rPr>
        <w:t> </w:t>
      </w:r>
      <w:r>
        <w:rPr/>
        <w:t>nga</w:t>
      </w:r>
      <w:r>
        <w:rPr>
          <w:spacing w:val="-5"/>
        </w:rPr>
        <w:t> </w:t>
      </w:r>
      <w:r>
        <w:rPr/>
        <w:t>organizata </w:t>
      </w:r>
      <w:r>
        <w:rPr>
          <w:spacing w:val="-2"/>
        </w:rPr>
        <w:t>tjera.</w:t>
      </w:r>
    </w:p>
    <w:p>
      <w:pPr>
        <w:pStyle w:val="BodyText"/>
        <w:spacing w:before="6"/>
        <w:rPr>
          <w:sz w:val="16"/>
        </w:rPr>
      </w:pPr>
    </w:p>
    <w:p>
      <w:pPr>
        <w:pStyle w:val="Heading2"/>
        <w:numPr>
          <w:ilvl w:val="1"/>
          <w:numId w:val="12"/>
        </w:numPr>
        <w:tabs>
          <w:tab w:pos="1370" w:val="left" w:leader="none"/>
          <w:tab w:pos="10131" w:val="left" w:leader="none"/>
        </w:tabs>
        <w:spacing w:line="240" w:lineRule="auto" w:before="90" w:after="0"/>
        <w:ind w:left="1370" w:right="0" w:hanging="570"/>
        <w:jc w:val="left"/>
        <w:rPr>
          <w:color w:val="FFFFFF"/>
        </w:rPr>
      </w:pPr>
      <w:r>
        <w:rPr>
          <w:color w:val="FFFFFF"/>
          <w:spacing w:val="-2"/>
          <w:shd w:fill="EAB8A3" w:color="auto" w:val="clear"/>
        </w:rPr>
        <w:t>Turizmi</w:t>
      </w:r>
      <w:r>
        <w:rPr>
          <w:color w:val="FFFFFF"/>
          <w:shd w:fill="EAB8A3" w:color="auto" w:val="clear"/>
        </w:rPr>
        <w:tab/>
      </w:r>
    </w:p>
    <w:p>
      <w:pPr>
        <w:pStyle w:val="BodyText"/>
        <w:spacing w:before="10"/>
        <w:rPr>
          <w:b/>
          <w:sz w:val="20"/>
        </w:rPr>
      </w:pPr>
    </w:p>
    <w:p>
      <w:pPr>
        <w:pStyle w:val="BodyText"/>
        <w:spacing w:line="288" w:lineRule="auto"/>
        <w:ind w:left="740" w:right="1435"/>
      </w:pPr>
      <w:r>
        <w:rPr/>
        <w:t>Për shkak të karakteristikave gjeografike të Hanit të Elezit, përveç trashëgimisë kulturore, trashëgimia natyrore reflekton me bukurinë e saj. Konfigurimi i terrenit, lumi Lepenc dhe peizazhet</w:t>
      </w:r>
      <w:r>
        <w:rPr>
          <w:spacing w:val="-3"/>
        </w:rPr>
        <w:t> </w:t>
      </w:r>
      <w:r>
        <w:rPr/>
        <w:t>natyrore</w:t>
      </w:r>
      <w:r>
        <w:rPr>
          <w:spacing w:val="-4"/>
        </w:rPr>
        <w:t> </w:t>
      </w:r>
      <w:r>
        <w:rPr/>
        <w:t>të</w:t>
      </w:r>
      <w:r>
        <w:rPr>
          <w:spacing w:val="-3"/>
        </w:rPr>
        <w:t> </w:t>
      </w:r>
      <w:r>
        <w:rPr/>
        <w:t>kombinuara</w:t>
      </w:r>
      <w:r>
        <w:rPr>
          <w:spacing w:val="-3"/>
        </w:rPr>
        <w:t> </w:t>
      </w:r>
      <w:r>
        <w:rPr/>
        <w:t>me</w:t>
      </w:r>
      <w:r>
        <w:rPr>
          <w:spacing w:val="-3"/>
        </w:rPr>
        <w:t> </w:t>
      </w:r>
      <w:r>
        <w:rPr/>
        <w:t>ndërtesat</w:t>
      </w:r>
      <w:r>
        <w:rPr>
          <w:spacing w:val="-4"/>
        </w:rPr>
        <w:t> </w:t>
      </w:r>
      <w:r>
        <w:rPr/>
        <w:t>tradicionale</w:t>
      </w:r>
      <w:r>
        <w:rPr>
          <w:spacing w:val="-3"/>
        </w:rPr>
        <w:t> </w:t>
      </w:r>
      <w:r>
        <w:rPr/>
        <w:t>të</w:t>
      </w:r>
      <w:r>
        <w:rPr>
          <w:spacing w:val="-3"/>
        </w:rPr>
        <w:t> </w:t>
      </w:r>
      <w:r>
        <w:rPr/>
        <w:t>banimit</w:t>
      </w:r>
      <w:r>
        <w:rPr>
          <w:spacing w:val="-3"/>
        </w:rPr>
        <w:t> </w:t>
      </w:r>
      <w:r>
        <w:rPr/>
        <w:t>përfaqësojnë</w:t>
      </w:r>
      <w:r>
        <w:rPr>
          <w:spacing w:val="-3"/>
        </w:rPr>
        <w:t> </w:t>
      </w:r>
      <w:r>
        <w:rPr/>
        <w:t>një</w:t>
      </w:r>
      <w:r>
        <w:rPr>
          <w:spacing w:val="-3"/>
        </w:rPr>
        <w:t> </w:t>
      </w:r>
      <w:r>
        <w:rPr/>
        <w:t>vlerë</w:t>
      </w:r>
      <w:r>
        <w:rPr>
          <w:spacing w:val="-3"/>
        </w:rPr>
        <w:t> </w:t>
      </w:r>
      <w:r>
        <w:rPr/>
        <w:t>të madhe që duhet trajtuar dhe mbrojtur.</w:t>
      </w:r>
      <w:r>
        <w:rPr>
          <w:spacing w:val="-2"/>
        </w:rPr>
        <w:t> </w:t>
      </w:r>
      <w:r>
        <w:rPr/>
        <w:t>Puset e Nikës janë një vendbanim</w:t>
      </w:r>
      <w:r>
        <w:rPr>
          <w:spacing w:val="-1"/>
        </w:rPr>
        <w:t> </w:t>
      </w:r>
      <w:r>
        <w:rPr/>
        <w:t>i</w:t>
      </w:r>
      <w:r>
        <w:rPr>
          <w:spacing w:val="-1"/>
        </w:rPr>
        <w:t> </w:t>
      </w:r>
      <w:r>
        <w:rPr/>
        <w:t>Hanit të Elezit, i cili cilësohet me shtëpi të vjetra banimi të ndërtuara sipas stilit arkitektonik autokton. Pikë tjetër referimi për vizitë në këtë vend janë edhe Varrezat e Dëshmorëve që cilësohet si njëri ndër</w:t>
      </w:r>
    </w:p>
    <w:p>
      <w:pPr>
        <w:spacing w:after="0" w:line="288" w:lineRule="auto"/>
        <w:sectPr>
          <w:footerReference w:type="default" r:id="rId73"/>
          <w:pgSz w:w="12240" w:h="15840"/>
          <w:pgMar w:footer="990" w:header="0" w:top="0" w:bottom="1180" w:left="700" w:right="0"/>
          <w:pgNumType w:start="51"/>
        </w:sectPr>
      </w:pPr>
    </w:p>
    <w:p>
      <w:pPr>
        <w:pStyle w:val="BodyText"/>
        <w:spacing w:line="288" w:lineRule="auto" w:before="60"/>
        <w:ind w:left="740" w:right="1481"/>
      </w:pPr>
      <w:r>
        <w:rPr/>
        <w:t>lokalitetet më të rëndësishme të vendit. Pjesa e vjetër e fabrikës së çimentos si dhe apartamentet e vjetra ngjitur saj, të ndërtuara në kohën e fillimit të zhvillimit industrial, janë vlerësuar si fondament i rëndësishëm që tregon identitetin e vërtetë të Hanit të Elezit andaj me rivitalizimin dhe adaptimin e tyre në një hapësirë për mundësi drejtë turizmit industrial do të shërbente si një pikë referimi për hulumtim të historisë dhe për zhvillim të turizmit. Parku Memorial Bllaca '99, është</w:t>
      </w:r>
      <w:r>
        <w:rPr>
          <w:spacing w:val="-2"/>
        </w:rPr>
        <w:t> </w:t>
      </w:r>
      <w:r>
        <w:rPr/>
        <w:t>pjesë</w:t>
      </w:r>
      <w:r>
        <w:rPr>
          <w:spacing w:val="-2"/>
        </w:rPr>
        <w:t> </w:t>
      </w:r>
      <w:r>
        <w:rPr/>
        <w:t>e</w:t>
      </w:r>
      <w:r>
        <w:rPr>
          <w:spacing w:val="-3"/>
        </w:rPr>
        <w:t> </w:t>
      </w:r>
      <w:r>
        <w:rPr/>
        <w:t>historisë</w:t>
      </w:r>
      <w:r>
        <w:rPr>
          <w:spacing w:val="-2"/>
        </w:rPr>
        <w:t> </w:t>
      </w:r>
      <w:r>
        <w:rPr/>
        <w:t>së</w:t>
      </w:r>
      <w:r>
        <w:rPr>
          <w:spacing w:val="-3"/>
        </w:rPr>
        <w:t> </w:t>
      </w:r>
      <w:r>
        <w:rPr/>
        <w:t>luftës</w:t>
      </w:r>
      <w:r>
        <w:rPr>
          <w:spacing w:val="-2"/>
        </w:rPr>
        <w:t> </w:t>
      </w:r>
      <w:r>
        <w:rPr/>
        <w:t>së</w:t>
      </w:r>
      <w:r>
        <w:rPr>
          <w:spacing w:val="-2"/>
        </w:rPr>
        <w:t> </w:t>
      </w:r>
      <w:r>
        <w:rPr/>
        <w:t>viteve</w:t>
      </w:r>
      <w:r>
        <w:rPr>
          <w:spacing w:val="-2"/>
        </w:rPr>
        <w:t> </w:t>
      </w:r>
      <w:r>
        <w:rPr/>
        <w:t>1999</w:t>
      </w:r>
      <w:r>
        <w:rPr>
          <w:spacing w:val="-2"/>
        </w:rPr>
        <w:t> </w:t>
      </w:r>
      <w:r>
        <w:rPr/>
        <w:t>të</w:t>
      </w:r>
      <w:r>
        <w:rPr>
          <w:spacing w:val="-3"/>
        </w:rPr>
        <w:t> </w:t>
      </w:r>
      <w:r>
        <w:rPr/>
        <w:t>Kosovës</w:t>
      </w:r>
      <w:r>
        <w:rPr>
          <w:spacing w:val="-2"/>
        </w:rPr>
        <w:t> </w:t>
      </w:r>
      <w:r>
        <w:rPr/>
        <w:t>dhe</w:t>
      </w:r>
      <w:r>
        <w:rPr>
          <w:spacing w:val="-2"/>
        </w:rPr>
        <w:t> </w:t>
      </w:r>
      <w:r>
        <w:rPr/>
        <w:t>pikë</w:t>
      </w:r>
      <w:r>
        <w:rPr>
          <w:spacing w:val="-2"/>
        </w:rPr>
        <w:t> </w:t>
      </w:r>
      <w:r>
        <w:rPr/>
        <w:t>referimi</w:t>
      </w:r>
      <w:r>
        <w:rPr>
          <w:spacing w:val="-2"/>
        </w:rPr>
        <w:t> </w:t>
      </w:r>
      <w:r>
        <w:rPr/>
        <w:t>e</w:t>
      </w:r>
      <w:r>
        <w:rPr>
          <w:spacing w:val="-2"/>
        </w:rPr>
        <w:t> </w:t>
      </w:r>
      <w:r>
        <w:rPr/>
        <w:t>çdo</w:t>
      </w:r>
      <w:r>
        <w:rPr>
          <w:spacing w:val="-2"/>
        </w:rPr>
        <w:t> </w:t>
      </w:r>
      <w:r>
        <w:rPr/>
        <w:t>personi</w:t>
      </w:r>
      <w:r>
        <w:rPr>
          <w:spacing w:val="-2"/>
        </w:rPr>
        <w:t> </w:t>
      </w:r>
      <w:r>
        <w:rPr/>
        <w:t>që</w:t>
      </w:r>
      <w:r>
        <w:rPr>
          <w:spacing w:val="-2"/>
        </w:rPr>
        <w:t> </w:t>
      </w:r>
      <w:r>
        <w:rPr/>
        <w:t>vjen në Han të Elezit me qëllim të vizitës së saj. Në këtë Qendër Përkujtimore gjendet "Muri i Harresës", një mozaik që simbolizon sakrificën e nënës shqiptare dhe treni muze me mbishkrimin Bllaca 99 si pjesë e kujtimeve të asaj kohe. Kjo hapësirë gjatë këtij viti u pasurua edhe me drunjë dekorativ, shtigje të ecjeve dhe sheshe. Planifikohet që shumë shpejt</w:t>
      </w:r>
      <w:r>
        <w:rPr>
          <w:spacing w:val="-1"/>
        </w:rPr>
        <w:t> </w:t>
      </w:r>
      <w:r>
        <w:rPr/>
        <w:t>të vendoset edhe një instalacion i një tende që pasqyron saktë vendin ku shqiptarët kishin qëndruar gjatë kohës së dëbimit</w:t>
      </w:r>
      <w:r>
        <w:rPr>
          <w:vertAlign w:val="superscript"/>
        </w:rPr>
        <w:t>19</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r>
        <w:rPr/>
        <w:pict>
          <v:rect style="position:absolute;margin-left:72pt;margin-top:15.292002pt;width:144.020pt;height:.66003pt;mso-position-horizontal-relative:page;mso-position-vertical-relative:paragraph;z-index:-15692800;mso-wrap-distance-left:0;mso-wrap-distance-right:0" id="docshape305"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19</w:t>
      </w:r>
      <w:r>
        <w:rPr>
          <w:rFonts w:ascii="Calibri" w:hAnsi="Calibri"/>
          <w:spacing w:val="-5"/>
          <w:sz w:val="20"/>
          <w:vertAlign w:val="baseline"/>
        </w:rPr>
        <w:t> </w:t>
      </w:r>
      <w:r>
        <w:rPr>
          <w:rFonts w:ascii="Calibri" w:hAnsi="Calibri"/>
          <w:sz w:val="20"/>
          <w:vertAlign w:val="baseline"/>
        </w:rPr>
        <w:t>Drejtoria</w:t>
      </w:r>
      <w:r>
        <w:rPr>
          <w:rFonts w:ascii="Calibri" w:hAnsi="Calibri"/>
          <w:spacing w:val="-5"/>
          <w:sz w:val="20"/>
          <w:vertAlign w:val="baseline"/>
        </w:rPr>
        <w:t> </w:t>
      </w:r>
      <w:r>
        <w:rPr>
          <w:rFonts w:ascii="Calibri" w:hAnsi="Calibri"/>
          <w:sz w:val="20"/>
          <w:vertAlign w:val="baseline"/>
        </w:rPr>
        <w:t>për</w:t>
      </w:r>
      <w:r>
        <w:rPr>
          <w:rFonts w:ascii="Calibri" w:hAnsi="Calibri"/>
          <w:spacing w:val="-6"/>
          <w:sz w:val="20"/>
          <w:vertAlign w:val="baseline"/>
        </w:rPr>
        <w:t> </w:t>
      </w:r>
      <w:r>
        <w:rPr>
          <w:rFonts w:ascii="Calibri" w:hAnsi="Calibri"/>
          <w:sz w:val="20"/>
          <w:vertAlign w:val="baseline"/>
        </w:rPr>
        <w:t>Zhvillim</w:t>
      </w:r>
      <w:r>
        <w:rPr>
          <w:rFonts w:ascii="Calibri" w:hAnsi="Calibri"/>
          <w:spacing w:val="-5"/>
          <w:sz w:val="20"/>
          <w:vertAlign w:val="baseline"/>
        </w:rPr>
        <w:t> </w:t>
      </w:r>
      <w:r>
        <w:rPr>
          <w:rFonts w:ascii="Calibri" w:hAnsi="Calibri"/>
          <w:spacing w:val="-2"/>
          <w:sz w:val="20"/>
          <w:vertAlign w:val="baseline"/>
        </w:rPr>
        <w:t>Ekonomik</w:t>
      </w:r>
    </w:p>
    <w:p>
      <w:pPr>
        <w:spacing w:after="0"/>
        <w:jc w:val="left"/>
        <w:rPr>
          <w:rFonts w:ascii="Calibri" w:hAnsi="Calibri"/>
          <w:sz w:val="20"/>
        </w:rPr>
        <w:sectPr>
          <w:pgSz w:w="12240" w:h="15840"/>
          <w:pgMar w:header="0" w:footer="990" w:top="1380" w:bottom="1180" w:left="700" w:right="0"/>
        </w:sectPr>
      </w:pPr>
    </w:p>
    <w:p>
      <w:pPr>
        <w:pStyle w:val="BodyText"/>
        <w:spacing w:before="3"/>
        <w:rPr>
          <w:rFonts w:ascii="Calibri"/>
          <w:sz w:val="9"/>
        </w:rPr>
      </w:pPr>
      <w:r>
        <w:rPr/>
        <w:pict>
          <v:group style="position:absolute;margin-left:.25pt;margin-top:-.1pt;width:612.25pt;height:52.3pt;mso-position-horizontal-relative:page;mso-position-vertical-relative:page;z-index:-19959296" id="docshapegroup306" coordorigin="5,-2" coordsize="12245,1046">
            <v:rect style="position:absolute;left:15;top:8;width:7067;height:1026" id="docshape307" filled="true" fillcolor="#f8caac" stroked="false">
              <v:fill type="solid"/>
            </v:rect>
            <v:rect style="position:absolute;left:15;top:8;width:7067;height:1026" id="docshape308" filled="false" stroked="true" strokeweight="1.0pt" strokecolor="#f8caac">
              <v:stroke dashstyle="solid"/>
            </v:rect>
            <v:rect style="position:absolute;left:7093;top:8;width:5147;height:547" id="docshape309" filled="true" fillcolor="#f8caac" stroked="false">
              <v:fill type="solid"/>
            </v:rect>
            <v:rect style="position:absolute;left:7093;top:8;width:5147;height:547" id="docshape310" filled="false" stroked="true" strokeweight="1pt" strokecolor="#f8caac">
              <v:stroke dashstyle="solid"/>
            </v:rect>
            <v:shape style="position:absolute;left:5665;top:20;width:2820;height:1013" id="docshape311" coordorigin="5666,20" coordsize="2820,1013" path="m8486,20l6781,20,5666,1032,7371,1032,8486,20xe" filled="true" fillcolor="#f8caac" stroked="false">
              <v:path arrowok="t"/>
              <v:fill type="solid"/>
            </v:shape>
            <v:shape style="position:absolute;left:5665;top:20;width:2820;height:1013" id="docshape312" coordorigin="5666,20" coordsize="2820,1013" path="m5666,1032l6781,20,8486,20,7371,1032,5666,1032xe" filled="false" stroked="true" strokeweight="1pt" strokecolor="#f8caac">
              <v:path arrowok="t"/>
              <v:stroke dashstyle="solid"/>
            </v:shape>
            <w10:wrap type="none"/>
          </v:group>
        </w:pict>
      </w:r>
    </w:p>
    <w:p>
      <w:pPr>
        <w:pStyle w:val="Heading1"/>
        <w:spacing w:before="87"/>
        <w:ind w:left="2516"/>
      </w:pPr>
      <w:r>
        <w:rPr>
          <w:color w:val="FFFFFF"/>
          <w:spacing w:val="-2"/>
        </w:rPr>
        <w:t>11.Buxhet</w:t>
      </w:r>
    </w:p>
    <w:p>
      <w:pPr>
        <w:pStyle w:val="BodyText"/>
        <w:rPr>
          <w:b/>
          <w:sz w:val="20"/>
        </w:rPr>
      </w:pPr>
    </w:p>
    <w:p>
      <w:pPr>
        <w:pStyle w:val="BodyText"/>
        <w:rPr>
          <w:b/>
          <w:sz w:val="20"/>
        </w:rPr>
      </w:pPr>
    </w:p>
    <w:p>
      <w:pPr>
        <w:pStyle w:val="BodyText"/>
        <w:rPr>
          <w:b/>
          <w:sz w:val="28"/>
        </w:rPr>
      </w:pPr>
    </w:p>
    <w:p>
      <w:pPr>
        <w:pStyle w:val="BodyText"/>
        <w:spacing w:line="288" w:lineRule="auto" w:before="90"/>
        <w:ind w:left="1220" w:right="1438"/>
        <w:jc w:val="both"/>
      </w:pPr>
      <w:r>
        <w:rPr/>
        <w:t>Disa nga vështirësitë që janë përballur komunat në Republikën e Kosovës janë: mungesa e </w:t>
      </w:r>
      <w:r>
        <w:rPr>
          <w:spacing w:val="-2"/>
        </w:rPr>
        <w:t>një</w:t>
      </w:r>
      <w:r>
        <w:rPr>
          <w:spacing w:val="-6"/>
        </w:rPr>
        <w:t> </w:t>
      </w:r>
      <w:r>
        <w:rPr>
          <w:spacing w:val="-2"/>
        </w:rPr>
        <w:t>fondi</w:t>
      </w:r>
      <w:r>
        <w:rPr>
          <w:spacing w:val="-7"/>
        </w:rPr>
        <w:t> </w:t>
      </w:r>
      <w:r>
        <w:rPr>
          <w:spacing w:val="-2"/>
        </w:rPr>
        <w:t>adekuat</w:t>
      </w:r>
      <w:r>
        <w:rPr>
          <w:spacing w:val="-6"/>
        </w:rPr>
        <w:t> </w:t>
      </w:r>
      <w:r>
        <w:rPr>
          <w:spacing w:val="-2"/>
        </w:rPr>
        <w:t>qendror</w:t>
      </w:r>
      <w:r>
        <w:rPr>
          <w:spacing w:val="-8"/>
        </w:rPr>
        <w:t> </w:t>
      </w:r>
      <w:r>
        <w:rPr>
          <w:spacing w:val="-2"/>
        </w:rPr>
        <w:t>për</w:t>
      </w:r>
      <w:r>
        <w:rPr>
          <w:spacing w:val="-6"/>
        </w:rPr>
        <w:t> </w:t>
      </w:r>
      <w:r>
        <w:rPr>
          <w:spacing w:val="-2"/>
        </w:rPr>
        <w:t>investime</w:t>
      </w:r>
      <w:r>
        <w:rPr>
          <w:spacing w:val="-7"/>
        </w:rPr>
        <w:t> </w:t>
      </w:r>
      <w:r>
        <w:rPr>
          <w:spacing w:val="-2"/>
        </w:rPr>
        <w:t>kapitale</w:t>
      </w:r>
      <w:r>
        <w:rPr>
          <w:spacing w:val="-7"/>
        </w:rPr>
        <w:t> </w:t>
      </w:r>
      <w:r>
        <w:rPr>
          <w:spacing w:val="-2"/>
        </w:rPr>
        <w:t>të</w:t>
      </w:r>
      <w:r>
        <w:rPr>
          <w:spacing w:val="-7"/>
        </w:rPr>
        <w:t> </w:t>
      </w:r>
      <w:r>
        <w:rPr>
          <w:spacing w:val="-2"/>
        </w:rPr>
        <w:t>nxitur</w:t>
      </w:r>
      <w:r>
        <w:rPr>
          <w:spacing w:val="-6"/>
        </w:rPr>
        <w:t> </w:t>
      </w:r>
      <w:r>
        <w:rPr>
          <w:spacing w:val="-2"/>
        </w:rPr>
        <w:t>nga</w:t>
      </w:r>
      <w:r>
        <w:rPr>
          <w:spacing w:val="-7"/>
        </w:rPr>
        <w:t> </w:t>
      </w:r>
      <w:r>
        <w:rPr>
          <w:spacing w:val="-2"/>
        </w:rPr>
        <w:t>projektet</w:t>
      </w:r>
      <w:r>
        <w:rPr>
          <w:spacing w:val="-7"/>
        </w:rPr>
        <w:t> </w:t>
      </w:r>
      <w:r>
        <w:rPr>
          <w:spacing w:val="-2"/>
        </w:rPr>
        <w:t>i</w:t>
      </w:r>
      <w:r>
        <w:rPr>
          <w:spacing w:val="-8"/>
        </w:rPr>
        <w:t> </w:t>
      </w:r>
      <w:r>
        <w:rPr>
          <w:spacing w:val="-2"/>
        </w:rPr>
        <w:t>cili</w:t>
      </w:r>
      <w:r>
        <w:rPr>
          <w:spacing w:val="-8"/>
        </w:rPr>
        <w:t> </w:t>
      </w:r>
      <w:r>
        <w:rPr>
          <w:spacing w:val="-2"/>
        </w:rPr>
        <w:t>do</w:t>
      </w:r>
      <w:r>
        <w:rPr>
          <w:spacing w:val="-7"/>
        </w:rPr>
        <w:t> </w:t>
      </w:r>
      <w:r>
        <w:rPr>
          <w:spacing w:val="-2"/>
        </w:rPr>
        <w:t>të</w:t>
      </w:r>
      <w:r>
        <w:rPr>
          <w:spacing w:val="-3"/>
        </w:rPr>
        <w:t> </w:t>
      </w:r>
      <w:r>
        <w:rPr>
          <w:spacing w:val="-2"/>
        </w:rPr>
        <w:t>menaxhohej </w:t>
      </w:r>
      <w:r>
        <w:rPr/>
        <w:t>nga</w:t>
      </w:r>
      <w:r>
        <w:rPr>
          <w:spacing w:val="-2"/>
        </w:rPr>
        <w:t> </w:t>
      </w:r>
      <w:r>
        <w:rPr/>
        <w:t>qeveria</w:t>
      </w:r>
      <w:r>
        <w:rPr>
          <w:spacing w:val="-3"/>
        </w:rPr>
        <w:t> </w:t>
      </w:r>
      <w:r>
        <w:rPr/>
        <w:t>sipas</w:t>
      </w:r>
      <w:r>
        <w:rPr>
          <w:spacing w:val="-2"/>
        </w:rPr>
        <w:t> </w:t>
      </w:r>
      <w:r>
        <w:rPr/>
        <w:t>një</w:t>
      </w:r>
      <w:r>
        <w:rPr>
          <w:spacing w:val="-2"/>
        </w:rPr>
        <w:t> </w:t>
      </w:r>
      <w:r>
        <w:rPr/>
        <w:t>sistemi</w:t>
      </w:r>
      <w:r>
        <w:rPr>
          <w:spacing w:val="-3"/>
        </w:rPr>
        <w:t> </w:t>
      </w:r>
      <w:r>
        <w:rPr/>
        <w:t>të</w:t>
      </w:r>
      <w:r>
        <w:rPr>
          <w:spacing w:val="-2"/>
        </w:rPr>
        <w:t> </w:t>
      </w:r>
      <w:r>
        <w:rPr/>
        <w:t>unifikuar,</w:t>
      </w:r>
      <w:r>
        <w:rPr>
          <w:spacing w:val="-2"/>
        </w:rPr>
        <w:t> </w:t>
      </w:r>
      <w:r>
        <w:rPr/>
        <w:t>mungesa</w:t>
      </w:r>
      <w:r>
        <w:rPr>
          <w:spacing w:val="-2"/>
        </w:rPr>
        <w:t> </w:t>
      </w:r>
      <w:r>
        <w:rPr/>
        <w:t>e</w:t>
      </w:r>
      <w:r>
        <w:rPr>
          <w:spacing w:val="-2"/>
        </w:rPr>
        <w:t> </w:t>
      </w:r>
      <w:r>
        <w:rPr/>
        <w:t>një</w:t>
      </w:r>
      <w:r>
        <w:rPr>
          <w:spacing w:val="-2"/>
        </w:rPr>
        <w:t> </w:t>
      </w:r>
      <w:r>
        <w:rPr/>
        <w:t>tregu</w:t>
      </w:r>
      <w:r>
        <w:rPr>
          <w:spacing w:val="-3"/>
        </w:rPr>
        <w:t> </w:t>
      </w:r>
      <w:r>
        <w:rPr/>
        <w:t>kreditor</w:t>
      </w:r>
      <w:r>
        <w:rPr>
          <w:spacing w:val="-2"/>
        </w:rPr>
        <w:t> </w:t>
      </w:r>
      <w:r>
        <w:rPr/>
        <w:t>që</w:t>
      </w:r>
      <w:r>
        <w:rPr>
          <w:spacing w:val="-2"/>
        </w:rPr>
        <w:t> </w:t>
      </w:r>
      <w:r>
        <w:rPr/>
        <w:t>do</w:t>
      </w:r>
      <w:r>
        <w:rPr>
          <w:spacing w:val="-3"/>
        </w:rPr>
        <w:t> </w:t>
      </w:r>
      <w:r>
        <w:rPr/>
        <w:t>t’i</w:t>
      </w:r>
      <w:r>
        <w:rPr>
          <w:spacing w:val="-2"/>
        </w:rPr>
        <w:t> </w:t>
      </w:r>
      <w:r>
        <w:rPr/>
        <w:t>mundësonte komunave</w:t>
      </w:r>
      <w:r>
        <w:rPr>
          <w:spacing w:val="-14"/>
        </w:rPr>
        <w:t> </w:t>
      </w:r>
      <w:r>
        <w:rPr/>
        <w:t>qasjen</w:t>
      </w:r>
      <w:r>
        <w:rPr>
          <w:spacing w:val="-14"/>
        </w:rPr>
        <w:t> </w:t>
      </w:r>
      <w:r>
        <w:rPr/>
        <w:t>në</w:t>
      </w:r>
      <w:r>
        <w:rPr>
          <w:spacing w:val="-15"/>
        </w:rPr>
        <w:t> </w:t>
      </w:r>
      <w:r>
        <w:rPr/>
        <w:t>fonde</w:t>
      </w:r>
      <w:r>
        <w:rPr>
          <w:spacing w:val="-15"/>
        </w:rPr>
        <w:t> </w:t>
      </w:r>
      <w:r>
        <w:rPr/>
        <w:t>për</w:t>
      </w:r>
      <w:r>
        <w:rPr>
          <w:spacing w:val="-14"/>
        </w:rPr>
        <w:t> </w:t>
      </w:r>
      <w:r>
        <w:rPr/>
        <w:t>zhvillim</w:t>
      </w:r>
      <w:r>
        <w:rPr>
          <w:spacing w:val="-14"/>
        </w:rPr>
        <w:t> </w:t>
      </w:r>
      <w:r>
        <w:rPr/>
        <w:t>me</w:t>
      </w:r>
      <w:r>
        <w:rPr>
          <w:spacing w:val="-14"/>
        </w:rPr>
        <w:t> </w:t>
      </w:r>
      <w:r>
        <w:rPr/>
        <w:t>kamata</w:t>
      </w:r>
      <w:r>
        <w:rPr>
          <w:spacing w:val="-14"/>
        </w:rPr>
        <w:t> </w:t>
      </w:r>
      <w:r>
        <w:rPr/>
        <w:t>të</w:t>
      </w:r>
      <w:r>
        <w:rPr>
          <w:spacing w:val="-14"/>
        </w:rPr>
        <w:t> </w:t>
      </w:r>
      <w:r>
        <w:rPr/>
        <w:t>ulëta,</w:t>
      </w:r>
      <w:r>
        <w:rPr>
          <w:spacing w:val="-14"/>
        </w:rPr>
        <w:t> </w:t>
      </w:r>
      <w:r>
        <w:rPr/>
        <w:t>mungesa</w:t>
      </w:r>
      <w:r>
        <w:rPr>
          <w:spacing w:val="-14"/>
        </w:rPr>
        <w:t> </w:t>
      </w:r>
      <w:r>
        <w:rPr/>
        <w:t>e</w:t>
      </w:r>
      <w:r>
        <w:rPr>
          <w:spacing w:val="-14"/>
        </w:rPr>
        <w:t> </w:t>
      </w:r>
      <w:r>
        <w:rPr/>
        <w:t>mekanizmit</w:t>
      </w:r>
      <w:r>
        <w:rPr>
          <w:spacing w:val="-14"/>
        </w:rPr>
        <w:t> </w:t>
      </w:r>
      <w:r>
        <w:rPr/>
        <w:t>për</w:t>
      </w:r>
      <w:r>
        <w:rPr>
          <w:spacing w:val="-15"/>
        </w:rPr>
        <w:t> </w:t>
      </w:r>
      <w:r>
        <w:rPr/>
        <w:t>fondet për</w:t>
      </w:r>
      <w:r>
        <w:rPr>
          <w:spacing w:val="-8"/>
        </w:rPr>
        <w:t> </w:t>
      </w:r>
      <w:r>
        <w:rPr/>
        <w:t>emergjenca</w:t>
      </w:r>
      <w:r>
        <w:rPr>
          <w:spacing w:val="-8"/>
        </w:rPr>
        <w:t> </w:t>
      </w:r>
      <w:r>
        <w:rPr/>
        <w:t>të</w:t>
      </w:r>
      <w:r>
        <w:rPr>
          <w:spacing w:val="-7"/>
        </w:rPr>
        <w:t> </w:t>
      </w:r>
      <w:r>
        <w:rPr/>
        <w:t>paparashikuara.</w:t>
      </w:r>
      <w:r>
        <w:rPr>
          <w:spacing w:val="-8"/>
        </w:rPr>
        <w:t> </w:t>
      </w:r>
      <w:r>
        <w:rPr/>
        <w:t>Ekziston</w:t>
      </w:r>
      <w:r>
        <w:rPr>
          <w:spacing w:val="-8"/>
        </w:rPr>
        <w:t> </w:t>
      </w:r>
      <w:r>
        <w:rPr/>
        <w:t>një</w:t>
      </w:r>
      <w:r>
        <w:rPr>
          <w:spacing w:val="-7"/>
        </w:rPr>
        <w:t> </w:t>
      </w:r>
      <w:r>
        <w:rPr/>
        <w:t>dallim</w:t>
      </w:r>
      <w:r>
        <w:rPr>
          <w:spacing w:val="-7"/>
        </w:rPr>
        <w:t> </w:t>
      </w:r>
      <w:r>
        <w:rPr/>
        <w:t>i</w:t>
      </w:r>
      <w:r>
        <w:rPr>
          <w:spacing w:val="-8"/>
        </w:rPr>
        <w:t> </w:t>
      </w:r>
      <w:r>
        <w:rPr/>
        <w:t>madh</w:t>
      </w:r>
      <w:r>
        <w:rPr>
          <w:spacing w:val="-7"/>
        </w:rPr>
        <w:t> </w:t>
      </w:r>
      <w:r>
        <w:rPr/>
        <w:t>ndërmjet</w:t>
      </w:r>
      <w:r>
        <w:rPr>
          <w:spacing w:val="-8"/>
        </w:rPr>
        <w:t> </w:t>
      </w:r>
      <w:r>
        <w:rPr/>
        <w:t>kapacitetit</w:t>
      </w:r>
      <w:r>
        <w:rPr>
          <w:spacing w:val="-8"/>
        </w:rPr>
        <w:t> </w:t>
      </w:r>
      <w:r>
        <w:rPr/>
        <w:t>ekonomik të</w:t>
      </w:r>
      <w:r>
        <w:rPr>
          <w:spacing w:val="-15"/>
        </w:rPr>
        <w:t> </w:t>
      </w:r>
      <w:r>
        <w:rPr/>
        <w:t>komunave,</w:t>
      </w:r>
      <w:r>
        <w:rPr>
          <w:spacing w:val="-15"/>
        </w:rPr>
        <w:t> </w:t>
      </w:r>
      <w:r>
        <w:rPr/>
        <w:t>për</w:t>
      </w:r>
      <w:r>
        <w:rPr>
          <w:spacing w:val="-15"/>
        </w:rPr>
        <w:t> </w:t>
      </w:r>
      <w:r>
        <w:rPr/>
        <w:t>gjenerimin</w:t>
      </w:r>
      <w:r>
        <w:rPr>
          <w:spacing w:val="-15"/>
        </w:rPr>
        <w:t> </w:t>
      </w:r>
      <w:r>
        <w:rPr/>
        <w:t>e</w:t>
      </w:r>
      <w:r>
        <w:rPr>
          <w:spacing w:val="-15"/>
        </w:rPr>
        <w:t> </w:t>
      </w:r>
      <w:r>
        <w:rPr/>
        <w:t>të</w:t>
      </w:r>
      <w:r>
        <w:rPr>
          <w:spacing w:val="-14"/>
        </w:rPr>
        <w:t> </w:t>
      </w:r>
      <w:r>
        <w:rPr/>
        <w:t>hyrave</w:t>
      </w:r>
      <w:r>
        <w:rPr>
          <w:spacing w:val="-15"/>
        </w:rPr>
        <w:t> </w:t>
      </w:r>
      <w:r>
        <w:rPr/>
        <w:t>vetanake</w:t>
      </w:r>
      <w:r>
        <w:rPr>
          <w:spacing w:val="-15"/>
        </w:rPr>
        <w:t> </w:t>
      </w:r>
      <w:r>
        <w:rPr/>
        <w:t>(mesatarisht</w:t>
      </w:r>
      <w:r>
        <w:rPr>
          <w:spacing w:val="-15"/>
        </w:rPr>
        <w:t> </w:t>
      </w:r>
      <w:r>
        <w:rPr/>
        <w:t>18%)</w:t>
      </w:r>
      <w:r>
        <w:rPr>
          <w:spacing w:val="-15"/>
        </w:rPr>
        <w:t> </w:t>
      </w:r>
      <w:r>
        <w:rPr/>
        <w:t>dhe</w:t>
      </w:r>
      <w:r>
        <w:rPr>
          <w:spacing w:val="-15"/>
        </w:rPr>
        <w:t> </w:t>
      </w:r>
      <w:r>
        <w:rPr/>
        <w:t>i</w:t>
      </w:r>
      <w:r>
        <w:rPr>
          <w:spacing w:val="-15"/>
        </w:rPr>
        <w:t> </w:t>
      </w:r>
      <w:r>
        <w:rPr/>
        <w:t>grantit</w:t>
      </w:r>
      <w:r>
        <w:rPr>
          <w:spacing w:val="-14"/>
        </w:rPr>
        <w:t> </w:t>
      </w:r>
      <w:r>
        <w:rPr/>
        <w:t>nga</w:t>
      </w:r>
      <w:r>
        <w:rPr>
          <w:spacing w:val="-15"/>
        </w:rPr>
        <w:t> </w:t>
      </w:r>
      <w:r>
        <w:rPr/>
        <w:t>Buxheti i Kosovës (mesatarisht 82%).</w:t>
      </w:r>
    </w:p>
    <w:p>
      <w:pPr>
        <w:pStyle w:val="BodyText"/>
        <w:spacing w:before="6"/>
      </w:pPr>
    </w:p>
    <w:p>
      <w:pPr>
        <w:pStyle w:val="BodyText"/>
        <w:ind w:left="1460"/>
      </w:pPr>
      <w:r>
        <w:rPr/>
        <w:t>Të</w:t>
      </w:r>
      <w:r>
        <w:rPr>
          <w:spacing w:val="-1"/>
        </w:rPr>
        <w:t> </w:t>
      </w:r>
      <w:r>
        <w:rPr/>
        <w:t>hyrat</w:t>
      </w:r>
      <w:r>
        <w:rPr>
          <w:spacing w:val="-1"/>
        </w:rPr>
        <w:t> </w:t>
      </w:r>
      <w:r>
        <w:rPr/>
        <w:t>e</w:t>
      </w:r>
      <w:r>
        <w:rPr>
          <w:spacing w:val="-1"/>
        </w:rPr>
        <w:t> </w:t>
      </w:r>
      <w:r>
        <w:rPr/>
        <w:t>komunës</w:t>
      </w:r>
      <w:r>
        <w:rPr>
          <w:spacing w:val="-1"/>
        </w:rPr>
        <w:t> </w:t>
      </w:r>
      <w:r>
        <w:rPr/>
        <w:t>përbëhen</w:t>
      </w:r>
      <w:r>
        <w:rPr>
          <w:spacing w:val="-1"/>
        </w:rPr>
        <w:t> </w:t>
      </w:r>
      <w:r>
        <w:rPr/>
        <w:t>kryesisht</w:t>
      </w:r>
      <w:r>
        <w:rPr>
          <w:spacing w:val="-1"/>
        </w:rPr>
        <w:t> </w:t>
      </w:r>
      <w:r>
        <w:rPr/>
        <w:t>nga këto</w:t>
      </w:r>
      <w:r>
        <w:rPr>
          <w:spacing w:val="-2"/>
        </w:rPr>
        <w:t> </w:t>
      </w:r>
      <w:r>
        <w:rPr/>
        <w:t>lloje</w:t>
      </w:r>
      <w:r>
        <w:rPr>
          <w:spacing w:val="-1"/>
        </w:rPr>
        <w:t> </w:t>
      </w:r>
      <w:r>
        <w:rPr/>
        <w:t>të</w:t>
      </w:r>
      <w:r>
        <w:rPr>
          <w:spacing w:val="-2"/>
        </w:rPr>
        <w:t> </w:t>
      </w:r>
      <w:r>
        <w:rPr/>
        <w:t>të</w:t>
      </w:r>
      <w:r>
        <w:rPr>
          <w:spacing w:val="-1"/>
        </w:rPr>
        <w:t> </w:t>
      </w:r>
      <w:r>
        <w:rPr>
          <w:spacing w:val="-2"/>
        </w:rPr>
        <w:t>hyrave:</w:t>
      </w:r>
    </w:p>
    <w:p>
      <w:pPr>
        <w:pStyle w:val="BodyText"/>
        <w:spacing w:before="2"/>
      </w:pPr>
    </w:p>
    <w:p>
      <w:pPr>
        <w:pStyle w:val="ListParagraph"/>
        <w:numPr>
          <w:ilvl w:val="0"/>
          <w:numId w:val="13"/>
        </w:numPr>
        <w:tabs>
          <w:tab w:pos="1460" w:val="left" w:leader="none"/>
          <w:tab w:pos="1461" w:val="left" w:leader="none"/>
        </w:tabs>
        <w:spacing w:line="240" w:lineRule="auto" w:before="0" w:after="0"/>
        <w:ind w:left="1460" w:right="0" w:hanging="361"/>
        <w:jc w:val="left"/>
        <w:rPr>
          <w:sz w:val="24"/>
        </w:rPr>
      </w:pPr>
      <w:r>
        <w:rPr>
          <w:sz w:val="24"/>
        </w:rPr>
        <w:t>Tatimi</w:t>
      </w:r>
      <w:r>
        <w:rPr>
          <w:spacing w:val="-1"/>
          <w:sz w:val="24"/>
        </w:rPr>
        <w:t> </w:t>
      </w:r>
      <w:r>
        <w:rPr>
          <w:sz w:val="24"/>
        </w:rPr>
        <w:t>në </w:t>
      </w:r>
      <w:r>
        <w:rPr>
          <w:spacing w:val="-2"/>
          <w:sz w:val="24"/>
        </w:rPr>
        <w:t>pronë;</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Tatimi</w:t>
      </w:r>
      <w:r>
        <w:rPr>
          <w:spacing w:val="-1"/>
          <w:sz w:val="24"/>
        </w:rPr>
        <w:t> </w:t>
      </w:r>
      <w:r>
        <w:rPr>
          <w:sz w:val="24"/>
        </w:rPr>
        <w:t>në </w:t>
      </w:r>
      <w:r>
        <w:rPr>
          <w:spacing w:val="-2"/>
          <w:sz w:val="24"/>
        </w:rPr>
        <w:t>tokë;</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Taksat</w:t>
      </w:r>
      <w:r>
        <w:rPr>
          <w:spacing w:val="-1"/>
          <w:sz w:val="24"/>
        </w:rPr>
        <w:t> </w:t>
      </w:r>
      <w:r>
        <w:rPr>
          <w:sz w:val="24"/>
        </w:rPr>
        <w:t>për</w:t>
      </w:r>
      <w:r>
        <w:rPr>
          <w:spacing w:val="-1"/>
          <w:sz w:val="24"/>
        </w:rPr>
        <w:t> </w:t>
      </w:r>
      <w:r>
        <w:rPr>
          <w:sz w:val="24"/>
        </w:rPr>
        <w:t>ushtrim</w:t>
      </w:r>
      <w:r>
        <w:rPr>
          <w:spacing w:val="-1"/>
          <w:sz w:val="24"/>
        </w:rPr>
        <w:t> </w:t>
      </w:r>
      <w:r>
        <w:rPr>
          <w:sz w:val="24"/>
        </w:rPr>
        <w:t>të</w:t>
      </w:r>
      <w:r>
        <w:rPr>
          <w:spacing w:val="-1"/>
          <w:sz w:val="24"/>
        </w:rPr>
        <w:t> </w:t>
      </w:r>
      <w:r>
        <w:rPr>
          <w:sz w:val="24"/>
        </w:rPr>
        <w:t>veprimtarisë </w:t>
      </w:r>
      <w:r>
        <w:rPr>
          <w:spacing w:val="-2"/>
          <w:sz w:val="24"/>
        </w:rPr>
        <w:t>biznesore;</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Taksat</w:t>
      </w:r>
      <w:r>
        <w:rPr>
          <w:spacing w:val="-1"/>
          <w:sz w:val="24"/>
        </w:rPr>
        <w:t> </w:t>
      </w:r>
      <w:r>
        <w:rPr>
          <w:sz w:val="24"/>
        </w:rPr>
        <w:t>për leje</w:t>
      </w:r>
      <w:r>
        <w:rPr>
          <w:spacing w:val="-1"/>
          <w:sz w:val="24"/>
        </w:rPr>
        <w:t> </w:t>
      </w:r>
      <w:r>
        <w:rPr>
          <w:sz w:val="24"/>
        </w:rPr>
        <w:t>të </w:t>
      </w:r>
      <w:r>
        <w:rPr>
          <w:spacing w:val="-2"/>
          <w:sz w:val="24"/>
        </w:rPr>
        <w:t>ndërtimit;</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Taksa</w:t>
      </w:r>
      <w:r>
        <w:rPr>
          <w:spacing w:val="-5"/>
          <w:sz w:val="24"/>
        </w:rPr>
        <w:t> </w:t>
      </w:r>
      <w:r>
        <w:rPr>
          <w:sz w:val="24"/>
        </w:rPr>
        <w:t>për</w:t>
      </w:r>
      <w:r>
        <w:rPr>
          <w:spacing w:val="-4"/>
          <w:sz w:val="24"/>
        </w:rPr>
        <w:t> </w:t>
      </w:r>
      <w:r>
        <w:rPr>
          <w:sz w:val="24"/>
        </w:rPr>
        <w:t>shfrytëzimin</w:t>
      </w:r>
      <w:r>
        <w:rPr>
          <w:spacing w:val="-5"/>
          <w:sz w:val="24"/>
        </w:rPr>
        <w:t> </w:t>
      </w:r>
      <w:r>
        <w:rPr>
          <w:sz w:val="24"/>
        </w:rPr>
        <w:t>e</w:t>
      </w:r>
      <w:r>
        <w:rPr>
          <w:spacing w:val="-6"/>
          <w:sz w:val="24"/>
        </w:rPr>
        <w:t> </w:t>
      </w:r>
      <w:r>
        <w:rPr>
          <w:sz w:val="24"/>
        </w:rPr>
        <w:t>pronës</w:t>
      </w:r>
      <w:r>
        <w:rPr>
          <w:spacing w:val="-4"/>
          <w:sz w:val="24"/>
        </w:rPr>
        <w:t> </w:t>
      </w:r>
      <w:r>
        <w:rPr>
          <w:spacing w:val="-2"/>
          <w:sz w:val="24"/>
        </w:rPr>
        <w:t>komunale;</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Taksa</w:t>
      </w:r>
      <w:r>
        <w:rPr>
          <w:spacing w:val="-1"/>
          <w:sz w:val="24"/>
        </w:rPr>
        <w:t> </w:t>
      </w:r>
      <w:r>
        <w:rPr>
          <w:sz w:val="24"/>
        </w:rPr>
        <w:t>për</w:t>
      </w:r>
      <w:r>
        <w:rPr>
          <w:spacing w:val="-1"/>
          <w:sz w:val="24"/>
        </w:rPr>
        <w:t> </w:t>
      </w:r>
      <w:r>
        <w:rPr>
          <w:sz w:val="24"/>
        </w:rPr>
        <w:t>regjistrimin</w:t>
      </w:r>
      <w:r>
        <w:rPr>
          <w:spacing w:val="-1"/>
          <w:sz w:val="24"/>
        </w:rPr>
        <w:t> </w:t>
      </w:r>
      <w:r>
        <w:rPr>
          <w:sz w:val="24"/>
        </w:rPr>
        <w:t>e</w:t>
      </w:r>
      <w:r>
        <w:rPr>
          <w:spacing w:val="-1"/>
          <w:sz w:val="24"/>
        </w:rPr>
        <w:t> </w:t>
      </w:r>
      <w:r>
        <w:rPr>
          <w:sz w:val="24"/>
        </w:rPr>
        <w:t>automjeteve</w:t>
      </w:r>
      <w:r>
        <w:rPr>
          <w:spacing w:val="-1"/>
          <w:sz w:val="24"/>
        </w:rPr>
        <w:t> </w:t>
      </w:r>
      <w:r>
        <w:rPr>
          <w:spacing w:val="-2"/>
          <w:sz w:val="24"/>
        </w:rPr>
        <w:t>motorike;</w:t>
      </w:r>
    </w:p>
    <w:p>
      <w:pPr>
        <w:pStyle w:val="ListParagraph"/>
        <w:numPr>
          <w:ilvl w:val="0"/>
          <w:numId w:val="13"/>
        </w:numPr>
        <w:tabs>
          <w:tab w:pos="1460" w:val="left" w:leader="none"/>
          <w:tab w:pos="1461" w:val="left" w:leader="none"/>
        </w:tabs>
        <w:spacing w:line="240" w:lineRule="auto" w:before="0" w:after="0"/>
        <w:ind w:left="1460" w:right="1596" w:hanging="361"/>
        <w:jc w:val="left"/>
        <w:rPr>
          <w:sz w:val="24"/>
        </w:rPr>
      </w:pPr>
      <w:r>
        <w:rPr>
          <w:sz w:val="24"/>
        </w:rPr>
        <w:t>Taksat</w:t>
      </w:r>
      <w:r>
        <w:rPr>
          <w:spacing w:val="-5"/>
          <w:sz w:val="24"/>
        </w:rPr>
        <w:t> </w:t>
      </w:r>
      <w:r>
        <w:rPr>
          <w:sz w:val="24"/>
        </w:rPr>
        <w:t>administrative</w:t>
      </w:r>
      <w:r>
        <w:rPr>
          <w:spacing w:val="-5"/>
          <w:sz w:val="24"/>
        </w:rPr>
        <w:t> </w:t>
      </w:r>
      <w:r>
        <w:rPr>
          <w:sz w:val="24"/>
        </w:rPr>
        <w:t>komunale</w:t>
      </w:r>
      <w:r>
        <w:rPr>
          <w:spacing w:val="-6"/>
          <w:sz w:val="24"/>
        </w:rPr>
        <w:t> </w:t>
      </w:r>
      <w:r>
        <w:rPr>
          <w:sz w:val="24"/>
        </w:rPr>
        <w:t>(taksa</w:t>
      </w:r>
      <w:r>
        <w:rPr>
          <w:spacing w:val="-5"/>
          <w:sz w:val="24"/>
        </w:rPr>
        <w:t> </w:t>
      </w:r>
      <w:r>
        <w:rPr>
          <w:sz w:val="24"/>
        </w:rPr>
        <w:t>për</w:t>
      </w:r>
      <w:r>
        <w:rPr>
          <w:spacing w:val="-5"/>
          <w:sz w:val="24"/>
        </w:rPr>
        <w:t> </w:t>
      </w:r>
      <w:r>
        <w:rPr>
          <w:sz w:val="24"/>
        </w:rPr>
        <w:t>dokumentacionin</w:t>
      </w:r>
      <w:r>
        <w:rPr>
          <w:spacing w:val="-6"/>
          <w:sz w:val="24"/>
        </w:rPr>
        <w:t> </w:t>
      </w:r>
      <w:r>
        <w:rPr>
          <w:sz w:val="24"/>
        </w:rPr>
        <w:t>lidhur</w:t>
      </w:r>
      <w:r>
        <w:rPr>
          <w:spacing w:val="-6"/>
          <w:sz w:val="24"/>
        </w:rPr>
        <w:t> </w:t>
      </w:r>
      <w:r>
        <w:rPr>
          <w:sz w:val="24"/>
        </w:rPr>
        <w:t>me</w:t>
      </w:r>
      <w:r>
        <w:rPr>
          <w:spacing w:val="-5"/>
          <w:sz w:val="24"/>
        </w:rPr>
        <w:t> </w:t>
      </w:r>
      <w:r>
        <w:rPr>
          <w:sz w:val="24"/>
        </w:rPr>
        <w:t>statusin</w:t>
      </w:r>
      <w:r>
        <w:rPr>
          <w:spacing w:val="-5"/>
          <w:sz w:val="24"/>
        </w:rPr>
        <w:t> </w:t>
      </w:r>
      <w:r>
        <w:rPr>
          <w:sz w:val="24"/>
        </w:rPr>
        <w:t>shoqëror si certifikatat e lindjes, martesës, vdekjes, shtetësisë etj.);</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Bashkë-pagesat</w:t>
      </w:r>
      <w:r>
        <w:rPr>
          <w:spacing w:val="-3"/>
          <w:sz w:val="24"/>
        </w:rPr>
        <w:t> </w:t>
      </w:r>
      <w:r>
        <w:rPr>
          <w:sz w:val="24"/>
        </w:rPr>
        <w:t>në</w:t>
      </w:r>
      <w:r>
        <w:rPr>
          <w:spacing w:val="-3"/>
          <w:sz w:val="24"/>
        </w:rPr>
        <w:t> </w:t>
      </w:r>
      <w:r>
        <w:rPr>
          <w:spacing w:val="-2"/>
          <w:sz w:val="24"/>
        </w:rPr>
        <w:t>arsim;</w:t>
      </w:r>
    </w:p>
    <w:p>
      <w:pPr>
        <w:pStyle w:val="ListParagraph"/>
        <w:numPr>
          <w:ilvl w:val="0"/>
          <w:numId w:val="13"/>
        </w:numPr>
        <w:tabs>
          <w:tab w:pos="1460" w:val="left" w:leader="none"/>
          <w:tab w:pos="1461" w:val="left" w:leader="none"/>
        </w:tabs>
        <w:spacing w:line="293" w:lineRule="exact" w:before="0" w:after="0"/>
        <w:ind w:left="1460" w:right="0" w:hanging="361"/>
        <w:jc w:val="left"/>
        <w:rPr>
          <w:sz w:val="24"/>
        </w:rPr>
      </w:pPr>
      <w:r>
        <w:rPr>
          <w:sz w:val="24"/>
        </w:rPr>
        <w:t>Bashkë-pagesat</w:t>
      </w:r>
      <w:r>
        <w:rPr>
          <w:spacing w:val="-4"/>
          <w:sz w:val="24"/>
        </w:rPr>
        <w:t> </w:t>
      </w:r>
      <w:r>
        <w:rPr>
          <w:sz w:val="24"/>
        </w:rPr>
        <w:t>në</w:t>
      </w:r>
      <w:r>
        <w:rPr>
          <w:spacing w:val="-4"/>
          <w:sz w:val="24"/>
        </w:rPr>
        <w:t> </w:t>
      </w:r>
      <w:r>
        <w:rPr>
          <w:sz w:val="24"/>
        </w:rPr>
        <w:t>shëndetësi</w:t>
      </w:r>
      <w:r>
        <w:rPr>
          <w:spacing w:val="-3"/>
          <w:sz w:val="24"/>
        </w:rPr>
        <w:t> </w:t>
      </w:r>
      <w:r>
        <w:rPr>
          <w:spacing w:val="-5"/>
          <w:sz w:val="24"/>
        </w:rPr>
        <w:t>dhe</w:t>
      </w:r>
    </w:p>
    <w:p>
      <w:pPr>
        <w:pStyle w:val="ListParagraph"/>
        <w:numPr>
          <w:ilvl w:val="0"/>
          <w:numId w:val="13"/>
        </w:numPr>
        <w:tabs>
          <w:tab w:pos="1460" w:val="left" w:leader="none"/>
          <w:tab w:pos="1461" w:val="left" w:leader="none"/>
        </w:tabs>
        <w:spacing w:line="240" w:lineRule="auto" w:before="0" w:after="0"/>
        <w:ind w:left="1460" w:right="0" w:hanging="361"/>
        <w:jc w:val="left"/>
        <w:rPr>
          <w:sz w:val="24"/>
        </w:rPr>
      </w:pPr>
      <w:r>
        <w:rPr>
          <w:sz w:val="24"/>
        </w:rPr>
        <w:t>Të hyra </w:t>
      </w:r>
      <w:r>
        <w:rPr>
          <w:spacing w:val="-2"/>
          <w:sz w:val="24"/>
        </w:rPr>
        <w:t>tjera.</w:t>
      </w:r>
    </w:p>
    <w:p>
      <w:pPr>
        <w:pStyle w:val="BodyText"/>
        <w:spacing w:before="4"/>
        <w:rPr>
          <w:sz w:val="21"/>
        </w:rPr>
      </w:pPr>
      <w:r>
        <w:rPr/>
        <w:pict>
          <v:group style="position:absolute;margin-left:79.125pt;margin-top:13.50776pt;width:453.75pt;height:262.1pt;mso-position-horizontal-relative:page;mso-position-vertical-relative:paragraph;z-index:-15692288;mso-wrap-distance-left:0;mso-wrap-distance-right:0" id="docshapegroup313" coordorigin="1583,270" coordsize="9075,5242">
            <v:shape style="position:absolute;left:3534;top:1012;width:6238;height:3975" type="#_x0000_t75" id="docshape314" stroked="false">
              <v:imagedata r:id="rId75" o:title=""/>
            </v:shape>
            <v:rect style="position:absolute;left:1590;top:277;width:9060;height:5227" id="docshape315" filled="false" stroked="true" strokeweight=".75pt" strokecolor="#d9d9d9">
              <v:stroke dashstyle="solid"/>
            </v:rect>
            <v:shape style="position:absolute;left:2381;top:565;width:5925;height:685" type="#_x0000_t202" id="docshape316" filled="false" stroked="false">
              <v:textbox inset="0,0,0,0">
                <w:txbxContent>
                  <w:p>
                    <w:pPr>
                      <w:spacing w:line="244" w:lineRule="exact" w:before="0"/>
                      <w:ind w:left="689" w:right="0" w:firstLine="0"/>
                      <w:jc w:val="left"/>
                      <w:rPr>
                        <w:rFonts w:ascii="Calibri" w:hAnsi="Calibri"/>
                        <w:b/>
                        <w:sz w:val="24"/>
                      </w:rPr>
                    </w:pPr>
                    <w:r>
                      <w:rPr>
                        <w:rFonts w:ascii="Calibri" w:hAnsi="Calibri"/>
                        <w:b/>
                        <w:sz w:val="24"/>
                      </w:rPr>
                      <w:t>Buxheti</w:t>
                    </w:r>
                    <w:r>
                      <w:rPr>
                        <w:rFonts w:ascii="Calibri" w:hAnsi="Calibri"/>
                        <w:b/>
                        <w:spacing w:val="-6"/>
                        <w:sz w:val="24"/>
                      </w:rPr>
                      <w:t> </w:t>
                    </w:r>
                    <w:r>
                      <w:rPr>
                        <w:rFonts w:ascii="Calibri" w:hAnsi="Calibri"/>
                        <w:b/>
                        <w:sz w:val="24"/>
                      </w:rPr>
                      <w:t>i</w:t>
                    </w:r>
                    <w:r>
                      <w:rPr>
                        <w:rFonts w:ascii="Calibri" w:hAnsi="Calibri"/>
                        <w:b/>
                        <w:spacing w:val="-4"/>
                        <w:sz w:val="24"/>
                      </w:rPr>
                      <w:t> </w:t>
                    </w:r>
                    <w:r>
                      <w:rPr>
                        <w:rFonts w:ascii="Calibri" w:hAnsi="Calibri"/>
                        <w:b/>
                        <w:sz w:val="24"/>
                      </w:rPr>
                      <w:t>komunës</w:t>
                    </w:r>
                    <w:r>
                      <w:rPr>
                        <w:rFonts w:ascii="Calibri" w:hAnsi="Calibri"/>
                        <w:b/>
                        <w:spacing w:val="-5"/>
                        <w:sz w:val="24"/>
                      </w:rPr>
                      <w:t> </w:t>
                    </w:r>
                    <w:r>
                      <w:rPr>
                        <w:rFonts w:ascii="Calibri" w:hAnsi="Calibri"/>
                        <w:b/>
                        <w:sz w:val="24"/>
                      </w:rPr>
                      <w:t>së</w:t>
                    </w:r>
                    <w:r>
                      <w:rPr>
                        <w:rFonts w:ascii="Calibri" w:hAnsi="Calibri"/>
                        <w:b/>
                        <w:spacing w:val="-5"/>
                        <w:sz w:val="24"/>
                      </w:rPr>
                      <w:t> </w:t>
                    </w:r>
                    <w:r>
                      <w:rPr>
                        <w:rFonts w:ascii="Calibri" w:hAnsi="Calibri"/>
                        <w:b/>
                        <w:sz w:val="24"/>
                      </w:rPr>
                      <w:t>Hanit</w:t>
                    </w:r>
                    <w:r>
                      <w:rPr>
                        <w:rFonts w:ascii="Calibri" w:hAnsi="Calibri"/>
                        <w:b/>
                        <w:spacing w:val="-5"/>
                        <w:sz w:val="24"/>
                      </w:rPr>
                      <w:t> </w:t>
                    </w:r>
                    <w:r>
                      <w:rPr>
                        <w:rFonts w:ascii="Calibri" w:hAnsi="Calibri"/>
                        <w:b/>
                        <w:sz w:val="24"/>
                      </w:rPr>
                      <w:t>të</w:t>
                    </w:r>
                    <w:r>
                      <w:rPr>
                        <w:rFonts w:ascii="Calibri" w:hAnsi="Calibri"/>
                        <w:b/>
                        <w:spacing w:val="-5"/>
                        <w:sz w:val="24"/>
                      </w:rPr>
                      <w:t> </w:t>
                    </w:r>
                    <w:r>
                      <w:rPr>
                        <w:rFonts w:ascii="Calibri" w:hAnsi="Calibri"/>
                        <w:b/>
                        <w:sz w:val="24"/>
                      </w:rPr>
                      <w:t>Elezit,</w:t>
                    </w:r>
                    <w:r>
                      <w:rPr>
                        <w:rFonts w:ascii="Calibri" w:hAnsi="Calibri"/>
                        <w:b/>
                        <w:spacing w:val="-6"/>
                        <w:sz w:val="24"/>
                      </w:rPr>
                      <w:t> </w:t>
                    </w:r>
                    <w:r>
                      <w:rPr>
                        <w:rFonts w:ascii="Calibri" w:hAnsi="Calibri"/>
                        <w:b/>
                        <w:sz w:val="24"/>
                      </w:rPr>
                      <w:t>vitet</w:t>
                    </w:r>
                    <w:r>
                      <w:rPr>
                        <w:rFonts w:ascii="Calibri" w:hAnsi="Calibri"/>
                        <w:b/>
                        <w:spacing w:val="-4"/>
                        <w:sz w:val="24"/>
                      </w:rPr>
                      <w:t> </w:t>
                    </w:r>
                    <w:r>
                      <w:rPr>
                        <w:rFonts w:ascii="Calibri" w:hAnsi="Calibri"/>
                        <w:b/>
                        <w:sz w:val="24"/>
                      </w:rPr>
                      <w:t>2011-</w:t>
                    </w:r>
                    <w:r>
                      <w:rPr>
                        <w:rFonts w:ascii="Calibri" w:hAnsi="Calibri"/>
                        <w:b/>
                        <w:spacing w:val="-4"/>
                        <w:sz w:val="24"/>
                      </w:rPr>
                      <w:t>2025</w:t>
                    </w:r>
                  </w:p>
                  <w:p>
                    <w:pPr>
                      <w:spacing w:line="240" w:lineRule="auto" w:before="3"/>
                      <w:rPr>
                        <w:rFonts w:ascii="Calibri"/>
                        <w:b/>
                        <w:sz w:val="18"/>
                      </w:rPr>
                    </w:pPr>
                  </w:p>
                  <w:p>
                    <w:pPr>
                      <w:spacing w:line="216" w:lineRule="exact" w:before="0"/>
                      <w:ind w:left="0" w:right="0" w:firstLine="0"/>
                      <w:jc w:val="left"/>
                      <w:rPr>
                        <w:rFonts w:ascii="Calibri"/>
                        <w:sz w:val="18"/>
                      </w:rPr>
                    </w:pPr>
                    <w:r>
                      <w:rPr>
                        <w:rFonts w:ascii="Calibri"/>
                        <w:color w:val="585858"/>
                        <w:spacing w:val="-2"/>
                        <w:sz w:val="18"/>
                      </w:rPr>
                      <w:t>4,000,000.00</w:t>
                    </w:r>
                  </w:p>
                </w:txbxContent>
              </v:textbox>
              <w10:wrap type="none"/>
            </v:shape>
            <v:shape style="position:absolute;left:2402;top:1474;width:977;height:180" type="#_x0000_t202" id="docshape317"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3,500,000.00</w:t>
                    </w:r>
                  </w:p>
                </w:txbxContent>
              </v:textbox>
              <w10:wrap type="none"/>
            </v:shape>
            <v:shape style="position:absolute;left:6012;top:1522;width:976;height:180" type="#_x0000_t202" id="docshape318"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3,350,254.00</w:t>
                    </w:r>
                  </w:p>
                </w:txbxContent>
              </v:textbox>
              <w10:wrap type="none"/>
            </v:shape>
            <v:shape style="position:absolute;left:7189;top:1603;width:976;height:180" type="#_x0000_t202" id="docshape319"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3,349,278.00</w:t>
                    </w:r>
                  </w:p>
                </w:txbxContent>
              </v:textbox>
              <w10:wrap type="none"/>
            </v:shape>
            <v:shape style="position:absolute;left:8434;top:1536;width:976;height:180" type="#_x0000_t202" id="docshape320" filled="false" stroked="false">
              <v:textbox inset="0,0,0,0">
                <w:txbxContent>
                  <w:p>
                    <w:pPr>
                      <w:spacing w:line="180" w:lineRule="exact" w:before="0"/>
                      <w:ind w:left="0" w:right="0" w:firstLine="0"/>
                      <w:jc w:val="left"/>
                      <w:rPr>
                        <w:rFonts w:ascii="Calibri"/>
                        <w:sz w:val="18"/>
                      </w:rPr>
                    </w:pPr>
                    <w:r>
                      <w:rPr>
                        <w:rFonts w:ascii="Calibri"/>
                        <w:color w:val="404040"/>
                        <w:spacing w:val="-2"/>
                        <w:sz w:val="18"/>
                      </w:rPr>
                      <w:t>3,521,381.00</w:t>
                    </w:r>
                  </w:p>
                </w:txbxContent>
              </v:textbox>
              <w10:wrap type="none"/>
            </v:shape>
            <v:shape style="position:absolute;left:2423;top:1874;width:977;height:180" type="#_x0000_t202" id="docshape321"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3,000,000.00</w:t>
                    </w:r>
                  </w:p>
                </w:txbxContent>
              </v:textbox>
              <w10:wrap type="none"/>
            </v:shape>
            <v:shape style="position:absolute;left:3847;top:1928;width:2029;height:283" type="#_x0000_t202" id="docshape322" filled="false" stroked="false">
              <v:textbox inset="0,0,0,0">
                <w:txbxContent>
                  <w:p>
                    <w:pPr>
                      <w:spacing w:line="187" w:lineRule="auto" w:before="0"/>
                      <w:ind w:left="0" w:right="0" w:firstLine="0"/>
                      <w:jc w:val="left"/>
                      <w:rPr>
                        <w:rFonts w:ascii="Calibri"/>
                        <w:sz w:val="18"/>
                      </w:rPr>
                    </w:pPr>
                    <w:r>
                      <w:rPr>
                        <w:rFonts w:ascii="Calibri"/>
                        <w:color w:val="404040"/>
                        <w:position w:val="-9"/>
                        <w:sz w:val="18"/>
                      </w:rPr>
                      <w:t>2,514,166.00</w:t>
                    </w:r>
                    <w:r>
                      <w:rPr>
                        <w:rFonts w:ascii="Calibri"/>
                        <w:color w:val="404040"/>
                        <w:spacing w:val="54"/>
                        <w:position w:val="-9"/>
                        <w:sz w:val="18"/>
                      </w:rPr>
                      <w:t> </w:t>
                    </w:r>
                    <w:r>
                      <w:rPr>
                        <w:rFonts w:ascii="Calibri"/>
                        <w:color w:val="404040"/>
                        <w:spacing w:val="-2"/>
                        <w:sz w:val="18"/>
                      </w:rPr>
                      <w:t>2,752,757.00</w:t>
                    </w:r>
                  </w:p>
                </w:txbxContent>
              </v:textbox>
              <w10:wrap type="none"/>
            </v:shape>
            <v:shape style="position:absolute;left:2444;top:2268;width:1057;height:2073" type="#_x0000_t202" id="docshape323" filled="false" stroked="false">
              <v:textbox inset="0,0,0,0">
                <w:txbxContent>
                  <w:p>
                    <w:pPr>
                      <w:spacing w:line="183" w:lineRule="exact" w:before="0"/>
                      <w:ind w:left="0" w:right="98" w:firstLine="0"/>
                      <w:jc w:val="right"/>
                      <w:rPr>
                        <w:rFonts w:ascii="Calibri"/>
                        <w:sz w:val="18"/>
                      </w:rPr>
                    </w:pPr>
                    <w:r>
                      <w:rPr>
                        <w:rFonts w:ascii="Calibri"/>
                        <w:color w:val="585858"/>
                        <w:spacing w:val="-2"/>
                        <w:sz w:val="18"/>
                      </w:rPr>
                      <w:t>2,500,000.00</w:t>
                    </w:r>
                  </w:p>
                  <w:p>
                    <w:pPr>
                      <w:spacing w:line="240" w:lineRule="auto" w:before="9"/>
                      <w:rPr>
                        <w:rFonts w:ascii="Calibri"/>
                        <w:sz w:val="13"/>
                      </w:rPr>
                    </w:pPr>
                  </w:p>
                  <w:p>
                    <w:pPr>
                      <w:spacing w:before="1"/>
                      <w:ind w:left="0" w:right="77" w:firstLine="0"/>
                      <w:jc w:val="right"/>
                      <w:rPr>
                        <w:rFonts w:ascii="Calibri"/>
                        <w:sz w:val="18"/>
                      </w:rPr>
                    </w:pPr>
                    <w:r>
                      <w:rPr>
                        <w:rFonts w:ascii="Calibri"/>
                        <w:color w:val="585858"/>
                        <w:spacing w:val="-2"/>
                        <w:sz w:val="18"/>
                      </w:rPr>
                      <w:t>2,000,000.00</w:t>
                    </w:r>
                  </w:p>
                  <w:p>
                    <w:pPr>
                      <w:spacing w:line="240" w:lineRule="auto" w:before="5"/>
                      <w:rPr>
                        <w:rFonts w:ascii="Calibri"/>
                        <w:sz w:val="13"/>
                      </w:rPr>
                    </w:pPr>
                  </w:p>
                  <w:p>
                    <w:pPr>
                      <w:spacing w:before="0"/>
                      <w:ind w:left="0" w:right="57" w:firstLine="0"/>
                      <w:jc w:val="right"/>
                      <w:rPr>
                        <w:rFonts w:ascii="Calibri"/>
                        <w:sz w:val="18"/>
                      </w:rPr>
                    </w:pPr>
                    <w:r>
                      <w:rPr>
                        <w:rFonts w:ascii="Calibri"/>
                        <w:color w:val="585858"/>
                        <w:spacing w:val="-2"/>
                        <w:sz w:val="18"/>
                      </w:rPr>
                      <w:t>1,500,000.00</w:t>
                    </w:r>
                  </w:p>
                  <w:p>
                    <w:pPr>
                      <w:spacing w:before="159"/>
                      <w:ind w:left="0" w:right="37" w:firstLine="0"/>
                      <w:jc w:val="right"/>
                      <w:rPr>
                        <w:rFonts w:ascii="Calibri"/>
                        <w:sz w:val="18"/>
                      </w:rPr>
                    </w:pPr>
                    <w:r>
                      <w:rPr>
                        <w:rFonts w:ascii="Calibri"/>
                        <w:color w:val="585858"/>
                        <w:spacing w:val="-2"/>
                        <w:sz w:val="18"/>
                      </w:rPr>
                      <w:t>1,000,000.00</w:t>
                    </w:r>
                  </w:p>
                  <w:p>
                    <w:pPr>
                      <w:spacing w:before="153"/>
                      <w:ind w:left="0" w:right="18" w:firstLine="0"/>
                      <w:jc w:val="right"/>
                      <w:rPr>
                        <w:rFonts w:ascii="Calibri"/>
                        <w:sz w:val="18"/>
                      </w:rPr>
                    </w:pPr>
                    <w:r>
                      <w:rPr>
                        <w:rFonts w:ascii="Calibri"/>
                        <w:color w:val="585858"/>
                        <w:spacing w:val="-2"/>
                        <w:sz w:val="18"/>
                      </w:rPr>
                      <w:t>500,000.00</w:t>
                    </w:r>
                  </w:p>
                  <w:p>
                    <w:pPr>
                      <w:spacing w:line="216" w:lineRule="exact" w:before="149"/>
                      <w:ind w:left="0" w:right="79" w:firstLine="0"/>
                      <w:jc w:val="right"/>
                      <w:rPr>
                        <w:rFonts w:ascii="Calibri"/>
                        <w:sz w:val="18"/>
                      </w:rPr>
                    </w:pPr>
                    <w:r>
                      <w:rPr>
                        <w:rFonts w:ascii="Calibri"/>
                        <w:color w:val="585858"/>
                        <w:sz w:val="18"/>
                      </w:rPr>
                      <w:t>-</w:t>
                    </w:r>
                  </w:p>
                </w:txbxContent>
              </v:textbox>
              <w10:wrap type="none"/>
            </v:shape>
            <v:shape style="position:absolute;left:4033;top:4476;width:385;height:180" type="#_x0000_t202" id="docshape324"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2021</w:t>
                    </w:r>
                  </w:p>
                </w:txbxContent>
              </v:textbox>
              <w10:wrap type="none"/>
            </v:shape>
            <v:shape style="position:absolute;left:5086;top:4614;width:385;height:180" type="#_x0000_t202" id="docshape325"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2022</w:t>
                    </w:r>
                  </w:p>
                </w:txbxContent>
              </v:textbox>
              <w10:wrap type="none"/>
            </v:shape>
            <v:shape style="position:absolute;left:6193;top:4759;width:385;height:180" type="#_x0000_t202" id="docshape326"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2023</w:t>
                    </w:r>
                  </w:p>
                </w:txbxContent>
              </v:textbox>
              <w10:wrap type="none"/>
            </v:shape>
            <v:shape style="position:absolute;left:7360;top:4912;width:385;height:180" type="#_x0000_t202" id="docshape327"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2024</w:t>
                    </w:r>
                  </w:p>
                </w:txbxContent>
              </v:textbox>
              <w10:wrap type="none"/>
            </v:shape>
            <v:shape style="position:absolute;left:8591;top:5073;width:385;height:180" type="#_x0000_t202" id="docshape328"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2025</w:t>
                    </w:r>
                  </w:p>
                </w:txbxContent>
              </v:textbox>
              <w10:wrap type="none"/>
            </v:shape>
            <w10:wrap type="topAndBottom"/>
          </v:group>
        </w:pict>
      </w:r>
    </w:p>
    <w:p>
      <w:pPr>
        <w:pStyle w:val="BodyText"/>
        <w:spacing w:before="68"/>
        <w:ind w:left="2049"/>
      </w:pPr>
      <w:r>
        <w:rPr>
          <w:b/>
        </w:rPr>
        <w:t>Grafiku</w:t>
      </w:r>
      <w:r>
        <w:rPr>
          <w:b/>
          <w:spacing w:val="-4"/>
        </w:rPr>
        <w:t> </w:t>
      </w:r>
      <w:r>
        <w:rPr>
          <w:b/>
        </w:rPr>
        <w:t>10:</w:t>
      </w:r>
      <w:r>
        <w:rPr>
          <w:b/>
          <w:spacing w:val="-4"/>
        </w:rPr>
        <w:t> </w:t>
      </w:r>
      <w:r>
        <w:rPr/>
        <w:t>Buxheti</w:t>
      </w:r>
      <w:r>
        <w:rPr>
          <w:spacing w:val="-4"/>
        </w:rPr>
        <w:t> </w:t>
      </w:r>
      <w:r>
        <w:rPr/>
        <w:t>i</w:t>
      </w:r>
      <w:r>
        <w:rPr>
          <w:spacing w:val="-4"/>
        </w:rPr>
        <w:t> </w:t>
      </w:r>
      <w:r>
        <w:rPr/>
        <w:t>komunës</w:t>
      </w:r>
      <w:r>
        <w:rPr>
          <w:spacing w:val="-3"/>
        </w:rPr>
        <w:t> </w:t>
      </w:r>
      <w:r>
        <w:rPr/>
        <w:t>së</w:t>
      </w:r>
      <w:r>
        <w:rPr>
          <w:spacing w:val="-4"/>
        </w:rPr>
        <w:t> </w:t>
      </w:r>
      <w:r>
        <w:rPr/>
        <w:t>Hanit</w:t>
      </w:r>
      <w:r>
        <w:rPr>
          <w:spacing w:val="-3"/>
        </w:rPr>
        <w:t> </w:t>
      </w:r>
      <w:r>
        <w:rPr/>
        <w:t>të</w:t>
      </w:r>
      <w:r>
        <w:rPr>
          <w:spacing w:val="-1"/>
        </w:rPr>
        <w:t> </w:t>
      </w:r>
      <w:r>
        <w:rPr/>
        <w:t>Elezit</w:t>
      </w:r>
      <w:r>
        <w:rPr>
          <w:spacing w:val="-3"/>
        </w:rPr>
        <w:t> </w:t>
      </w:r>
      <w:r>
        <w:rPr/>
        <w:t>për</w:t>
      </w:r>
      <w:r>
        <w:rPr>
          <w:spacing w:val="-4"/>
        </w:rPr>
        <w:t> </w:t>
      </w:r>
      <w:r>
        <w:rPr/>
        <w:t>vitet</w:t>
      </w:r>
      <w:r>
        <w:rPr>
          <w:spacing w:val="-4"/>
        </w:rPr>
        <w:t> </w:t>
      </w:r>
      <w:r>
        <w:rPr/>
        <w:t>2021-</w:t>
      </w:r>
      <w:r>
        <w:rPr>
          <w:spacing w:val="-4"/>
        </w:rPr>
        <w:t>2025</w:t>
      </w:r>
    </w:p>
    <w:p>
      <w:pPr>
        <w:pStyle w:val="BodyText"/>
        <w:spacing w:before="5"/>
        <w:rPr>
          <w:sz w:val="14"/>
        </w:rPr>
      </w:pPr>
    </w:p>
    <w:p>
      <w:pPr>
        <w:pStyle w:val="Heading2"/>
        <w:numPr>
          <w:ilvl w:val="1"/>
          <w:numId w:val="12"/>
        </w:numPr>
        <w:tabs>
          <w:tab w:pos="1370" w:val="left" w:leader="none"/>
          <w:tab w:pos="10131" w:val="left" w:leader="none"/>
        </w:tabs>
        <w:spacing w:line="240" w:lineRule="auto" w:before="90" w:after="0"/>
        <w:ind w:left="1370" w:right="0" w:hanging="570"/>
        <w:jc w:val="left"/>
      </w:pPr>
      <w:r>
        <w:rPr>
          <w:color w:val="000000"/>
          <w:shd w:fill="EAB8A3" w:color="auto" w:val="clear"/>
        </w:rPr>
        <w:t>Të hyrat </w:t>
      </w:r>
      <w:r>
        <w:rPr>
          <w:color w:val="000000"/>
          <w:spacing w:val="-2"/>
          <w:shd w:fill="EAB8A3" w:color="auto" w:val="clear"/>
        </w:rPr>
        <w:t>komunale</w:t>
      </w:r>
      <w:r>
        <w:rPr>
          <w:color w:val="000000"/>
          <w:shd w:fill="EAB8A3" w:color="auto" w:val="clear"/>
        </w:rPr>
        <w:tab/>
      </w:r>
    </w:p>
    <w:p>
      <w:pPr>
        <w:spacing w:after="0" w:line="240" w:lineRule="auto"/>
        <w:jc w:val="left"/>
        <w:sectPr>
          <w:pgSz w:w="12240" w:h="15840"/>
          <w:pgMar w:header="0" w:footer="990" w:top="0" w:bottom="1180" w:left="700" w:right="0"/>
        </w:sectPr>
      </w:pPr>
    </w:p>
    <w:p>
      <w:pPr>
        <w:pStyle w:val="BodyText"/>
        <w:spacing w:line="288" w:lineRule="auto" w:before="60"/>
        <w:ind w:left="740" w:right="1855"/>
      </w:pPr>
      <w:r>
        <w:rPr/>
        <w:t>Në</w:t>
      </w:r>
      <w:r>
        <w:rPr>
          <w:spacing w:val="-3"/>
        </w:rPr>
        <w:t> </w:t>
      </w:r>
      <w:r>
        <w:rPr/>
        <w:t>tabelat</w:t>
      </w:r>
      <w:r>
        <w:rPr>
          <w:spacing w:val="-3"/>
        </w:rPr>
        <w:t> </w:t>
      </w:r>
      <w:r>
        <w:rPr/>
        <w:t>më</w:t>
      </w:r>
      <w:r>
        <w:rPr>
          <w:spacing w:val="-3"/>
        </w:rPr>
        <w:t> </w:t>
      </w:r>
      <w:r>
        <w:rPr/>
        <w:t>poshtë</w:t>
      </w:r>
      <w:r>
        <w:rPr>
          <w:spacing w:val="-3"/>
        </w:rPr>
        <w:t> </w:t>
      </w:r>
      <w:r>
        <w:rPr/>
        <w:t>kemi</w:t>
      </w:r>
      <w:r>
        <w:rPr>
          <w:spacing w:val="-1"/>
        </w:rPr>
        <w:t> </w:t>
      </w:r>
      <w:r>
        <w:rPr/>
        <w:t>paraqitur</w:t>
      </w:r>
      <w:r>
        <w:rPr>
          <w:spacing w:val="-4"/>
        </w:rPr>
        <w:t> </w:t>
      </w:r>
      <w:r>
        <w:rPr/>
        <w:t>të</w:t>
      </w:r>
      <w:r>
        <w:rPr>
          <w:spacing w:val="-3"/>
        </w:rPr>
        <w:t> </w:t>
      </w:r>
      <w:r>
        <w:rPr/>
        <w:t>hyrat</w:t>
      </w:r>
      <w:r>
        <w:rPr>
          <w:spacing w:val="-3"/>
        </w:rPr>
        <w:t> </w:t>
      </w:r>
      <w:r>
        <w:rPr/>
        <w:t>vetanake</w:t>
      </w:r>
      <w:r>
        <w:rPr>
          <w:spacing w:val="-3"/>
        </w:rPr>
        <w:t> </w:t>
      </w:r>
      <w:r>
        <w:rPr/>
        <w:t>dhe</w:t>
      </w:r>
      <w:r>
        <w:rPr>
          <w:spacing w:val="-3"/>
        </w:rPr>
        <w:t> </w:t>
      </w:r>
      <w:r>
        <w:rPr/>
        <w:t>transfert</w:t>
      </w:r>
      <w:r>
        <w:rPr>
          <w:spacing w:val="-3"/>
        </w:rPr>
        <w:t> </w:t>
      </w:r>
      <w:r>
        <w:rPr/>
        <w:t>qeveritare</w:t>
      </w:r>
      <w:r>
        <w:rPr>
          <w:spacing w:val="-3"/>
        </w:rPr>
        <w:t> </w:t>
      </w:r>
      <w:r>
        <w:rPr/>
        <w:t>për</w:t>
      </w:r>
      <w:r>
        <w:rPr>
          <w:spacing w:val="-3"/>
        </w:rPr>
        <w:t> </w:t>
      </w:r>
      <w:r>
        <w:rPr/>
        <w:t>vitet</w:t>
      </w:r>
      <w:r>
        <w:rPr>
          <w:spacing w:val="-3"/>
        </w:rPr>
        <w:t> </w:t>
      </w:r>
      <w:r>
        <w:rPr/>
        <w:t>2021- 2023 dhe parshikin dhe velersimin per vitet 2024-2025</w:t>
      </w:r>
    </w:p>
    <w:p>
      <w:pPr>
        <w:pStyle w:val="BodyText"/>
        <w:spacing w:before="6"/>
        <w:rPr>
          <w:sz w:val="16"/>
        </w:rPr>
      </w:pPr>
    </w:p>
    <w:tbl>
      <w:tblPr>
        <w:tblW w:w="0" w:type="auto"/>
        <w:jc w:val="left"/>
        <w:tblInd w:w="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9"/>
        <w:gridCol w:w="972"/>
        <w:gridCol w:w="702"/>
        <w:gridCol w:w="925"/>
        <w:gridCol w:w="656"/>
        <w:gridCol w:w="937"/>
        <w:gridCol w:w="691"/>
        <w:gridCol w:w="1042"/>
        <w:gridCol w:w="667"/>
        <w:gridCol w:w="960"/>
        <w:gridCol w:w="679"/>
      </w:tblGrid>
      <w:tr>
        <w:trPr>
          <w:trHeight w:val="393" w:hRule="atLeast"/>
        </w:trPr>
        <w:tc>
          <w:tcPr>
            <w:tcW w:w="9121" w:type="dxa"/>
            <w:gridSpan w:val="10"/>
            <w:tcBorders>
              <w:left w:val="single" w:sz="6" w:space="0" w:color="000000"/>
              <w:right w:val="single" w:sz="6" w:space="0" w:color="D3D3D3"/>
            </w:tcBorders>
          </w:tcPr>
          <w:p>
            <w:pPr>
              <w:pStyle w:val="TableParagraph"/>
              <w:spacing w:line="354" w:lineRule="exact" w:before="19"/>
              <w:ind w:left="3818" w:right="3850"/>
              <w:jc w:val="center"/>
              <w:rPr>
                <w:rFonts w:ascii="Calibri"/>
                <w:b/>
                <w:sz w:val="31"/>
              </w:rPr>
            </w:pPr>
            <w:r>
              <w:rPr>
                <w:rFonts w:ascii="Calibri"/>
                <w:b/>
                <w:w w:val="60"/>
                <w:sz w:val="31"/>
              </w:rPr>
              <w:t>Te</w:t>
            </w:r>
            <w:r>
              <w:rPr>
                <w:rFonts w:ascii="Calibri"/>
                <w:b/>
                <w:spacing w:val="-23"/>
                <w:sz w:val="31"/>
              </w:rPr>
              <w:t> </w:t>
            </w:r>
            <w:r>
              <w:rPr>
                <w:rFonts w:ascii="Calibri"/>
                <w:b/>
                <w:w w:val="60"/>
                <w:sz w:val="31"/>
              </w:rPr>
              <w:t>hyrat</w:t>
            </w:r>
            <w:r>
              <w:rPr>
                <w:rFonts w:ascii="Calibri"/>
                <w:b/>
                <w:spacing w:val="-13"/>
                <w:sz w:val="31"/>
              </w:rPr>
              <w:t> </w:t>
            </w:r>
            <w:r>
              <w:rPr>
                <w:rFonts w:ascii="Calibri"/>
                <w:b/>
                <w:spacing w:val="-2"/>
                <w:w w:val="60"/>
                <w:sz w:val="31"/>
              </w:rPr>
              <w:t>vetanake</w:t>
            </w:r>
          </w:p>
        </w:tc>
        <w:tc>
          <w:tcPr>
            <w:tcW w:w="679" w:type="dxa"/>
            <w:tcBorders>
              <w:left w:val="single" w:sz="6" w:space="0" w:color="D3D3D3"/>
              <w:right w:val="single" w:sz="6" w:space="0" w:color="000000"/>
            </w:tcBorders>
          </w:tcPr>
          <w:p>
            <w:pPr>
              <w:pStyle w:val="TableParagraph"/>
              <w:rPr>
                <w:sz w:val="18"/>
              </w:rPr>
            </w:pPr>
          </w:p>
        </w:tc>
      </w:tr>
      <w:tr>
        <w:trPr>
          <w:trHeight w:val="801" w:hRule="atLeast"/>
        </w:trPr>
        <w:tc>
          <w:tcPr>
            <w:tcW w:w="1569" w:type="dxa"/>
            <w:tcBorders>
              <w:left w:val="single" w:sz="6" w:space="0" w:color="000000"/>
              <w:bottom w:val="single" w:sz="12" w:space="0" w:color="000000"/>
              <w:right w:val="single" w:sz="6" w:space="0" w:color="000000"/>
            </w:tcBorders>
          </w:tcPr>
          <w:p>
            <w:pPr>
              <w:pStyle w:val="TableParagraph"/>
              <w:spacing w:before="215"/>
              <w:ind w:left="568" w:right="557"/>
              <w:jc w:val="center"/>
              <w:rPr>
                <w:rFonts w:ascii="Calibri"/>
                <w:sz w:val="29"/>
              </w:rPr>
            </w:pPr>
            <w:r>
              <w:rPr>
                <w:rFonts w:ascii="Calibri"/>
                <w:spacing w:val="-2"/>
                <w:w w:val="70"/>
                <w:sz w:val="29"/>
              </w:rPr>
              <w:t>Vitet</w:t>
            </w:r>
          </w:p>
        </w:tc>
        <w:tc>
          <w:tcPr>
            <w:tcW w:w="972" w:type="dxa"/>
            <w:tcBorders>
              <w:left w:val="single" w:sz="6" w:space="0" w:color="000000"/>
              <w:bottom w:val="single" w:sz="12" w:space="0" w:color="000000"/>
              <w:right w:val="single" w:sz="6" w:space="0" w:color="000000"/>
            </w:tcBorders>
          </w:tcPr>
          <w:p>
            <w:pPr>
              <w:pStyle w:val="TableParagraph"/>
              <w:spacing w:before="235"/>
              <w:ind w:left="179"/>
              <w:rPr>
                <w:rFonts w:ascii="Calibri"/>
                <w:sz w:val="29"/>
              </w:rPr>
            </w:pPr>
            <w:r>
              <w:rPr>
                <w:rFonts w:ascii="Calibri"/>
                <w:w w:val="60"/>
                <w:sz w:val="29"/>
              </w:rPr>
              <w:t>Viti</w:t>
            </w:r>
            <w:r>
              <w:rPr>
                <w:rFonts w:ascii="Calibri"/>
                <w:spacing w:val="-16"/>
                <w:sz w:val="29"/>
              </w:rPr>
              <w:t> </w:t>
            </w:r>
            <w:r>
              <w:rPr>
                <w:rFonts w:ascii="Calibri"/>
                <w:spacing w:val="-4"/>
                <w:w w:val="70"/>
                <w:sz w:val="29"/>
              </w:rPr>
              <w:t>2021</w:t>
            </w:r>
          </w:p>
        </w:tc>
        <w:tc>
          <w:tcPr>
            <w:tcW w:w="702" w:type="dxa"/>
            <w:tcBorders>
              <w:left w:val="single" w:sz="6" w:space="0" w:color="000000"/>
              <w:bottom w:val="single" w:sz="12" w:space="0" w:color="000000"/>
              <w:right w:val="single" w:sz="6" w:space="0" w:color="000000"/>
            </w:tcBorders>
          </w:tcPr>
          <w:p>
            <w:pPr>
              <w:pStyle w:val="TableParagraph"/>
              <w:spacing w:before="235"/>
              <w:ind w:left="10"/>
              <w:jc w:val="center"/>
              <w:rPr>
                <w:rFonts w:ascii="Calibri"/>
                <w:sz w:val="29"/>
              </w:rPr>
            </w:pPr>
            <w:r>
              <w:rPr>
                <w:rFonts w:ascii="Calibri"/>
                <w:w w:val="60"/>
                <w:sz w:val="29"/>
              </w:rPr>
              <w:t>%</w:t>
            </w:r>
          </w:p>
        </w:tc>
        <w:tc>
          <w:tcPr>
            <w:tcW w:w="925" w:type="dxa"/>
            <w:tcBorders>
              <w:left w:val="single" w:sz="6" w:space="0" w:color="000000"/>
              <w:bottom w:val="single" w:sz="12" w:space="0" w:color="000000"/>
              <w:right w:val="single" w:sz="6" w:space="0" w:color="000000"/>
            </w:tcBorders>
          </w:tcPr>
          <w:p>
            <w:pPr>
              <w:pStyle w:val="TableParagraph"/>
              <w:spacing w:before="235"/>
              <w:ind w:left="32"/>
              <w:jc w:val="center"/>
              <w:rPr>
                <w:rFonts w:ascii="Calibri"/>
                <w:sz w:val="29"/>
              </w:rPr>
            </w:pPr>
            <w:r>
              <w:rPr>
                <w:rFonts w:ascii="Calibri"/>
                <w:w w:val="60"/>
                <w:sz w:val="29"/>
              </w:rPr>
              <w:t>viti</w:t>
            </w:r>
            <w:r>
              <w:rPr>
                <w:rFonts w:ascii="Calibri"/>
                <w:spacing w:val="-18"/>
                <w:sz w:val="29"/>
              </w:rPr>
              <w:t> </w:t>
            </w:r>
            <w:r>
              <w:rPr>
                <w:rFonts w:ascii="Calibri"/>
                <w:spacing w:val="-4"/>
                <w:w w:val="70"/>
                <w:sz w:val="29"/>
              </w:rPr>
              <w:t>2022</w:t>
            </w:r>
          </w:p>
        </w:tc>
        <w:tc>
          <w:tcPr>
            <w:tcW w:w="656" w:type="dxa"/>
            <w:tcBorders>
              <w:left w:val="single" w:sz="6" w:space="0" w:color="000000"/>
              <w:bottom w:val="single" w:sz="12" w:space="0" w:color="000000"/>
              <w:right w:val="single" w:sz="6" w:space="0" w:color="000000"/>
            </w:tcBorders>
          </w:tcPr>
          <w:p>
            <w:pPr>
              <w:pStyle w:val="TableParagraph"/>
              <w:spacing w:before="235"/>
              <w:ind w:left="11"/>
              <w:jc w:val="center"/>
              <w:rPr>
                <w:rFonts w:ascii="Calibri"/>
                <w:sz w:val="29"/>
              </w:rPr>
            </w:pPr>
            <w:r>
              <w:rPr>
                <w:rFonts w:ascii="Calibri"/>
                <w:w w:val="60"/>
                <w:sz w:val="29"/>
              </w:rPr>
              <w:t>%</w:t>
            </w:r>
          </w:p>
        </w:tc>
        <w:tc>
          <w:tcPr>
            <w:tcW w:w="937" w:type="dxa"/>
            <w:tcBorders>
              <w:left w:val="single" w:sz="6" w:space="0" w:color="000000"/>
              <w:bottom w:val="single" w:sz="12" w:space="0" w:color="000000"/>
              <w:right w:val="single" w:sz="6" w:space="0" w:color="000000"/>
            </w:tcBorders>
          </w:tcPr>
          <w:p>
            <w:pPr>
              <w:pStyle w:val="TableParagraph"/>
              <w:spacing w:before="235"/>
              <w:ind w:left="157"/>
              <w:rPr>
                <w:rFonts w:ascii="Calibri"/>
                <w:sz w:val="29"/>
              </w:rPr>
            </w:pPr>
            <w:r>
              <w:rPr>
                <w:rFonts w:ascii="Calibri"/>
                <w:w w:val="60"/>
                <w:sz w:val="29"/>
              </w:rPr>
              <w:t>Viti</w:t>
            </w:r>
            <w:r>
              <w:rPr>
                <w:rFonts w:ascii="Calibri"/>
                <w:spacing w:val="-16"/>
                <w:sz w:val="29"/>
              </w:rPr>
              <w:t> </w:t>
            </w:r>
            <w:r>
              <w:rPr>
                <w:rFonts w:ascii="Calibri"/>
                <w:spacing w:val="-4"/>
                <w:w w:val="70"/>
                <w:sz w:val="29"/>
              </w:rPr>
              <w:t>2023</w:t>
            </w:r>
          </w:p>
        </w:tc>
        <w:tc>
          <w:tcPr>
            <w:tcW w:w="691" w:type="dxa"/>
            <w:tcBorders>
              <w:left w:val="single" w:sz="6" w:space="0" w:color="000000"/>
              <w:bottom w:val="single" w:sz="12" w:space="0" w:color="000000"/>
              <w:right w:val="single" w:sz="6" w:space="0" w:color="000000"/>
            </w:tcBorders>
          </w:tcPr>
          <w:p>
            <w:pPr>
              <w:pStyle w:val="TableParagraph"/>
              <w:spacing w:before="235"/>
              <w:ind w:left="23"/>
              <w:jc w:val="center"/>
              <w:rPr>
                <w:rFonts w:ascii="Calibri"/>
                <w:sz w:val="29"/>
              </w:rPr>
            </w:pPr>
            <w:r>
              <w:rPr>
                <w:rFonts w:ascii="Calibri"/>
                <w:w w:val="60"/>
                <w:sz w:val="29"/>
              </w:rPr>
              <w:t>%</w:t>
            </w:r>
          </w:p>
        </w:tc>
        <w:tc>
          <w:tcPr>
            <w:tcW w:w="1042" w:type="dxa"/>
            <w:tcBorders>
              <w:left w:val="single" w:sz="6" w:space="0" w:color="000000"/>
              <w:bottom w:val="single" w:sz="12" w:space="0" w:color="000000"/>
              <w:right w:val="single" w:sz="6" w:space="0" w:color="000000"/>
            </w:tcBorders>
          </w:tcPr>
          <w:p>
            <w:pPr>
              <w:pStyle w:val="TableParagraph"/>
              <w:spacing w:line="394" w:lineRule="exact"/>
              <w:ind w:left="28" w:right="12" w:firstLine="93"/>
              <w:rPr>
                <w:rFonts w:ascii="Calibri" w:hAnsi="Calibri"/>
                <w:sz w:val="29"/>
              </w:rPr>
            </w:pPr>
            <w:r>
              <w:rPr>
                <w:rFonts w:ascii="Calibri" w:hAnsi="Calibri"/>
                <w:spacing w:val="-2"/>
                <w:w w:val="70"/>
                <w:sz w:val="29"/>
              </w:rPr>
              <w:t>Planifikimi </w:t>
            </w:r>
            <w:r>
              <w:rPr>
                <w:rFonts w:ascii="Calibri" w:hAnsi="Calibri"/>
                <w:w w:val="60"/>
                <w:sz w:val="29"/>
              </w:rPr>
              <w:t>për</w:t>
            </w:r>
            <w:r>
              <w:rPr>
                <w:rFonts w:ascii="Calibri" w:hAnsi="Calibri"/>
                <w:spacing w:val="-8"/>
                <w:w w:val="60"/>
                <w:sz w:val="29"/>
              </w:rPr>
              <w:t> </w:t>
            </w:r>
            <w:r>
              <w:rPr>
                <w:rFonts w:ascii="Calibri" w:hAnsi="Calibri"/>
                <w:w w:val="60"/>
                <w:sz w:val="29"/>
              </w:rPr>
              <w:t>vitin</w:t>
            </w:r>
            <w:r>
              <w:rPr>
                <w:rFonts w:ascii="Calibri" w:hAnsi="Calibri"/>
                <w:spacing w:val="-4"/>
                <w:w w:val="60"/>
                <w:sz w:val="29"/>
              </w:rPr>
              <w:t> </w:t>
            </w:r>
            <w:r>
              <w:rPr>
                <w:rFonts w:ascii="Calibri" w:hAnsi="Calibri"/>
                <w:w w:val="60"/>
                <w:sz w:val="29"/>
              </w:rPr>
              <w:t>2024</w:t>
            </w:r>
          </w:p>
        </w:tc>
        <w:tc>
          <w:tcPr>
            <w:tcW w:w="667" w:type="dxa"/>
            <w:tcBorders>
              <w:left w:val="single" w:sz="6" w:space="0" w:color="000000"/>
              <w:bottom w:val="single" w:sz="12" w:space="0" w:color="000000"/>
              <w:right w:val="single" w:sz="6" w:space="0" w:color="000000"/>
            </w:tcBorders>
          </w:tcPr>
          <w:p>
            <w:pPr>
              <w:pStyle w:val="TableParagraph"/>
              <w:spacing w:before="235"/>
              <w:jc w:val="center"/>
              <w:rPr>
                <w:rFonts w:ascii="Calibri"/>
                <w:sz w:val="29"/>
              </w:rPr>
            </w:pPr>
            <w:r>
              <w:rPr>
                <w:rFonts w:ascii="Calibri"/>
                <w:w w:val="60"/>
                <w:sz w:val="29"/>
              </w:rPr>
              <w:t>%</w:t>
            </w:r>
          </w:p>
        </w:tc>
        <w:tc>
          <w:tcPr>
            <w:tcW w:w="960" w:type="dxa"/>
            <w:tcBorders>
              <w:left w:val="single" w:sz="6" w:space="0" w:color="000000"/>
              <w:bottom w:val="single" w:sz="12" w:space="0" w:color="000000"/>
              <w:right w:val="single" w:sz="6" w:space="0" w:color="000000"/>
            </w:tcBorders>
          </w:tcPr>
          <w:p>
            <w:pPr>
              <w:pStyle w:val="TableParagraph"/>
              <w:spacing w:line="394" w:lineRule="exact"/>
              <w:ind w:left="310" w:hanging="188"/>
              <w:rPr>
                <w:rFonts w:ascii="Calibri" w:hAnsi="Calibri"/>
                <w:sz w:val="29"/>
              </w:rPr>
            </w:pPr>
            <w:r>
              <w:rPr>
                <w:rFonts w:ascii="Calibri" w:hAnsi="Calibri"/>
                <w:spacing w:val="-2"/>
                <w:w w:val="60"/>
                <w:sz w:val="29"/>
              </w:rPr>
              <w:t>Vlerësimi</w:t>
            </w:r>
            <w:r>
              <w:rPr>
                <w:rFonts w:ascii="Calibri" w:hAnsi="Calibri"/>
                <w:spacing w:val="-2"/>
                <w:w w:val="70"/>
                <w:sz w:val="29"/>
              </w:rPr>
              <w:t> </w:t>
            </w:r>
            <w:r>
              <w:rPr>
                <w:rFonts w:ascii="Calibri" w:hAnsi="Calibri"/>
                <w:spacing w:val="-4"/>
                <w:w w:val="70"/>
                <w:sz w:val="29"/>
              </w:rPr>
              <w:t>2025</w:t>
            </w:r>
          </w:p>
        </w:tc>
        <w:tc>
          <w:tcPr>
            <w:tcW w:w="679" w:type="dxa"/>
            <w:tcBorders>
              <w:left w:val="single" w:sz="6" w:space="0" w:color="000000"/>
              <w:bottom w:val="single" w:sz="12" w:space="0" w:color="000000"/>
              <w:right w:val="single" w:sz="6" w:space="0" w:color="000000"/>
            </w:tcBorders>
          </w:tcPr>
          <w:p>
            <w:pPr>
              <w:pStyle w:val="TableParagraph"/>
              <w:spacing w:before="235"/>
              <w:ind w:left="13"/>
              <w:jc w:val="center"/>
              <w:rPr>
                <w:rFonts w:ascii="Calibri"/>
                <w:sz w:val="29"/>
              </w:rPr>
            </w:pPr>
            <w:r>
              <w:rPr>
                <w:rFonts w:ascii="Calibri"/>
                <w:w w:val="60"/>
                <w:sz w:val="29"/>
              </w:rPr>
              <w:t>%</w:t>
            </w:r>
          </w:p>
        </w:tc>
      </w:tr>
      <w:tr>
        <w:trPr>
          <w:trHeight w:val="368" w:hRule="atLeast"/>
        </w:trPr>
        <w:tc>
          <w:tcPr>
            <w:tcW w:w="1569" w:type="dxa"/>
            <w:tcBorders>
              <w:top w:val="single" w:sz="12" w:space="0" w:color="000000"/>
              <w:left w:val="single" w:sz="6" w:space="0" w:color="000000"/>
              <w:right w:val="single" w:sz="6" w:space="0" w:color="000000"/>
            </w:tcBorders>
          </w:tcPr>
          <w:p>
            <w:pPr>
              <w:pStyle w:val="TableParagraph"/>
              <w:spacing w:line="335" w:lineRule="exact" w:before="13"/>
              <w:ind w:left="27"/>
              <w:rPr>
                <w:rFonts w:ascii="Calibri"/>
                <w:sz w:val="29"/>
              </w:rPr>
            </w:pPr>
            <w:r>
              <w:rPr>
                <w:rFonts w:ascii="Calibri"/>
                <w:spacing w:val="-2"/>
                <w:w w:val="60"/>
                <w:sz w:val="29"/>
              </w:rPr>
              <w:t>Taksat</w:t>
            </w:r>
            <w:r>
              <w:rPr>
                <w:rFonts w:ascii="Calibri"/>
                <w:spacing w:val="-4"/>
                <w:w w:val="60"/>
                <w:sz w:val="29"/>
              </w:rPr>
              <w:t> </w:t>
            </w:r>
            <w:r>
              <w:rPr>
                <w:rFonts w:ascii="Calibri"/>
                <w:spacing w:val="-2"/>
                <w:w w:val="70"/>
                <w:sz w:val="29"/>
              </w:rPr>
              <w:t>komunale</w:t>
            </w:r>
          </w:p>
        </w:tc>
        <w:tc>
          <w:tcPr>
            <w:tcW w:w="972" w:type="dxa"/>
            <w:tcBorders>
              <w:top w:val="single" w:sz="12" w:space="0" w:color="000000"/>
              <w:left w:val="single" w:sz="6" w:space="0" w:color="000000"/>
              <w:right w:val="single" w:sz="6" w:space="0" w:color="000000"/>
            </w:tcBorders>
          </w:tcPr>
          <w:p>
            <w:pPr>
              <w:pStyle w:val="TableParagraph"/>
              <w:spacing w:line="335" w:lineRule="exact" w:before="13"/>
              <w:ind w:right="6"/>
              <w:jc w:val="right"/>
              <w:rPr>
                <w:rFonts w:ascii="Calibri" w:hAnsi="Calibri"/>
                <w:sz w:val="29"/>
              </w:rPr>
            </w:pPr>
            <w:r>
              <w:rPr>
                <w:rFonts w:ascii="Calibri" w:hAnsi="Calibri"/>
                <w:spacing w:val="-6"/>
                <w:w w:val="60"/>
                <w:sz w:val="29"/>
              </w:rPr>
              <w:t>110</w:t>
            </w:r>
            <w:r>
              <w:rPr>
                <w:rFonts w:ascii="Calibri" w:hAnsi="Calibri"/>
                <w:spacing w:val="-8"/>
                <w:w w:val="60"/>
                <w:sz w:val="29"/>
              </w:rPr>
              <w:t> </w:t>
            </w:r>
            <w:r>
              <w:rPr>
                <w:rFonts w:ascii="Calibri" w:hAnsi="Calibri"/>
                <w:spacing w:val="-6"/>
                <w:w w:val="60"/>
                <w:sz w:val="29"/>
              </w:rPr>
              <w:t>087,00</w:t>
            </w:r>
            <w:r>
              <w:rPr>
                <w:rFonts w:ascii="Calibri" w:hAnsi="Calibri"/>
                <w:spacing w:val="-8"/>
                <w:w w:val="60"/>
                <w:sz w:val="29"/>
              </w:rPr>
              <w:t> </w:t>
            </w:r>
            <w:r>
              <w:rPr>
                <w:rFonts w:ascii="Calibri" w:hAnsi="Calibri"/>
                <w:spacing w:val="-10"/>
                <w:w w:val="60"/>
                <w:sz w:val="29"/>
              </w:rPr>
              <w:t>€</w:t>
            </w:r>
          </w:p>
        </w:tc>
        <w:tc>
          <w:tcPr>
            <w:tcW w:w="702" w:type="dxa"/>
            <w:tcBorders>
              <w:top w:val="single" w:sz="12" w:space="0" w:color="000000"/>
              <w:left w:val="single" w:sz="6" w:space="0" w:color="000000"/>
              <w:right w:val="single" w:sz="6" w:space="0" w:color="000000"/>
            </w:tcBorders>
          </w:tcPr>
          <w:p>
            <w:pPr>
              <w:pStyle w:val="TableParagraph"/>
              <w:spacing w:line="335" w:lineRule="exact" w:before="13"/>
              <w:ind w:right="15"/>
              <w:jc w:val="right"/>
              <w:rPr>
                <w:rFonts w:ascii="Calibri"/>
                <w:sz w:val="29"/>
              </w:rPr>
            </w:pPr>
            <w:r>
              <w:rPr>
                <w:rFonts w:ascii="Calibri"/>
                <w:spacing w:val="-2"/>
                <w:w w:val="70"/>
                <w:sz w:val="29"/>
              </w:rPr>
              <w:t>38,95%</w:t>
            </w:r>
          </w:p>
        </w:tc>
        <w:tc>
          <w:tcPr>
            <w:tcW w:w="925" w:type="dxa"/>
            <w:tcBorders>
              <w:top w:val="single" w:sz="12" w:space="0" w:color="000000"/>
              <w:left w:val="single" w:sz="6" w:space="0" w:color="000000"/>
              <w:right w:val="single" w:sz="6" w:space="0" w:color="000000"/>
            </w:tcBorders>
          </w:tcPr>
          <w:p>
            <w:pPr>
              <w:pStyle w:val="TableParagraph"/>
              <w:spacing w:line="335" w:lineRule="exact" w:before="13"/>
              <w:ind w:left="32"/>
              <w:jc w:val="center"/>
              <w:rPr>
                <w:rFonts w:ascii="Calibri" w:hAnsi="Calibri"/>
                <w:sz w:val="29"/>
              </w:rPr>
            </w:pPr>
            <w:r>
              <w:rPr>
                <w:rFonts w:ascii="Calibri" w:hAnsi="Calibri"/>
                <w:spacing w:val="-6"/>
                <w:w w:val="60"/>
                <w:sz w:val="29"/>
              </w:rPr>
              <w:t>118</w:t>
            </w:r>
            <w:r>
              <w:rPr>
                <w:rFonts w:ascii="Calibri" w:hAnsi="Calibri"/>
                <w:spacing w:val="-8"/>
                <w:w w:val="60"/>
                <w:sz w:val="29"/>
              </w:rPr>
              <w:t> </w:t>
            </w:r>
            <w:r>
              <w:rPr>
                <w:rFonts w:ascii="Calibri" w:hAnsi="Calibri"/>
                <w:spacing w:val="-6"/>
                <w:w w:val="60"/>
                <w:sz w:val="29"/>
              </w:rPr>
              <w:t>855,00</w:t>
            </w:r>
            <w:r>
              <w:rPr>
                <w:rFonts w:ascii="Calibri" w:hAnsi="Calibri"/>
                <w:spacing w:val="-8"/>
                <w:w w:val="60"/>
                <w:sz w:val="29"/>
              </w:rPr>
              <w:t> </w:t>
            </w:r>
            <w:r>
              <w:rPr>
                <w:rFonts w:ascii="Calibri" w:hAnsi="Calibri"/>
                <w:spacing w:val="-10"/>
                <w:w w:val="60"/>
                <w:sz w:val="29"/>
              </w:rPr>
              <w:t>€</w:t>
            </w:r>
          </w:p>
        </w:tc>
        <w:tc>
          <w:tcPr>
            <w:tcW w:w="656" w:type="dxa"/>
            <w:tcBorders>
              <w:top w:val="single" w:sz="12" w:space="0" w:color="000000"/>
              <w:left w:val="single" w:sz="6" w:space="0" w:color="000000"/>
              <w:right w:val="single" w:sz="6" w:space="0" w:color="000000"/>
            </w:tcBorders>
          </w:tcPr>
          <w:p>
            <w:pPr>
              <w:pStyle w:val="TableParagraph"/>
              <w:spacing w:line="335" w:lineRule="exact" w:before="13"/>
              <w:ind w:right="15"/>
              <w:jc w:val="right"/>
              <w:rPr>
                <w:rFonts w:ascii="Calibri"/>
                <w:sz w:val="29"/>
              </w:rPr>
            </w:pPr>
            <w:r>
              <w:rPr>
                <w:rFonts w:ascii="Calibri"/>
                <w:spacing w:val="-2"/>
                <w:w w:val="70"/>
                <w:sz w:val="29"/>
              </w:rPr>
              <w:t>31,75%</w:t>
            </w:r>
          </w:p>
        </w:tc>
        <w:tc>
          <w:tcPr>
            <w:tcW w:w="937" w:type="dxa"/>
            <w:tcBorders>
              <w:top w:val="single" w:sz="12" w:space="0" w:color="000000"/>
              <w:left w:val="single" w:sz="6" w:space="0" w:color="000000"/>
              <w:right w:val="single" w:sz="6" w:space="0" w:color="000000"/>
            </w:tcBorders>
          </w:tcPr>
          <w:p>
            <w:pPr>
              <w:pStyle w:val="TableParagraph"/>
              <w:spacing w:line="335" w:lineRule="exact" w:before="13"/>
              <w:ind w:right="5"/>
              <w:jc w:val="right"/>
              <w:rPr>
                <w:rFonts w:ascii="Calibri" w:hAnsi="Calibri"/>
                <w:sz w:val="29"/>
              </w:rPr>
            </w:pPr>
            <w:r>
              <w:rPr>
                <w:rFonts w:ascii="Calibri" w:hAnsi="Calibri"/>
                <w:spacing w:val="-6"/>
                <w:w w:val="60"/>
                <w:sz w:val="29"/>
              </w:rPr>
              <w:t>267</w:t>
            </w:r>
            <w:r>
              <w:rPr>
                <w:rFonts w:ascii="Calibri" w:hAnsi="Calibri"/>
                <w:spacing w:val="-8"/>
                <w:w w:val="60"/>
                <w:sz w:val="29"/>
              </w:rPr>
              <w:t> </w:t>
            </w:r>
            <w:r>
              <w:rPr>
                <w:rFonts w:ascii="Calibri" w:hAnsi="Calibri"/>
                <w:spacing w:val="-6"/>
                <w:w w:val="60"/>
                <w:sz w:val="29"/>
              </w:rPr>
              <w:t>884,00</w:t>
            </w:r>
            <w:r>
              <w:rPr>
                <w:rFonts w:ascii="Calibri" w:hAnsi="Calibri"/>
                <w:spacing w:val="-8"/>
                <w:w w:val="60"/>
                <w:sz w:val="29"/>
              </w:rPr>
              <w:t> </w:t>
            </w:r>
            <w:r>
              <w:rPr>
                <w:rFonts w:ascii="Calibri" w:hAnsi="Calibri"/>
                <w:spacing w:val="-10"/>
                <w:w w:val="60"/>
                <w:sz w:val="29"/>
              </w:rPr>
              <w:t>€</w:t>
            </w:r>
          </w:p>
        </w:tc>
        <w:tc>
          <w:tcPr>
            <w:tcW w:w="691" w:type="dxa"/>
            <w:tcBorders>
              <w:top w:val="single" w:sz="12" w:space="0" w:color="000000"/>
              <w:left w:val="single" w:sz="6" w:space="0" w:color="000000"/>
              <w:right w:val="single" w:sz="6" w:space="0" w:color="000000"/>
            </w:tcBorders>
          </w:tcPr>
          <w:p>
            <w:pPr>
              <w:pStyle w:val="TableParagraph"/>
              <w:spacing w:line="335" w:lineRule="exact" w:before="13"/>
              <w:ind w:right="16"/>
              <w:jc w:val="right"/>
              <w:rPr>
                <w:rFonts w:ascii="Calibri"/>
                <w:sz w:val="29"/>
              </w:rPr>
            </w:pPr>
            <w:r>
              <w:rPr>
                <w:rFonts w:ascii="Calibri"/>
                <w:spacing w:val="-2"/>
                <w:w w:val="70"/>
                <w:sz w:val="29"/>
              </w:rPr>
              <w:t>47,83%</w:t>
            </w:r>
          </w:p>
        </w:tc>
        <w:tc>
          <w:tcPr>
            <w:tcW w:w="1042" w:type="dxa"/>
            <w:tcBorders>
              <w:top w:val="single" w:sz="12" w:space="0" w:color="000000"/>
              <w:left w:val="single" w:sz="6" w:space="0" w:color="000000"/>
              <w:right w:val="single" w:sz="6" w:space="0" w:color="000000"/>
            </w:tcBorders>
          </w:tcPr>
          <w:p>
            <w:pPr>
              <w:pStyle w:val="TableParagraph"/>
              <w:spacing w:line="335" w:lineRule="exact" w:before="13"/>
              <w:ind w:right="5"/>
              <w:jc w:val="right"/>
              <w:rPr>
                <w:rFonts w:ascii="Calibri" w:hAnsi="Calibri"/>
                <w:sz w:val="29"/>
              </w:rPr>
            </w:pPr>
            <w:r>
              <w:rPr>
                <w:rFonts w:ascii="Calibri" w:hAnsi="Calibri"/>
                <w:spacing w:val="-6"/>
                <w:w w:val="60"/>
                <w:sz w:val="29"/>
              </w:rPr>
              <w:t>75</w:t>
            </w:r>
            <w:r>
              <w:rPr>
                <w:rFonts w:ascii="Calibri" w:hAnsi="Calibri"/>
                <w:spacing w:val="-7"/>
                <w:w w:val="60"/>
                <w:sz w:val="29"/>
              </w:rPr>
              <w:t> </w:t>
            </w:r>
            <w:r>
              <w:rPr>
                <w:rFonts w:ascii="Calibri" w:hAnsi="Calibri"/>
                <w:spacing w:val="-6"/>
                <w:w w:val="60"/>
                <w:sz w:val="29"/>
              </w:rPr>
              <w:t>000,00</w:t>
            </w:r>
            <w:r>
              <w:rPr>
                <w:rFonts w:ascii="Calibri" w:hAnsi="Calibri"/>
                <w:spacing w:val="-7"/>
                <w:w w:val="60"/>
                <w:sz w:val="29"/>
              </w:rPr>
              <w:t> </w:t>
            </w:r>
            <w:r>
              <w:rPr>
                <w:rFonts w:ascii="Calibri" w:hAnsi="Calibri"/>
                <w:spacing w:val="-10"/>
                <w:w w:val="60"/>
                <w:sz w:val="29"/>
              </w:rPr>
              <w:t>€</w:t>
            </w:r>
          </w:p>
        </w:tc>
        <w:tc>
          <w:tcPr>
            <w:tcW w:w="667" w:type="dxa"/>
            <w:tcBorders>
              <w:top w:val="single" w:sz="12" w:space="0" w:color="000000"/>
              <w:left w:val="single" w:sz="6" w:space="0" w:color="000000"/>
              <w:right w:val="single" w:sz="6" w:space="0" w:color="000000"/>
            </w:tcBorders>
          </w:tcPr>
          <w:p>
            <w:pPr>
              <w:pStyle w:val="TableParagraph"/>
              <w:spacing w:line="335" w:lineRule="exact" w:before="13"/>
              <w:ind w:right="15"/>
              <w:jc w:val="right"/>
              <w:rPr>
                <w:rFonts w:ascii="Calibri"/>
                <w:sz w:val="29"/>
              </w:rPr>
            </w:pPr>
            <w:r>
              <w:rPr>
                <w:rFonts w:ascii="Calibri"/>
                <w:spacing w:val="-2"/>
                <w:w w:val="70"/>
                <w:sz w:val="29"/>
              </w:rPr>
              <w:t>27,35%</w:t>
            </w:r>
          </w:p>
        </w:tc>
        <w:tc>
          <w:tcPr>
            <w:tcW w:w="960" w:type="dxa"/>
            <w:tcBorders>
              <w:top w:val="single" w:sz="12" w:space="0" w:color="000000"/>
              <w:left w:val="single" w:sz="6" w:space="0" w:color="000000"/>
              <w:right w:val="single" w:sz="6" w:space="0" w:color="000000"/>
            </w:tcBorders>
          </w:tcPr>
          <w:p>
            <w:pPr>
              <w:pStyle w:val="TableParagraph"/>
              <w:spacing w:line="335" w:lineRule="exact" w:before="13"/>
              <w:ind w:right="4"/>
              <w:jc w:val="right"/>
              <w:rPr>
                <w:rFonts w:ascii="Calibri" w:hAnsi="Calibri"/>
                <w:sz w:val="29"/>
              </w:rPr>
            </w:pPr>
            <w:r>
              <w:rPr>
                <w:rFonts w:ascii="Calibri" w:hAnsi="Calibri"/>
                <w:spacing w:val="-6"/>
                <w:w w:val="60"/>
                <w:sz w:val="29"/>
              </w:rPr>
              <w:t>78</w:t>
            </w:r>
            <w:r>
              <w:rPr>
                <w:rFonts w:ascii="Calibri" w:hAnsi="Calibri"/>
                <w:spacing w:val="-7"/>
                <w:w w:val="60"/>
                <w:sz w:val="29"/>
              </w:rPr>
              <w:t> </w:t>
            </w:r>
            <w:r>
              <w:rPr>
                <w:rFonts w:ascii="Calibri" w:hAnsi="Calibri"/>
                <w:spacing w:val="-6"/>
                <w:w w:val="60"/>
                <w:sz w:val="29"/>
              </w:rPr>
              <w:t>774,00</w:t>
            </w:r>
            <w:r>
              <w:rPr>
                <w:rFonts w:ascii="Calibri" w:hAnsi="Calibri"/>
                <w:spacing w:val="-7"/>
                <w:w w:val="60"/>
                <w:sz w:val="29"/>
              </w:rPr>
              <w:t> </w:t>
            </w:r>
            <w:r>
              <w:rPr>
                <w:rFonts w:ascii="Calibri" w:hAnsi="Calibri"/>
                <w:spacing w:val="-10"/>
                <w:w w:val="60"/>
                <w:sz w:val="29"/>
              </w:rPr>
              <w:t>€</w:t>
            </w:r>
          </w:p>
        </w:tc>
        <w:tc>
          <w:tcPr>
            <w:tcW w:w="679" w:type="dxa"/>
            <w:tcBorders>
              <w:top w:val="single" w:sz="12" w:space="0" w:color="000000"/>
              <w:left w:val="single" w:sz="6" w:space="0" w:color="000000"/>
              <w:right w:val="single" w:sz="6" w:space="0" w:color="000000"/>
            </w:tcBorders>
          </w:tcPr>
          <w:p>
            <w:pPr>
              <w:pStyle w:val="TableParagraph"/>
              <w:spacing w:line="335" w:lineRule="exact" w:before="13"/>
              <w:ind w:right="14"/>
              <w:jc w:val="right"/>
              <w:rPr>
                <w:rFonts w:ascii="Calibri"/>
                <w:sz w:val="29"/>
              </w:rPr>
            </w:pPr>
            <w:r>
              <w:rPr>
                <w:rFonts w:ascii="Calibri"/>
                <w:spacing w:val="-2"/>
                <w:w w:val="70"/>
                <w:sz w:val="29"/>
              </w:rPr>
              <w:t>27,77%</w:t>
            </w:r>
          </w:p>
        </w:tc>
      </w:tr>
      <w:tr>
        <w:trPr>
          <w:trHeight w:val="373" w:hRule="atLeast"/>
        </w:trPr>
        <w:tc>
          <w:tcPr>
            <w:tcW w:w="1569" w:type="dxa"/>
            <w:tcBorders>
              <w:left w:val="single" w:sz="6" w:space="0" w:color="000000"/>
              <w:right w:val="single" w:sz="6" w:space="0" w:color="000000"/>
            </w:tcBorders>
          </w:tcPr>
          <w:p>
            <w:pPr>
              <w:pStyle w:val="TableParagraph"/>
              <w:spacing w:line="335" w:lineRule="exact" w:before="19"/>
              <w:ind w:left="27"/>
              <w:rPr>
                <w:rFonts w:ascii="Calibri" w:hAnsi="Calibri"/>
                <w:sz w:val="29"/>
              </w:rPr>
            </w:pPr>
            <w:r>
              <w:rPr>
                <w:rFonts w:ascii="Calibri" w:hAnsi="Calibri"/>
                <w:spacing w:val="-2"/>
                <w:w w:val="60"/>
                <w:sz w:val="29"/>
              </w:rPr>
              <w:t>Tatimi</w:t>
            </w:r>
            <w:r>
              <w:rPr>
                <w:rFonts w:ascii="Calibri" w:hAnsi="Calibri"/>
                <w:spacing w:val="-19"/>
                <w:sz w:val="29"/>
              </w:rPr>
              <w:t> </w:t>
            </w:r>
            <w:r>
              <w:rPr>
                <w:rFonts w:ascii="Calibri" w:hAnsi="Calibri"/>
                <w:spacing w:val="-2"/>
                <w:w w:val="60"/>
                <w:sz w:val="29"/>
              </w:rPr>
              <w:t>në</w:t>
            </w:r>
            <w:r>
              <w:rPr>
                <w:rFonts w:ascii="Calibri" w:hAnsi="Calibri"/>
                <w:spacing w:val="-19"/>
                <w:sz w:val="29"/>
              </w:rPr>
              <w:t> </w:t>
            </w:r>
            <w:r>
              <w:rPr>
                <w:rFonts w:ascii="Calibri" w:hAnsi="Calibri"/>
                <w:spacing w:val="-2"/>
                <w:w w:val="60"/>
                <w:sz w:val="29"/>
              </w:rPr>
              <w:t>pronë</w:t>
            </w:r>
          </w:p>
        </w:tc>
        <w:tc>
          <w:tcPr>
            <w:tcW w:w="972" w:type="dxa"/>
            <w:tcBorders>
              <w:left w:val="single" w:sz="6" w:space="0" w:color="000000"/>
              <w:right w:val="single" w:sz="6" w:space="0" w:color="000000"/>
            </w:tcBorders>
          </w:tcPr>
          <w:p>
            <w:pPr>
              <w:pStyle w:val="TableParagraph"/>
              <w:spacing w:line="335" w:lineRule="exact" w:before="19"/>
              <w:ind w:right="6"/>
              <w:jc w:val="right"/>
              <w:rPr>
                <w:rFonts w:ascii="Calibri" w:hAnsi="Calibri"/>
                <w:sz w:val="29"/>
              </w:rPr>
            </w:pPr>
            <w:r>
              <w:rPr>
                <w:rFonts w:ascii="Calibri" w:hAnsi="Calibri"/>
                <w:spacing w:val="-6"/>
                <w:w w:val="60"/>
                <w:sz w:val="29"/>
              </w:rPr>
              <w:t>94</w:t>
            </w:r>
            <w:r>
              <w:rPr>
                <w:rFonts w:ascii="Calibri" w:hAnsi="Calibri"/>
                <w:spacing w:val="-7"/>
                <w:w w:val="60"/>
                <w:sz w:val="29"/>
              </w:rPr>
              <w:t> </w:t>
            </w:r>
            <w:r>
              <w:rPr>
                <w:rFonts w:ascii="Calibri" w:hAnsi="Calibri"/>
                <w:spacing w:val="-6"/>
                <w:w w:val="60"/>
                <w:sz w:val="29"/>
              </w:rPr>
              <w:t>753,00</w:t>
            </w:r>
            <w:r>
              <w:rPr>
                <w:rFonts w:ascii="Calibri" w:hAnsi="Calibri"/>
                <w:spacing w:val="-7"/>
                <w:w w:val="60"/>
                <w:sz w:val="29"/>
              </w:rPr>
              <w:t> </w:t>
            </w:r>
            <w:r>
              <w:rPr>
                <w:rFonts w:ascii="Calibri" w:hAnsi="Calibri"/>
                <w:spacing w:val="-10"/>
                <w:w w:val="60"/>
                <w:sz w:val="29"/>
              </w:rPr>
              <w:t>€</w:t>
            </w:r>
          </w:p>
        </w:tc>
        <w:tc>
          <w:tcPr>
            <w:tcW w:w="702" w:type="dxa"/>
            <w:tcBorders>
              <w:left w:val="single" w:sz="6" w:space="0" w:color="000000"/>
              <w:right w:val="single" w:sz="6" w:space="0" w:color="000000"/>
            </w:tcBorders>
          </w:tcPr>
          <w:p>
            <w:pPr>
              <w:pStyle w:val="TableParagraph"/>
              <w:spacing w:line="335" w:lineRule="exact" w:before="19"/>
              <w:ind w:right="15"/>
              <w:jc w:val="right"/>
              <w:rPr>
                <w:rFonts w:ascii="Calibri"/>
                <w:sz w:val="29"/>
              </w:rPr>
            </w:pPr>
            <w:r>
              <w:rPr>
                <w:rFonts w:ascii="Calibri"/>
                <w:spacing w:val="-2"/>
                <w:w w:val="70"/>
                <w:sz w:val="29"/>
              </w:rPr>
              <w:t>33,53%</w:t>
            </w:r>
          </w:p>
        </w:tc>
        <w:tc>
          <w:tcPr>
            <w:tcW w:w="925" w:type="dxa"/>
            <w:tcBorders>
              <w:left w:val="single" w:sz="6" w:space="0" w:color="000000"/>
              <w:right w:val="single" w:sz="6" w:space="0" w:color="000000"/>
            </w:tcBorders>
          </w:tcPr>
          <w:p>
            <w:pPr>
              <w:pStyle w:val="TableParagraph"/>
              <w:spacing w:line="335" w:lineRule="exact" w:before="19"/>
              <w:ind w:left="32"/>
              <w:jc w:val="center"/>
              <w:rPr>
                <w:rFonts w:ascii="Calibri" w:hAnsi="Calibri"/>
                <w:sz w:val="29"/>
              </w:rPr>
            </w:pPr>
            <w:r>
              <w:rPr>
                <w:rFonts w:ascii="Calibri" w:hAnsi="Calibri"/>
                <w:spacing w:val="-6"/>
                <w:w w:val="60"/>
                <w:sz w:val="29"/>
              </w:rPr>
              <w:t>140</w:t>
            </w:r>
            <w:r>
              <w:rPr>
                <w:rFonts w:ascii="Calibri" w:hAnsi="Calibri"/>
                <w:spacing w:val="-8"/>
                <w:w w:val="60"/>
                <w:sz w:val="29"/>
              </w:rPr>
              <w:t> </w:t>
            </w:r>
            <w:r>
              <w:rPr>
                <w:rFonts w:ascii="Calibri" w:hAnsi="Calibri"/>
                <w:spacing w:val="-6"/>
                <w:w w:val="60"/>
                <w:sz w:val="29"/>
              </w:rPr>
              <w:t>000,00</w:t>
            </w:r>
            <w:r>
              <w:rPr>
                <w:rFonts w:ascii="Calibri" w:hAnsi="Calibri"/>
                <w:spacing w:val="-8"/>
                <w:w w:val="60"/>
                <w:sz w:val="29"/>
              </w:rPr>
              <w:t> </w:t>
            </w:r>
            <w:r>
              <w:rPr>
                <w:rFonts w:ascii="Calibri" w:hAnsi="Calibri"/>
                <w:spacing w:val="-10"/>
                <w:w w:val="60"/>
                <w:sz w:val="29"/>
              </w:rPr>
              <w:t>€</w:t>
            </w:r>
          </w:p>
        </w:tc>
        <w:tc>
          <w:tcPr>
            <w:tcW w:w="656" w:type="dxa"/>
            <w:tcBorders>
              <w:left w:val="single" w:sz="6" w:space="0" w:color="000000"/>
              <w:right w:val="single" w:sz="6" w:space="0" w:color="000000"/>
            </w:tcBorders>
          </w:tcPr>
          <w:p>
            <w:pPr>
              <w:pStyle w:val="TableParagraph"/>
              <w:spacing w:line="335" w:lineRule="exact" w:before="19"/>
              <w:ind w:right="15"/>
              <w:jc w:val="right"/>
              <w:rPr>
                <w:rFonts w:ascii="Calibri"/>
                <w:sz w:val="29"/>
              </w:rPr>
            </w:pPr>
            <w:r>
              <w:rPr>
                <w:rFonts w:ascii="Calibri"/>
                <w:spacing w:val="-2"/>
                <w:w w:val="70"/>
                <w:sz w:val="29"/>
              </w:rPr>
              <w:t>37,40%</w:t>
            </w:r>
          </w:p>
        </w:tc>
        <w:tc>
          <w:tcPr>
            <w:tcW w:w="937" w:type="dxa"/>
            <w:tcBorders>
              <w:left w:val="single" w:sz="6" w:space="0" w:color="000000"/>
              <w:right w:val="single" w:sz="6" w:space="0" w:color="000000"/>
            </w:tcBorders>
          </w:tcPr>
          <w:p>
            <w:pPr>
              <w:pStyle w:val="TableParagraph"/>
              <w:spacing w:line="335" w:lineRule="exact" w:before="19"/>
              <w:ind w:right="5"/>
              <w:jc w:val="right"/>
              <w:rPr>
                <w:rFonts w:ascii="Calibri" w:hAnsi="Calibri"/>
                <w:sz w:val="29"/>
              </w:rPr>
            </w:pPr>
            <w:r>
              <w:rPr>
                <w:rFonts w:ascii="Calibri" w:hAnsi="Calibri"/>
                <w:spacing w:val="-6"/>
                <w:w w:val="60"/>
                <w:sz w:val="29"/>
              </w:rPr>
              <w:t>105</w:t>
            </w:r>
            <w:r>
              <w:rPr>
                <w:rFonts w:ascii="Calibri" w:hAnsi="Calibri"/>
                <w:spacing w:val="-8"/>
                <w:w w:val="60"/>
                <w:sz w:val="29"/>
              </w:rPr>
              <w:t> </w:t>
            </w:r>
            <w:r>
              <w:rPr>
                <w:rFonts w:ascii="Calibri" w:hAnsi="Calibri"/>
                <w:spacing w:val="-6"/>
                <w:w w:val="60"/>
                <w:sz w:val="29"/>
              </w:rPr>
              <w:t>326,00</w:t>
            </w:r>
            <w:r>
              <w:rPr>
                <w:rFonts w:ascii="Calibri" w:hAnsi="Calibri"/>
                <w:spacing w:val="-8"/>
                <w:w w:val="60"/>
                <w:sz w:val="29"/>
              </w:rPr>
              <w:t> </w:t>
            </w:r>
            <w:r>
              <w:rPr>
                <w:rFonts w:ascii="Calibri" w:hAnsi="Calibri"/>
                <w:spacing w:val="-10"/>
                <w:w w:val="60"/>
                <w:sz w:val="29"/>
              </w:rPr>
              <w:t>€</w:t>
            </w:r>
          </w:p>
        </w:tc>
        <w:tc>
          <w:tcPr>
            <w:tcW w:w="691" w:type="dxa"/>
            <w:tcBorders>
              <w:left w:val="single" w:sz="6" w:space="0" w:color="000000"/>
              <w:right w:val="single" w:sz="6" w:space="0" w:color="000000"/>
            </w:tcBorders>
          </w:tcPr>
          <w:p>
            <w:pPr>
              <w:pStyle w:val="TableParagraph"/>
              <w:spacing w:line="335" w:lineRule="exact" w:before="19"/>
              <w:ind w:right="16"/>
              <w:jc w:val="right"/>
              <w:rPr>
                <w:rFonts w:ascii="Calibri"/>
                <w:sz w:val="29"/>
              </w:rPr>
            </w:pPr>
            <w:r>
              <w:rPr>
                <w:rFonts w:ascii="Calibri"/>
                <w:spacing w:val="-2"/>
                <w:w w:val="70"/>
                <w:sz w:val="29"/>
              </w:rPr>
              <w:t>18,80%</w:t>
            </w:r>
          </w:p>
        </w:tc>
        <w:tc>
          <w:tcPr>
            <w:tcW w:w="1042" w:type="dxa"/>
            <w:tcBorders>
              <w:left w:val="single" w:sz="6" w:space="0" w:color="000000"/>
              <w:right w:val="single" w:sz="6" w:space="0" w:color="000000"/>
            </w:tcBorders>
          </w:tcPr>
          <w:p>
            <w:pPr>
              <w:pStyle w:val="TableParagraph"/>
              <w:spacing w:line="335" w:lineRule="exact" w:before="19"/>
              <w:ind w:right="5"/>
              <w:jc w:val="right"/>
              <w:rPr>
                <w:rFonts w:ascii="Calibri" w:hAnsi="Calibri"/>
                <w:sz w:val="29"/>
              </w:rPr>
            </w:pPr>
            <w:r>
              <w:rPr>
                <w:rFonts w:ascii="Calibri" w:hAnsi="Calibri"/>
                <w:spacing w:val="-6"/>
                <w:w w:val="60"/>
                <w:sz w:val="29"/>
              </w:rPr>
              <w:t>151</w:t>
            </w:r>
            <w:r>
              <w:rPr>
                <w:rFonts w:ascii="Calibri" w:hAnsi="Calibri"/>
                <w:spacing w:val="-8"/>
                <w:w w:val="60"/>
                <w:sz w:val="29"/>
              </w:rPr>
              <w:t> </w:t>
            </w:r>
            <w:r>
              <w:rPr>
                <w:rFonts w:ascii="Calibri" w:hAnsi="Calibri"/>
                <w:spacing w:val="-6"/>
                <w:w w:val="60"/>
                <w:sz w:val="29"/>
              </w:rPr>
              <w:t>848,00</w:t>
            </w:r>
            <w:r>
              <w:rPr>
                <w:rFonts w:ascii="Calibri" w:hAnsi="Calibri"/>
                <w:spacing w:val="-8"/>
                <w:w w:val="60"/>
                <w:sz w:val="29"/>
              </w:rPr>
              <w:t> </w:t>
            </w:r>
            <w:r>
              <w:rPr>
                <w:rFonts w:ascii="Calibri" w:hAnsi="Calibri"/>
                <w:spacing w:val="-10"/>
                <w:w w:val="60"/>
                <w:sz w:val="29"/>
              </w:rPr>
              <w:t>€</w:t>
            </w:r>
          </w:p>
        </w:tc>
        <w:tc>
          <w:tcPr>
            <w:tcW w:w="667" w:type="dxa"/>
            <w:tcBorders>
              <w:left w:val="single" w:sz="6" w:space="0" w:color="000000"/>
              <w:right w:val="single" w:sz="6" w:space="0" w:color="000000"/>
            </w:tcBorders>
          </w:tcPr>
          <w:p>
            <w:pPr>
              <w:pStyle w:val="TableParagraph"/>
              <w:spacing w:line="335" w:lineRule="exact" w:before="19"/>
              <w:ind w:right="15"/>
              <w:jc w:val="right"/>
              <w:rPr>
                <w:rFonts w:ascii="Calibri"/>
                <w:sz w:val="29"/>
              </w:rPr>
            </w:pPr>
            <w:r>
              <w:rPr>
                <w:rFonts w:ascii="Calibri"/>
                <w:spacing w:val="-2"/>
                <w:w w:val="70"/>
                <w:sz w:val="29"/>
              </w:rPr>
              <w:t>55,36%</w:t>
            </w:r>
          </w:p>
        </w:tc>
        <w:tc>
          <w:tcPr>
            <w:tcW w:w="960" w:type="dxa"/>
            <w:tcBorders>
              <w:left w:val="single" w:sz="6" w:space="0" w:color="000000"/>
              <w:right w:val="single" w:sz="6" w:space="0" w:color="000000"/>
            </w:tcBorders>
          </w:tcPr>
          <w:p>
            <w:pPr>
              <w:pStyle w:val="TableParagraph"/>
              <w:spacing w:line="335" w:lineRule="exact" w:before="19"/>
              <w:ind w:right="4"/>
              <w:jc w:val="right"/>
              <w:rPr>
                <w:rFonts w:ascii="Calibri" w:hAnsi="Calibri"/>
                <w:sz w:val="29"/>
              </w:rPr>
            </w:pPr>
            <w:r>
              <w:rPr>
                <w:rFonts w:ascii="Calibri" w:hAnsi="Calibri"/>
                <w:spacing w:val="-6"/>
                <w:w w:val="60"/>
                <w:sz w:val="29"/>
              </w:rPr>
              <w:t>155</w:t>
            </w:r>
            <w:r>
              <w:rPr>
                <w:rFonts w:ascii="Calibri" w:hAnsi="Calibri"/>
                <w:spacing w:val="-8"/>
                <w:w w:val="60"/>
                <w:sz w:val="29"/>
              </w:rPr>
              <w:t> </w:t>
            </w:r>
            <w:r>
              <w:rPr>
                <w:rFonts w:ascii="Calibri" w:hAnsi="Calibri"/>
                <w:spacing w:val="-6"/>
                <w:w w:val="60"/>
                <w:sz w:val="29"/>
              </w:rPr>
              <w:t>853,00</w:t>
            </w:r>
            <w:r>
              <w:rPr>
                <w:rFonts w:ascii="Calibri" w:hAnsi="Calibri"/>
                <w:spacing w:val="-8"/>
                <w:w w:val="60"/>
                <w:sz w:val="29"/>
              </w:rPr>
              <w:t> </w:t>
            </w:r>
            <w:r>
              <w:rPr>
                <w:rFonts w:ascii="Calibri" w:hAnsi="Calibri"/>
                <w:spacing w:val="-10"/>
                <w:w w:val="60"/>
                <w:sz w:val="29"/>
              </w:rPr>
              <w:t>€</w:t>
            </w:r>
          </w:p>
        </w:tc>
        <w:tc>
          <w:tcPr>
            <w:tcW w:w="679" w:type="dxa"/>
            <w:tcBorders>
              <w:left w:val="single" w:sz="6" w:space="0" w:color="000000"/>
              <w:right w:val="single" w:sz="6" w:space="0" w:color="000000"/>
            </w:tcBorders>
          </w:tcPr>
          <w:p>
            <w:pPr>
              <w:pStyle w:val="TableParagraph"/>
              <w:spacing w:line="335" w:lineRule="exact" w:before="19"/>
              <w:ind w:right="14"/>
              <w:jc w:val="right"/>
              <w:rPr>
                <w:rFonts w:ascii="Calibri"/>
                <w:sz w:val="29"/>
              </w:rPr>
            </w:pPr>
            <w:r>
              <w:rPr>
                <w:rFonts w:ascii="Calibri"/>
                <w:spacing w:val="-2"/>
                <w:w w:val="70"/>
                <w:sz w:val="29"/>
              </w:rPr>
              <w:t>54,95%</w:t>
            </w:r>
          </w:p>
        </w:tc>
      </w:tr>
      <w:tr>
        <w:trPr>
          <w:trHeight w:val="373" w:hRule="atLeast"/>
        </w:trPr>
        <w:tc>
          <w:tcPr>
            <w:tcW w:w="1569" w:type="dxa"/>
            <w:tcBorders>
              <w:left w:val="single" w:sz="6" w:space="0" w:color="000000"/>
              <w:right w:val="single" w:sz="6" w:space="0" w:color="000000"/>
            </w:tcBorders>
          </w:tcPr>
          <w:p>
            <w:pPr>
              <w:pStyle w:val="TableParagraph"/>
              <w:spacing w:line="335" w:lineRule="exact" w:before="18"/>
              <w:ind w:left="27"/>
              <w:rPr>
                <w:rFonts w:ascii="Calibri" w:hAnsi="Calibri"/>
                <w:sz w:val="29"/>
              </w:rPr>
            </w:pPr>
            <w:r>
              <w:rPr>
                <w:rFonts w:ascii="Calibri" w:hAnsi="Calibri"/>
                <w:spacing w:val="-2"/>
                <w:w w:val="60"/>
                <w:sz w:val="29"/>
              </w:rPr>
              <w:t>Tatimi</w:t>
            </w:r>
            <w:r>
              <w:rPr>
                <w:rFonts w:ascii="Calibri" w:hAnsi="Calibri"/>
                <w:spacing w:val="-19"/>
                <w:sz w:val="29"/>
              </w:rPr>
              <w:t> </w:t>
            </w:r>
            <w:r>
              <w:rPr>
                <w:rFonts w:ascii="Calibri" w:hAnsi="Calibri"/>
                <w:spacing w:val="-2"/>
                <w:w w:val="60"/>
                <w:sz w:val="29"/>
              </w:rPr>
              <w:t>në</w:t>
            </w:r>
            <w:r>
              <w:rPr>
                <w:rFonts w:ascii="Calibri" w:hAnsi="Calibri"/>
                <w:spacing w:val="-19"/>
                <w:sz w:val="29"/>
              </w:rPr>
              <w:t> </w:t>
            </w:r>
            <w:r>
              <w:rPr>
                <w:rFonts w:ascii="Calibri" w:hAnsi="Calibri"/>
                <w:spacing w:val="-4"/>
                <w:w w:val="60"/>
                <w:sz w:val="29"/>
              </w:rPr>
              <w:t>tokë</w:t>
            </w:r>
          </w:p>
        </w:tc>
        <w:tc>
          <w:tcPr>
            <w:tcW w:w="972" w:type="dxa"/>
            <w:tcBorders>
              <w:left w:val="single" w:sz="6" w:space="0" w:color="000000"/>
              <w:right w:val="single" w:sz="6" w:space="0" w:color="000000"/>
            </w:tcBorders>
          </w:tcPr>
          <w:p>
            <w:pPr>
              <w:pStyle w:val="TableParagraph"/>
              <w:spacing w:line="335" w:lineRule="exact" w:before="18"/>
              <w:ind w:right="6"/>
              <w:jc w:val="right"/>
              <w:rPr>
                <w:rFonts w:ascii="Calibri" w:hAnsi="Calibri"/>
                <w:sz w:val="29"/>
              </w:rPr>
            </w:pPr>
            <w:r>
              <w:rPr>
                <w:rFonts w:ascii="Calibri" w:hAnsi="Calibri"/>
                <w:spacing w:val="-6"/>
                <w:w w:val="60"/>
                <w:sz w:val="29"/>
              </w:rPr>
              <w:t>52</w:t>
            </w:r>
            <w:r>
              <w:rPr>
                <w:rFonts w:ascii="Calibri" w:hAnsi="Calibri"/>
                <w:spacing w:val="-7"/>
                <w:w w:val="60"/>
                <w:sz w:val="29"/>
              </w:rPr>
              <w:t> </w:t>
            </w:r>
            <w:r>
              <w:rPr>
                <w:rFonts w:ascii="Calibri" w:hAnsi="Calibri"/>
                <w:spacing w:val="-6"/>
                <w:w w:val="60"/>
                <w:sz w:val="29"/>
              </w:rPr>
              <w:t>450,00</w:t>
            </w:r>
            <w:r>
              <w:rPr>
                <w:rFonts w:ascii="Calibri" w:hAnsi="Calibri"/>
                <w:spacing w:val="-7"/>
                <w:w w:val="60"/>
                <w:sz w:val="29"/>
              </w:rPr>
              <w:t> </w:t>
            </w:r>
            <w:r>
              <w:rPr>
                <w:rFonts w:ascii="Calibri" w:hAnsi="Calibri"/>
                <w:spacing w:val="-10"/>
                <w:w w:val="60"/>
                <w:sz w:val="29"/>
              </w:rPr>
              <w:t>€</w:t>
            </w:r>
          </w:p>
        </w:tc>
        <w:tc>
          <w:tcPr>
            <w:tcW w:w="702" w:type="dxa"/>
            <w:tcBorders>
              <w:left w:val="single" w:sz="6" w:space="0" w:color="000000"/>
              <w:right w:val="single" w:sz="6" w:space="0" w:color="000000"/>
            </w:tcBorders>
          </w:tcPr>
          <w:p>
            <w:pPr>
              <w:pStyle w:val="TableParagraph"/>
              <w:spacing w:line="335" w:lineRule="exact" w:before="18"/>
              <w:ind w:right="15"/>
              <w:jc w:val="right"/>
              <w:rPr>
                <w:rFonts w:ascii="Calibri"/>
                <w:sz w:val="29"/>
              </w:rPr>
            </w:pPr>
            <w:r>
              <w:rPr>
                <w:rFonts w:ascii="Calibri"/>
                <w:spacing w:val="-2"/>
                <w:w w:val="70"/>
                <w:sz w:val="29"/>
              </w:rPr>
              <w:t>18,56%</w:t>
            </w:r>
          </w:p>
        </w:tc>
        <w:tc>
          <w:tcPr>
            <w:tcW w:w="925" w:type="dxa"/>
            <w:tcBorders>
              <w:left w:val="single" w:sz="6" w:space="0" w:color="000000"/>
              <w:right w:val="single" w:sz="6" w:space="0" w:color="000000"/>
            </w:tcBorders>
          </w:tcPr>
          <w:p>
            <w:pPr>
              <w:pStyle w:val="TableParagraph"/>
              <w:spacing w:line="335" w:lineRule="exact" w:before="18"/>
              <w:ind w:left="114"/>
              <w:jc w:val="center"/>
              <w:rPr>
                <w:rFonts w:ascii="Calibri" w:hAnsi="Calibri"/>
                <w:sz w:val="29"/>
              </w:rPr>
            </w:pPr>
            <w:r>
              <w:rPr>
                <w:rFonts w:ascii="Calibri" w:hAnsi="Calibri"/>
                <w:spacing w:val="-6"/>
                <w:w w:val="60"/>
                <w:sz w:val="29"/>
              </w:rPr>
              <w:t>85</w:t>
            </w:r>
            <w:r>
              <w:rPr>
                <w:rFonts w:ascii="Calibri" w:hAnsi="Calibri"/>
                <w:spacing w:val="-7"/>
                <w:w w:val="60"/>
                <w:sz w:val="29"/>
              </w:rPr>
              <w:t> </w:t>
            </w:r>
            <w:r>
              <w:rPr>
                <w:rFonts w:ascii="Calibri" w:hAnsi="Calibri"/>
                <w:spacing w:val="-6"/>
                <w:w w:val="60"/>
                <w:sz w:val="29"/>
              </w:rPr>
              <w:t>572,00</w:t>
            </w:r>
            <w:r>
              <w:rPr>
                <w:rFonts w:ascii="Calibri" w:hAnsi="Calibri"/>
                <w:spacing w:val="-7"/>
                <w:w w:val="60"/>
                <w:sz w:val="29"/>
              </w:rPr>
              <w:t> </w:t>
            </w:r>
            <w:r>
              <w:rPr>
                <w:rFonts w:ascii="Calibri" w:hAnsi="Calibri"/>
                <w:spacing w:val="-10"/>
                <w:w w:val="60"/>
                <w:sz w:val="29"/>
              </w:rPr>
              <w:t>€</w:t>
            </w:r>
          </w:p>
        </w:tc>
        <w:tc>
          <w:tcPr>
            <w:tcW w:w="656" w:type="dxa"/>
            <w:tcBorders>
              <w:left w:val="single" w:sz="6" w:space="0" w:color="000000"/>
              <w:right w:val="single" w:sz="6" w:space="0" w:color="000000"/>
            </w:tcBorders>
          </w:tcPr>
          <w:p>
            <w:pPr>
              <w:pStyle w:val="TableParagraph"/>
              <w:spacing w:line="335" w:lineRule="exact" w:before="18"/>
              <w:ind w:right="15"/>
              <w:jc w:val="right"/>
              <w:rPr>
                <w:rFonts w:ascii="Calibri"/>
                <w:sz w:val="29"/>
              </w:rPr>
            </w:pPr>
            <w:r>
              <w:rPr>
                <w:rFonts w:ascii="Calibri"/>
                <w:spacing w:val="-2"/>
                <w:w w:val="70"/>
                <w:sz w:val="29"/>
              </w:rPr>
              <w:t>22,86%</w:t>
            </w:r>
          </w:p>
        </w:tc>
        <w:tc>
          <w:tcPr>
            <w:tcW w:w="937" w:type="dxa"/>
            <w:tcBorders>
              <w:left w:val="single" w:sz="6" w:space="0" w:color="000000"/>
              <w:right w:val="single" w:sz="6" w:space="0" w:color="000000"/>
            </w:tcBorders>
          </w:tcPr>
          <w:p>
            <w:pPr>
              <w:pStyle w:val="TableParagraph"/>
              <w:spacing w:line="335" w:lineRule="exact" w:before="18"/>
              <w:ind w:right="5"/>
              <w:jc w:val="right"/>
              <w:rPr>
                <w:rFonts w:ascii="Calibri" w:hAnsi="Calibri"/>
                <w:sz w:val="29"/>
              </w:rPr>
            </w:pPr>
            <w:r>
              <w:rPr>
                <w:rFonts w:ascii="Calibri" w:hAnsi="Calibri"/>
                <w:spacing w:val="-6"/>
                <w:w w:val="60"/>
                <w:sz w:val="29"/>
              </w:rPr>
              <w:t>117</w:t>
            </w:r>
            <w:r>
              <w:rPr>
                <w:rFonts w:ascii="Calibri" w:hAnsi="Calibri"/>
                <w:spacing w:val="-8"/>
                <w:w w:val="60"/>
                <w:sz w:val="29"/>
              </w:rPr>
              <w:t> </w:t>
            </w:r>
            <w:r>
              <w:rPr>
                <w:rFonts w:ascii="Calibri" w:hAnsi="Calibri"/>
                <w:spacing w:val="-6"/>
                <w:w w:val="60"/>
                <w:sz w:val="29"/>
              </w:rPr>
              <w:t>411,00</w:t>
            </w:r>
            <w:r>
              <w:rPr>
                <w:rFonts w:ascii="Calibri" w:hAnsi="Calibri"/>
                <w:spacing w:val="-8"/>
                <w:w w:val="60"/>
                <w:sz w:val="29"/>
              </w:rPr>
              <w:t> </w:t>
            </w:r>
            <w:r>
              <w:rPr>
                <w:rFonts w:ascii="Calibri" w:hAnsi="Calibri"/>
                <w:spacing w:val="-10"/>
                <w:w w:val="60"/>
                <w:sz w:val="29"/>
              </w:rPr>
              <w:t>€</w:t>
            </w:r>
          </w:p>
        </w:tc>
        <w:tc>
          <w:tcPr>
            <w:tcW w:w="691" w:type="dxa"/>
            <w:tcBorders>
              <w:left w:val="single" w:sz="6" w:space="0" w:color="000000"/>
              <w:right w:val="single" w:sz="6" w:space="0" w:color="000000"/>
            </w:tcBorders>
          </w:tcPr>
          <w:p>
            <w:pPr>
              <w:pStyle w:val="TableParagraph"/>
              <w:spacing w:line="335" w:lineRule="exact" w:before="18"/>
              <w:ind w:right="16"/>
              <w:jc w:val="right"/>
              <w:rPr>
                <w:rFonts w:ascii="Calibri"/>
                <w:sz w:val="29"/>
              </w:rPr>
            </w:pPr>
            <w:r>
              <w:rPr>
                <w:rFonts w:ascii="Calibri"/>
                <w:spacing w:val="-2"/>
                <w:w w:val="70"/>
                <w:sz w:val="29"/>
              </w:rPr>
              <w:t>20,96%</w:t>
            </w:r>
          </w:p>
        </w:tc>
        <w:tc>
          <w:tcPr>
            <w:tcW w:w="1042" w:type="dxa"/>
            <w:tcBorders>
              <w:left w:val="single" w:sz="6" w:space="0" w:color="000000"/>
              <w:right w:val="single" w:sz="6" w:space="0" w:color="000000"/>
            </w:tcBorders>
          </w:tcPr>
          <w:p>
            <w:pPr>
              <w:pStyle w:val="TableParagraph"/>
              <w:spacing w:line="335" w:lineRule="exact" w:before="18"/>
              <w:ind w:right="5"/>
              <w:jc w:val="right"/>
              <w:rPr>
                <w:rFonts w:ascii="Calibri" w:hAnsi="Calibri"/>
                <w:sz w:val="29"/>
              </w:rPr>
            </w:pPr>
            <w:r>
              <w:rPr>
                <w:rFonts w:ascii="Calibri" w:hAnsi="Calibri"/>
                <w:spacing w:val="-6"/>
                <w:w w:val="60"/>
                <w:sz w:val="29"/>
              </w:rPr>
              <w:t>32</w:t>
            </w:r>
            <w:r>
              <w:rPr>
                <w:rFonts w:ascii="Calibri" w:hAnsi="Calibri"/>
                <w:spacing w:val="-7"/>
                <w:w w:val="60"/>
                <w:sz w:val="29"/>
              </w:rPr>
              <w:t> </w:t>
            </w:r>
            <w:r>
              <w:rPr>
                <w:rFonts w:ascii="Calibri" w:hAnsi="Calibri"/>
                <w:spacing w:val="-6"/>
                <w:w w:val="60"/>
                <w:sz w:val="29"/>
              </w:rPr>
              <w:t>065,00</w:t>
            </w:r>
            <w:r>
              <w:rPr>
                <w:rFonts w:ascii="Calibri" w:hAnsi="Calibri"/>
                <w:spacing w:val="-7"/>
                <w:w w:val="60"/>
                <w:sz w:val="29"/>
              </w:rPr>
              <w:t> </w:t>
            </w:r>
            <w:r>
              <w:rPr>
                <w:rFonts w:ascii="Calibri" w:hAnsi="Calibri"/>
                <w:spacing w:val="-10"/>
                <w:w w:val="60"/>
                <w:sz w:val="29"/>
              </w:rPr>
              <w:t>€</w:t>
            </w:r>
          </w:p>
        </w:tc>
        <w:tc>
          <w:tcPr>
            <w:tcW w:w="667" w:type="dxa"/>
            <w:tcBorders>
              <w:left w:val="single" w:sz="6" w:space="0" w:color="000000"/>
              <w:right w:val="single" w:sz="6" w:space="0" w:color="000000"/>
            </w:tcBorders>
          </w:tcPr>
          <w:p>
            <w:pPr>
              <w:pStyle w:val="TableParagraph"/>
              <w:spacing w:line="335" w:lineRule="exact" w:before="18"/>
              <w:ind w:right="15"/>
              <w:jc w:val="right"/>
              <w:rPr>
                <w:rFonts w:ascii="Calibri"/>
                <w:sz w:val="29"/>
              </w:rPr>
            </w:pPr>
            <w:r>
              <w:rPr>
                <w:rFonts w:ascii="Calibri"/>
                <w:spacing w:val="-2"/>
                <w:w w:val="70"/>
                <w:sz w:val="29"/>
              </w:rPr>
              <w:t>11,68%</w:t>
            </w:r>
          </w:p>
        </w:tc>
        <w:tc>
          <w:tcPr>
            <w:tcW w:w="960" w:type="dxa"/>
            <w:tcBorders>
              <w:left w:val="single" w:sz="6" w:space="0" w:color="000000"/>
              <w:right w:val="single" w:sz="6" w:space="0" w:color="000000"/>
            </w:tcBorders>
          </w:tcPr>
          <w:p>
            <w:pPr>
              <w:pStyle w:val="TableParagraph"/>
              <w:spacing w:line="335" w:lineRule="exact" w:before="18"/>
              <w:ind w:right="4"/>
              <w:jc w:val="right"/>
              <w:rPr>
                <w:rFonts w:ascii="Calibri" w:hAnsi="Calibri"/>
                <w:sz w:val="29"/>
              </w:rPr>
            </w:pPr>
            <w:r>
              <w:rPr>
                <w:rFonts w:ascii="Calibri" w:hAnsi="Calibri"/>
                <w:spacing w:val="-6"/>
                <w:w w:val="60"/>
                <w:sz w:val="29"/>
              </w:rPr>
              <w:t>32</w:t>
            </w:r>
            <w:r>
              <w:rPr>
                <w:rFonts w:ascii="Calibri" w:hAnsi="Calibri"/>
                <w:spacing w:val="-7"/>
                <w:w w:val="60"/>
                <w:sz w:val="29"/>
              </w:rPr>
              <w:t> </w:t>
            </w:r>
            <w:r>
              <w:rPr>
                <w:rFonts w:ascii="Calibri" w:hAnsi="Calibri"/>
                <w:spacing w:val="-6"/>
                <w:w w:val="60"/>
                <w:sz w:val="29"/>
              </w:rPr>
              <w:t>772,00</w:t>
            </w:r>
            <w:r>
              <w:rPr>
                <w:rFonts w:ascii="Calibri" w:hAnsi="Calibri"/>
                <w:spacing w:val="-7"/>
                <w:w w:val="60"/>
                <w:sz w:val="29"/>
              </w:rPr>
              <w:t> </w:t>
            </w:r>
            <w:r>
              <w:rPr>
                <w:rFonts w:ascii="Calibri" w:hAnsi="Calibri"/>
                <w:spacing w:val="-10"/>
                <w:w w:val="60"/>
                <w:sz w:val="29"/>
              </w:rPr>
              <w:t>€</w:t>
            </w:r>
          </w:p>
        </w:tc>
        <w:tc>
          <w:tcPr>
            <w:tcW w:w="679" w:type="dxa"/>
            <w:tcBorders>
              <w:left w:val="single" w:sz="6" w:space="0" w:color="000000"/>
              <w:right w:val="single" w:sz="6" w:space="0" w:color="000000"/>
            </w:tcBorders>
          </w:tcPr>
          <w:p>
            <w:pPr>
              <w:pStyle w:val="TableParagraph"/>
              <w:spacing w:line="335" w:lineRule="exact" w:before="18"/>
              <w:ind w:right="14"/>
              <w:jc w:val="right"/>
              <w:rPr>
                <w:rFonts w:ascii="Calibri"/>
                <w:sz w:val="29"/>
              </w:rPr>
            </w:pPr>
            <w:r>
              <w:rPr>
                <w:rFonts w:ascii="Calibri"/>
                <w:spacing w:val="-2"/>
                <w:w w:val="70"/>
                <w:sz w:val="29"/>
              </w:rPr>
              <w:t>11,56%</w:t>
            </w:r>
          </w:p>
        </w:tc>
      </w:tr>
      <w:tr>
        <w:trPr>
          <w:trHeight w:val="370" w:hRule="atLeast"/>
        </w:trPr>
        <w:tc>
          <w:tcPr>
            <w:tcW w:w="1569" w:type="dxa"/>
            <w:tcBorders>
              <w:left w:val="single" w:sz="6" w:space="0" w:color="000000"/>
              <w:bottom w:val="single" w:sz="18" w:space="0" w:color="000000"/>
              <w:right w:val="single" w:sz="6" w:space="0" w:color="000000"/>
            </w:tcBorders>
          </w:tcPr>
          <w:p>
            <w:pPr>
              <w:pStyle w:val="TableParagraph"/>
              <w:spacing w:line="332" w:lineRule="exact" w:before="19"/>
              <w:ind w:left="27"/>
              <w:rPr>
                <w:rFonts w:ascii="Calibri"/>
                <w:sz w:val="29"/>
              </w:rPr>
            </w:pPr>
            <w:r>
              <w:rPr>
                <w:rFonts w:ascii="Calibri"/>
                <w:spacing w:val="-2"/>
                <w:w w:val="60"/>
                <w:sz w:val="29"/>
              </w:rPr>
              <w:t>Ngarkesat</w:t>
            </w:r>
            <w:r>
              <w:rPr>
                <w:rFonts w:ascii="Calibri"/>
                <w:spacing w:val="-18"/>
                <w:sz w:val="29"/>
              </w:rPr>
              <w:t> </w:t>
            </w:r>
            <w:r>
              <w:rPr>
                <w:rFonts w:ascii="Calibri"/>
                <w:spacing w:val="-2"/>
                <w:w w:val="65"/>
                <w:sz w:val="29"/>
              </w:rPr>
              <w:t>komunale</w:t>
            </w:r>
          </w:p>
        </w:tc>
        <w:tc>
          <w:tcPr>
            <w:tcW w:w="972" w:type="dxa"/>
            <w:tcBorders>
              <w:left w:val="single" w:sz="6" w:space="0" w:color="000000"/>
              <w:bottom w:val="single" w:sz="18" w:space="0" w:color="000000"/>
              <w:right w:val="single" w:sz="6" w:space="0" w:color="000000"/>
            </w:tcBorders>
          </w:tcPr>
          <w:p>
            <w:pPr>
              <w:pStyle w:val="TableParagraph"/>
              <w:spacing w:line="332" w:lineRule="exact" w:before="19"/>
              <w:ind w:right="6"/>
              <w:jc w:val="right"/>
              <w:rPr>
                <w:rFonts w:ascii="Calibri" w:hAnsi="Calibri"/>
                <w:sz w:val="29"/>
              </w:rPr>
            </w:pPr>
            <w:r>
              <w:rPr>
                <w:rFonts w:ascii="Calibri" w:hAnsi="Calibri"/>
                <w:spacing w:val="-6"/>
                <w:w w:val="60"/>
                <w:sz w:val="29"/>
              </w:rPr>
              <w:t>25</w:t>
            </w:r>
            <w:r>
              <w:rPr>
                <w:rFonts w:ascii="Calibri" w:hAnsi="Calibri"/>
                <w:spacing w:val="-7"/>
                <w:w w:val="60"/>
                <w:sz w:val="29"/>
              </w:rPr>
              <w:t> </w:t>
            </w:r>
            <w:r>
              <w:rPr>
                <w:rFonts w:ascii="Calibri" w:hAnsi="Calibri"/>
                <w:spacing w:val="-6"/>
                <w:w w:val="60"/>
                <w:sz w:val="29"/>
              </w:rPr>
              <w:t>334,00</w:t>
            </w:r>
            <w:r>
              <w:rPr>
                <w:rFonts w:ascii="Calibri" w:hAnsi="Calibri"/>
                <w:spacing w:val="-7"/>
                <w:w w:val="60"/>
                <w:sz w:val="29"/>
              </w:rPr>
              <w:t> </w:t>
            </w:r>
            <w:r>
              <w:rPr>
                <w:rFonts w:ascii="Calibri" w:hAnsi="Calibri"/>
                <w:spacing w:val="-10"/>
                <w:w w:val="60"/>
                <w:sz w:val="29"/>
              </w:rPr>
              <w:t>€</w:t>
            </w:r>
          </w:p>
        </w:tc>
        <w:tc>
          <w:tcPr>
            <w:tcW w:w="702" w:type="dxa"/>
            <w:tcBorders>
              <w:left w:val="single" w:sz="6" w:space="0" w:color="000000"/>
              <w:bottom w:val="single" w:sz="18" w:space="0" w:color="000000"/>
              <w:right w:val="single" w:sz="6" w:space="0" w:color="000000"/>
            </w:tcBorders>
          </w:tcPr>
          <w:p>
            <w:pPr>
              <w:pStyle w:val="TableParagraph"/>
              <w:spacing w:line="332" w:lineRule="exact" w:before="19"/>
              <w:ind w:right="15"/>
              <w:jc w:val="right"/>
              <w:rPr>
                <w:rFonts w:ascii="Calibri"/>
                <w:sz w:val="29"/>
              </w:rPr>
            </w:pPr>
            <w:r>
              <w:rPr>
                <w:rFonts w:ascii="Calibri"/>
                <w:spacing w:val="-4"/>
                <w:w w:val="70"/>
                <w:sz w:val="29"/>
              </w:rPr>
              <w:t>8,96%</w:t>
            </w:r>
          </w:p>
        </w:tc>
        <w:tc>
          <w:tcPr>
            <w:tcW w:w="925" w:type="dxa"/>
            <w:tcBorders>
              <w:left w:val="single" w:sz="6" w:space="0" w:color="000000"/>
              <w:bottom w:val="single" w:sz="18" w:space="0" w:color="000000"/>
              <w:right w:val="single" w:sz="6" w:space="0" w:color="000000"/>
            </w:tcBorders>
          </w:tcPr>
          <w:p>
            <w:pPr>
              <w:pStyle w:val="TableParagraph"/>
              <w:spacing w:line="332" w:lineRule="exact" w:before="19"/>
              <w:ind w:left="114"/>
              <w:jc w:val="center"/>
              <w:rPr>
                <w:rFonts w:ascii="Calibri" w:hAnsi="Calibri"/>
                <w:sz w:val="29"/>
              </w:rPr>
            </w:pPr>
            <w:r>
              <w:rPr>
                <w:rFonts w:ascii="Calibri" w:hAnsi="Calibri"/>
                <w:spacing w:val="-6"/>
                <w:w w:val="60"/>
                <w:sz w:val="29"/>
              </w:rPr>
              <w:t>29</w:t>
            </w:r>
            <w:r>
              <w:rPr>
                <w:rFonts w:ascii="Calibri" w:hAnsi="Calibri"/>
                <w:spacing w:val="-7"/>
                <w:w w:val="60"/>
                <w:sz w:val="29"/>
              </w:rPr>
              <w:t> </w:t>
            </w:r>
            <w:r>
              <w:rPr>
                <w:rFonts w:ascii="Calibri" w:hAnsi="Calibri"/>
                <w:spacing w:val="-6"/>
                <w:w w:val="60"/>
                <w:sz w:val="29"/>
              </w:rPr>
              <w:t>920,00</w:t>
            </w:r>
            <w:r>
              <w:rPr>
                <w:rFonts w:ascii="Calibri" w:hAnsi="Calibri"/>
                <w:spacing w:val="-7"/>
                <w:w w:val="60"/>
                <w:sz w:val="29"/>
              </w:rPr>
              <w:t> </w:t>
            </w:r>
            <w:r>
              <w:rPr>
                <w:rFonts w:ascii="Calibri" w:hAnsi="Calibri"/>
                <w:spacing w:val="-10"/>
                <w:w w:val="60"/>
                <w:sz w:val="29"/>
              </w:rPr>
              <w:t>€</w:t>
            </w:r>
          </w:p>
        </w:tc>
        <w:tc>
          <w:tcPr>
            <w:tcW w:w="656" w:type="dxa"/>
            <w:tcBorders>
              <w:left w:val="single" w:sz="6" w:space="0" w:color="000000"/>
              <w:bottom w:val="single" w:sz="18" w:space="0" w:color="000000"/>
              <w:right w:val="single" w:sz="6" w:space="0" w:color="000000"/>
            </w:tcBorders>
          </w:tcPr>
          <w:p>
            <w:pPr>
              <w:pStyle w:val="TableParagraph"/>
              <w:spacing w:line="332" w:lineRule="exact" w:before="19"/>
              <w:ind w:right="15"/>
              <w:jc w:val="right"/>
              <w:rPr>
                <w:rFonts w:ascii="Calibri"/>
                <w:sz w:val="29"/>
              </w:rPr>
            </w:pPr>
            <w:r>
              <w:rPr>
                <w:rFonts w:ascii="Calibri"/>
                <w:spacing w:val="-4"/>
                <w:w w:val="70"/>
                <w:sz w:val="29"/>
              </w:rPr>
              <w:t>7,99%</w:t>
            </w:r>
          </w:p>
        </w:tc>
        <w:tc>
          <w:tcPr>
            <w:tcW w:w="937" w:type="dxa"/>
            <w:tcBorders>
              <w:left w:val="single" w:sz="6" w:space="0" w:color="000000"/>
              <w:right w:val="single" w:sz="6" w:space="0" w:color="000000"/>
            </w:tcBorders>
          </w:tcPr>
          <w:p>
            <w:pPr>
              <w:pStyle w:val="TableParagraph"/>
              <w:spacing w:line="332" w:lineRule="exact" w:before="19"/>
              <w:ind w:right="5"/>
              <w:jc w:val="right"/>
              <w:rPr>
                <w:rFonts w:ascii="Calibri" w:hAnsi="Calibri"/>
                <w:sz w:val="29"/>
              </w:rPr>
            </w:pPr>
            <w:r>
              <w:rPr>
                <w:rFonts w:ascii="Calibri" w:hAnsi="Calibri"/>
                <w:spacing w:val="-6"/>
                <w:w w:val="60"/>
                <w:sz w:val="29"/>
              </w:rPr>
              <w:t>69</w:t>
            </w:r>
            <w:r>
              <w:rPr>
                <w:rFonts w:ascii="Calibri" w:hAnsi="Calibri"/>
                <w:spacing w:val="-7"/>
                <w:w w:val="60"/>
                <w:sz w:val="29"/>
              </w:rPr>
              <w:t> </w:t>
            </w:r>
            <w:r>
              <w:rPr>
                <w:rFonts w:ascii="Calibri" w:hAnsi="Calibri"/>
                <w:spacing w:val="-6"/>
                <w:w w:val="60"/>
                <w:sz w:val="29"/>
              </w:rPr>
              <w:t>500,00</w:t>
            </w:r>
            <w:r>
              <w:rPr>
                <w:rFonts w:ascii="Calibri" w:hAnsi="Calibri"/>
                <w:spacing w:val="-7"/>
                <w:w w:val="60"/>
                <w:sz w:val="29"/>
              </w:rPr>
              <w:t> </w:t>
            </w:r>
            <w:r>
              <w:rPr>
                <w:rFonts w:ascii="Calibri" w:hAnsi="Calibri"/>
                <w:spacing w:val="-10"/>
                <w:w w:val="60"/>
                <w:sz w:val="29"/>
              </w:rPr>
              <w:t>€</w:t>
            </w:r>
          </w:p>
        </w:tc>
        <w:tc>
          <w:tcPr>
            <w:tcW w:w="691" w:type="dxa"/>
            <w:tcBorders>
              <w:left w:val="single" w:sz="6" w:space="0" w:color="000000"/>
              <w:right w:val="single" w:sz="6" w:space="0" w:color="000000"/>
            </w:tcBorders>
          </w:tcPr>
          <w:p>
            <w:pPr>
              <w:pStyle w:val="TableParagraph"/>
              <w:spacing w:line="332" w:lineRule="exact" w:before="19"/>
              <w:ind w:right="16"/>
              <w:jc w:val="right"/>
              <w:rPr>
                <w:rFonts w:ascii="Calibri"/>
                <w:sz w:val="29"/>
              </w:rPr>
            </w:pPr>
            <w:r>
              <w:rPr>
                <w:rFonts w:ascii="Calibri"/>
                <w:spacing w:val="-2"/>
                <w:w w:val="70"/>
                <w:sz w:val="29"/>
              </w:rPr>
              <w:t>12,41%</w:t>
            </w:r>
          </w:p>
        </w:tc>
        <w:tc>
          <w:tcPr>
            <w:tcW w:w="1042" w:type="dxa"/>
            <w:tcBorders>
              <w:left w:val="single" w:sz="6" w:space="0" w:color="000000"/>
              <w:right w:val="single" w:sz="6" w:space="0" w:color="000000"/>
            </w:tcBorders>
          </w:tcPr>
          <w:p>
            <w:pPr>
              <w:pStyle w:val="TableParagraph"/>
              <w:spacing w:line="332" w:lineRule="exact" w:before="19"/>
              <w:ind w:right="5"/>
              <w:jc w:val="right"/>
              <w:rPr>
                <w:rFonts w:ascii="Calibri" w:hAnsi="Calibri"/>
                <w:sz w:val="29"/>
              </w:rPr>
            </w:pPr>
            <w:r>
              <w:rPr>
                <w:rFonts w:ascii="Calibri" w:hAnsi="Calibri"/>
                <w:spacing w:val="-6"/>
                <w:w w:val="60"/>
                <w:sz w:val="29"/>
              </w:rPr>
              <w:t>15</w:t>
            </w:r>
            <w:r>
              <w:rPr>
                <w:rFonts w:ascii="Calibri" w:hAnsi="Calibri"/>
                <w:spacing w:val="-7"/>
                <w:w w:val="60"/>
                <w:sz w:val="29"/>
              </w:rPr>
              <w:t> </w:t>
            </w:r>
            <w:r>
              <w:rPr>
                <w:rFonts w:ascii="Calibri" w:hAnsi="Calibri"/>
                <w:spacing w:val="-6"/>
                <w:w w:val="60"/>
                <w:sz w:val="29"/>
              </w:rPr>
              <w:t>463,00</w:t>
            </w:r>
            <w:r>
              <w:rPr>
                <w:rFonts w:ascii="Calibri" w:hAnsi="Calibri"/>
                <w:spacing w:val="-7"/>
                <w:w w:val="60"/>
                <w:sz w:val="29"/>
              </w:rPr>
              <w:t> </w:t>
            </w:r>
            <w:r>
              <w:rPr>
                <w:rFonts w:ascii="Calibri" w:hAnsi="Calibri"/>
                <w:spacing w:val="-10"/>
                <w:w w:val="60"/>
                <w:sz w:val="29"/>
              </w:rPr>
              <w:t>€</w:t>
            </w:r>
          </w:p>
        </w:tc>
        <w:tc>
          <w:tcPr>
            <w:tcW w:w="667" w:type="dxa"/>
            <w:tcBorders>
              <w:left w:val="single" w:sz="6" w:space="0" w:color="000000"/>
              <w:right w:val="single" w:sz="6" w:space="0" w:color="000000"/>
            </w:tcBorders>
          </w:tcPr>
          <w:p>
            <w:pPr>
              <w:pStyle w:val="TableParagraph"/>
              <w:spacing w:line="332" w:lineRule="exact" w:before="19"/>
              <w:ind w:right="14"/>
              <w:jc w:val="right"/>
              <w:rPr>
                <w:rFonts w:ascii="Calibri"/>
                <w:sz w:val="29"/>
              </w:rPr>
            </w:pPr>
            <w:r>
              <w:rPr>
                <w:rFonts w:ascii="Calibri"/>
                <w:spacing w:val="-4"/>
                <w:w w:val="70"/>
                <w:sz w:val="29"/>
              </w:rPr>
              <w:t>5,61%</w:t>
            </w:r>
          </w:p>
        </w:tc>
        <w:tc>
          <w:tcPr>
            <w:tcW w:w="960" w:type="dxa"/>
            <w:tcBorders>
              <w:left w:val="single" w:sz="6" w:space="0" w:color="000000"/>
              <w:right w:val="single" w:sz="6" w:space="0" w:color="000000"/>
            </w:tcBorders>
          </w:tcPr>
          <w:p>
            <w:pPr>
              <w:pStyle w:val="TableParagraph"/>
              <w:spacing w:line="332" w:lineRule="exact" w:before="19"/>
              <w:ind w:right="4"/>
              <w:jc w:val="right"/>
              <w:rPr>
                <w:rFonts w:ascii="Calibri" w:hAnsi="Calibri"/>
                <w:sz w:val="29"/>
              </w:rPr>
            </w:pPr>
            <w:r>
              <w:rPr>
                <w:rFonts w:ascii="Calibri" w:hAnsi="Calibri"/>
                <w:spacing w:val="-6"/>
                <w:w w:val="60"/>
                <w:sz w:val="29"/>
              </w:rPr>
              <w:t>16</w:t>
            </w:r>
            <w:r>
              <w:rPr>
                <w:rFonts w:ascii="Calibri" w:hAnsi="Calibri"/>
                <w:spacing w:val="-7"/>
                <w:w w:val="60"/>
                <w:sz w:val="29"/>
              </w:rPr>
              <w:t> </w:t>
            </w:r>
            <w:r>
              <w:rPr>
                <w:rFonts w:ascii="Calibri" w:hAnsi="Calibri"/>
                <w:spacing w:val="-6"/>
                <w:w w:val="60"/>
                <w:sz w:val="29"/>
              </w:rPr>
              <w:t>213,00</w:t>
            </w:r>
            <w:r>
              <w:rPr>
                <w:rFonts w:ascii="Calibri" w:hAnsi="Calibri"/>
                <w:spacing w:val="-7"/>
                <w:w w:val="60"/>
                <w:sz w:val="29"/>
              </w:rPr>
              <w:t> </w:t>
            </w:r>
            <w:r>
              <w:rPr>
                <w:rFonts w:ascii="Calibri" w:hAnsi="Calibri"/>
                <w:spacing w:val="-10"/>
                <w:w w:val="60"/>
                <w:sz w:val="29"/>
              </w:rPr>
              <w:t>€</w:t>
            </w:r>
          </w:p>
        </w:tc>
        <w:tc>
          <w:tcPr>
            <w:tcW w:w="679" w:type="dxa"/>
            <w:tcBorders>
              <w:left w:val="single" w:sz="6" w:space="0" w:color="000000"/>
              <w:right w:val="single" w:sz="6" w:space="0" w:color="000000"/>
            </w:tcBorders>
          </w:tcPr>
          <w:p>
            <w:pPr>
              <w:pStyle w:val="TableParagraph"/>
              <w:spacing w:line="332" w:lineRule="exact" w:before="19"/>
              <w:ind w:right="14"/>
              <w:jc w:val="right"/>
              <w:rPr>
                <w:rFonts w:ascii="Calibri"/>
                <w:sz w:val="29"/>
              </w:rPr>
            </w:pPr>
            <w:r>
              <w:rPr>
                <w:rFonts w:ascii="Calibri"/>
                <w:spacing w:val="-4"/>
                <w:w w:val="70"/>
                <w:sz w:val="29"/>
              </w:rPr>
              <w:t>5,72%</w:t>
            </w:r>
          </w:p>
        </w:tc>
      </w:tr>
      <w:tr>
        <w:trPr>
          <w:trHeight w:val="387" w:hRule="atLeast"/>
        </w:trPr>
        <w:tc>
          <w:tcPr>
            <w:tcW w:w="1569" w:type="dxa"/>
            <w:tcBorders>
              <w:top w:val="single" w:sz="18" w:space="0" w:color="000000"/>
              <w:left w:val="single" w:sz="6" w:space="0" w:color="000000"/>
              <w:bottom w:val="single" w:sz="18" w:space="0" w:color="000000"/>
              <w:right w:val="single" w:sz="6" w:space="0" w:color="000000"/>
            </w:tcBorders>
          </w:tcPr>
          <w:p>
            <w:pPr>
              <w:pStyle w:val="TableParagraph"/>
              <w:spacing w:line="332" w:lineRule="exact" w:before="35"/>
              <w:ind w:left="27"/>
              <w:rPr>
                <w:rFonts w:ascii="Calibri"/>
                <w:b/>
                <w:sz w:val="29"/>
              </w:rPr>
            </w:pPr>
            <w:r>
              <w:rPr>
                <w:rFonts w:ascii="Calibri"/>
                <w:b/>
                <w:spacing w:val="-2"/>
                <w:w w:val="70"/>
                <w:sz w:val="29"/>
              </w:rPr>
              <w:t>Gjithsej</w:t>
            </w:r>
          </w:p>
        </w:tc>
        <w:tc>
          <w:tcPr>
            <w:tcW w:w="972" w:type="dxa"/>
            <w:tcBorders>
              <w:top w:val="single" w:sz="18" w:space="0" w:color="000000"/>
              <w:left w:val="single" w:sz="6" w:space="0" w:color="000000"/>
              <w:bottom w:val="single" w:sz="18" w:space="0" w:color="000000"/>
              <w:right w:val="single" w:sz="6" w:space="0" w:color="000000"/>
            </w:tcBorders>
          </w:tcPr>
          <w:p>
            <w:pPr>
              <w:pStyle w:val="TableParagraph"/>
              <w:spacing w:line="332" w:lineRule="exact" w:before="35"/>
              <w:ind w:right="6"/>
              <w:jc w:val="right"/>
              <w:rPr>
                <w:rFonts w:ascii="Calibri" w:hAnsi="Calibri"/>
                <w:b/>
                <w:sz w:val="29"/>
              </w:rPr>
            </w:pPr>
            <w:r>
              <w:rPr>
                <w:rFonts w:ascii="Calibri" w:hAnsi="Calibri"/>
                <w:b/>
                <w:spacing w:val="-6"/>
                <w:w w:val="60"/>
                <w:sz w:val="29"/>
              </w:rPr>
              <w:t>374</w:t>
            </w:r>
            <w:r>
              <w:rPr>
                <w:rFonts w:ascii="Calibri" w:hAnsi="Calibri"/>
                <w:b/>
                <w:spacing w:val="-9"/>
                <w:w w:val="60"/>
                <w:sz w:val="29"/>
              </w:rPr>
              <w:t> </w:t>
            </w:r>
            <w:r>
              <w:rPr>
                <w:rFonts w:ascii="Calibri" w:hAnsi="Calibri"/>
                <w:b/>
                <w:spacing w:val="-6"/>
                <w:w w:val="60"/>
                <w:sz w:val="29"/>
              </w:rPr>
              <w:t>347,00</w:t>
            </w:r>
            <w:r>
              <w:rPr>
                <w:rFonts w:ascii="Calibri" w:hAnsi="Calibri"/>
                <w:b/>
                <w:spacing w:val="-8"/>
                <w:w w:val="60"/>
                <w:sz w:val="29"/>
              </w:rPr>
              <w:t> </w:t>
            </w:r>
            <w:r>
              <w:rPr>
                <w:rFonts w:ascii="Calibri" w:hAnsi="Calibri"/>
                <w:b/>
                <w:spacing w:val="-10"/>
                <w:w w:val="60"/>
                <w:sz w:val="29"/>
              </w:rPr>
              <w:t>€</w:t>
            </w:r>
          </w:p>
        </w:tc>
        <w:tc>
          <w:tcPr>
            <w:tcW w:w="702" w:type="dxa"/>
            <w:tcBorders>
              <w:top w:val="single" w:sz="18" w:space="0" w:color="000000"/>
              <w:left w:val="single" w:sz="6" w:space="0" w:color="000000"/>
              <w:bottom w:val="single" w:sz="18" w:space="0" w:color="000000"/>
              <w:right w:val="single" w:sz="6" w:space="0" w:color="000000"/>
            </w:tcBorders>
          </w:tcPr>
          <w:p>
            <w:pPr>
              <w:pStyle w:val="TableParagraph"/>
              <w:spacing w:line="332" w:lineRule="exact" w:before="35"/>
              <w:ind w:right="13"/>
              <w:jc w:val="right"/>
              <w:rPr>
                <w:rFonts w:ascii="Calibri"/>
                <w:b/>
                <w:sz w:val="29"/>
              </w:rPr>
            </w:pPr>
            <w:r>
              <w:rPr>
                <w:rFonts w:ascii="Calibri"/>
                <w:b/>
                <w:spacing w:val="-2"/>
                <w:w w:val="65"/>
                <w:sz w:val="29"/>
              </w:rPr>
              <w:t>100,00%</w:t>
            </w:r>
          </w:p>
        </w:tc>
        <w:tc>
          <w:tcPr>
            <w:tcW w:w="925" w:type="dxa"/>
            <w:tcBorders>
              <w:top w:val="single" w:sz="18" w:space="0" w:color="000000"/>
              <w:left w:val="single" w:sz="6" w:space="0" w:color="000000"/>
              <w:bottom w:val="single" w:sz="18" w:space="0" w:color="000000"/>
              <w:right w:val="single" w:sz="6" w:space="0" w:color="000000"/>
            </w:tcBorders>
          </w:tcPr>
          <w:p>
            <w:pPr>
              <w:pStyle w:val="TableParagraph"/>
              <w:spacing w:line="332" w:lineRule="exact" w:before="35"/>
              <w:ind w:left="32"/>
              <w:jc w:val="center"/>
              <w:rPr>
                <w:rFonts w:ascii="Calibri" w:hAnsi="Calibri"/>
                <w:b/>
                <w:sz w:val="29"/>
              </w:rPr>
            </w:pPr>
            <w:r>
              <w:rPr>
                <w:rFonts w:ascii="Calibri" w:hAnsi="Calibri"/>
                <w:b/>
                <w:spacing w:val="-6"/>
                <w:w w:val="60"/>
                <w:sz w:val="29"/>
              </w:rPr>
              <w:t>374</w:t>
            </w:r>
            <w:r>
              <w:rPr>
                <w:rFonts w:ascii="Calibri" w:hAnsi="Calibri"/>
                <w:b/>
                <w:spacing w:val="-9"/>
                <w:w w:val="60"/>
                <w:sz w:val="29"/>
              </w:rPr>
              <w:t> </w:t>
            </w:r>
            <w:r>
              <w:rPr>
                <w:rFonts w:ascii="Calibri" w:hAnsi="Calibri"/>
                <w:b/>
                <w:spacing w:val="-6"/>
                <w:w w:val="60"/>
                <w:sz w:val="29"/>
              </w:rPr>
              <w:t>347,00</w:t>
            </w:r>
            <w:r>
              <w:rPr>
                <w:rFonts w:ascii="Calibri" w:hAnsi="Calibri"/>
                <w:b/>
                <w:spacing w:val="-8"/>
                <w:w w:val="60"/>
                <w:sz w:val="29"/>
              </w:rPr>
              <w:t> </w:t>
            </w:r>
            <w:r>
              <w:rPr>
                <w:rFonts w:ascii="Calibri" w:hAnsi="Calibri"/>
                <w:b/>
                <w:spacing w:val="-10"/>
                <w:w w:val="60"/>
                <w:sz w:val="29"/>
              </w:rPr>
              <w:t>€</w:t>
            </w:r>
          </w:p>
        </w:tc>
        <w:tc>
          <w:tcPr>
            <w:tcW w:w="656" w:type="dxa"/>
            <w:tcBorders>
              <w:top w:val="single" w:sz="18" w:space="0" w:color="000000"/>
              <w:left w:val="single" w:sz="6" w:space="0" w:color="000000"/>
              <w:bottom w:val="single" w:sz="18" w:space="0" w:color="000000"/>
              <w:right w:val="single" w:sz="6" w:space="0" w:color="000000"/>
            </w:tcBorders>
          </w:tcPr>
          <w:p>
            <w:pPr>
              <w:pStyle w:val="TableParagraph"/>
              <w:spacing w:line="332" w:lineRule="exact" w:before="35"/>
              <w:ind w:right="13"/>
              <w:jc w:val="right"/>
              <w:rPr>
                <w:rFonts w:ascii="Calibri"/>
                <w:b/>
                <w:sz w:val="29"/>
              </w:rPr>
            </w:pPr>
            <w:r>
              <w:rPr>
                <w:rFonts w:ascii="Calibri"/>
                <w:b/>
                <w:spacing w:val="-8"/>
                <w:w w:val="65"/>
                <w:sz w:val="29"/>
              </w:rPr>
              <w:t>100,00%</w:t>
            </w:r>
          </w:p>
        </w:tc>
        <w:tc>
          <w:tcPr>
            <w:tcW w:w="937" w:type="dxa"/>
            <w:tcBorders>
              <w:left w:val="single" w:sz="6" w:space="0" w:color="000000"/>
              <w:right w:val="single" w:sz="6" w:space="0" w:color="000000"/>
            </w:tcBorders>
          </w:tcPr>
          <w:p>
            <w:pPr>
              <w:pStyle w:val="TableParagraph"/>
              <w:spacing w:line="332" w:lineRule="exact" w:before="35"/>
              <w:ind w:right="5"/>
              <w:jc w:val="right"/>
              <w:rPr>
                <w:rFonts w:ascii="Calibri" w:hAnsi="Calibri"/>
                <w:b/>
                <w:sz w:val="29"/>
              </w:rPr>
            </w:pPr>
            <w:r>
              <w:rPr>
                <w:rFonts w:ascii="Calibri" w:hAnsi="Calibri"/>
                <w:b/>
                <w:spacing w:val="-6"/>
                <w:w w:val="60"/>
                <w:sz w:val="29"/>
              </w:rPr>
              <w:t>560</w:t>
            </w:r>
            <w:r>
              <w:rPr>
                <w:rFonts w:ascii="Calibri" w:hAnsi="Calibri"/>
                <w:b/>
                <w:spacing w:val="-9"/>
                <w:w w:val="60"/>
                <w:sz w:val="29"/>
              </w:rPr>
              <w:t> </w:t>
            </w:r>
            <w:r>
              <w:rPr>
                <w:rFonts w:ascii="Calibri" w:hAnsi="Calibri"/>
                <w:b/>
                <w:spacing w:val="-6"/>
                <w:w w:val="60"/>
                <w:sz w:val="29"/>
              </w:rPr>
              <w:t>121,00</w:t>
            </w:r>
            <w:r>
              <w:rPr>
                <w:rFonts w:ascii="Calibri" w:hAnsi="Calibri"/>
                <w:b/>
                <w:spacing w:val="-8"/>
                <w:w w:val="60"/>
                <w:sz w:val="29"/>
              </w:rPr>
              <w:t> </w:t>
            </w:r>
            <w:r>
              <w:rPr>
                <w:rFonts w:ascii="Calibri" w:hAnsi="Calibri"/>
                <w:b/>
                <w:spacing w:val="-10"/>
                <w:w w:val="60"/>
                <w:sz w:val="29"/>
              </w:rPr>
              <w:t>€</w:t>
            </w:r>
          </w:p>
        </w:tc>
        <w:tc>
          <w:tcPr>
            <w:tcW w:w="691" w:type="dxa"/>
            <w:tcBorders>
              <w:left w:val="single" w:sz="6" w:space="0" w:color="000000"/>
              <w:right w:val="single" w:sz="6" w:space="0" w:color="000000"/>
            </w:tcBorders>
          </w:tcPr>
          <w:p>
            <w:pPr>
              <w:pStyle w:val="TableParagraph"/>
              <w:spacing w:line="332" w:lineRule="exact" w:before="35"/>
              <w:ind w:right="13"/>
              <w:jc w:val="right"/>
              <w:rPr>
                <w:rFonts w:ascii="Calibri"/>
                <w:b/>
                <w:sz w:val="29"/>
              </w:rPr>
            </w:pPr>
            <w:r>
              <w:rPr>
                <w:rFonts w:ascii="Calibri"/>
                <w:b/>
                <w:spacing w:val="-2"/>
                <w:w w:val="65"/>
                <w:sz w:val="29"/>
              </w:rPr>
              <w:t>100,00%</w:t>
            </w:r>
          </w:p>
        </w:tc>
        <w:tc>
          <w:tcPr>
            <w:tcW w:w="1042" w:type="dxa"/>
            <w:tcBorders>
              <w:left w:val="single" w:sz="6" w:space="0" w:color="000000"/>
              <w:right w:val="single" w:sz="6" w:space="0" w:color="000000"/>
            </w:tcBorders>
          </w:tcPr>
          <w:p>
            <w:pPr>
              <w:pStyle w:val="TableParagraph"/>
              <w:spacing w:line="332" w:lineRule="exact" w:before="35"/>
              <w:ind w:right="5"/>
              <w:jc w:val="right"/>
              <w:rPr>
                <w:rFonts w:ascii="Calibri" w:hAnsi="Calibri"/>
                <w:b/>
                <w:sz w:val="29"/>
              </w:rPr>
            </w:pPr>
            <w:r>
              <w:rPr>
                <w:rFonts w:ascii="Calibri" w:hAnsi="Calibri"/>
                <w:b/>
                <w:spacing w:val="-6"/>
                <w:w w:val="60"/>
                <w:sz w:val="29"/>
              </w:rPr>
              <w:t>274</w:t>
            </w:r>
            <w:r>
              <w:rPr>
                <w:rFonts w:ascii="Calibri" w:hAnsi="Calibri"/>
                <w:b/>
                <w:spacing w:val="-9"/>
                <w:w w:val="60"/>
                <w:sz w:val="29"/>
              </w:rPr>
              <w:t> </w:t>
            </w:r>
            <w:r>
              <w:rPr>
                <w:rFonts w:ascii="Calibri" w:hAnsi="Calibri"/>
                <w:b/>
                <w:spacing w:val="-6"/>
                <w:w w:val="60"/>
                <w:sz w:val="29"/>
              </w:rPr>
              <w:t>376,00</w:t>
            </w:r>
            <w:r>
              <w:rPr>
                <w:rFonts w:ascii="Calibri" w:hAnsi="Calibri"/>
                <w:b/>
                <w:spacing w:val="-8"/>
                <w:w w:val="60"/>
                <w:sz w:val="29"/>
              </w:rPr>
              <w:t> </w:t>
            </w:r>
            <w:r>
              <w:rPr>
                <w:rFonts w:ascii="Calibri" w:hAnsi="Calibri"/>
                <w:b/>
                <w:spacing w:val="-10"/>
                <w:w w:val="60"/>
                <w:sz w:val="29"/>
              </w:rPr>
              <w:t>€</w:t>
            </w:r>
          </w:p>
        </w:tc>
        <w:tc>
          <w:tcPr>
            <w:tcW w:w="667" w:type="dxa"/>
            <w:tcBorders>
              <w:left w:val="single" w:sz="6" w:space="0" w:color="000000"/>
              <w:right w:val="single" w:sz="6" w:space="0" w:color="000000"/>
            </w:tcBorders>
          </w:tcPr>
          <w:p>
            <w:pPr>
              <w:pStyle w:val="TableParagraph"/>
              <w:spacing w:line="332" w:lineRule="exact" w:before="35"/>
              <w:ind w:right="12"/>
              <w:jc w:val="right"/>
              <w:rPr>
                <w:rFonts w:ascii="Calibri"/>
                <w:b/>
                <w:sz w:val="29"/>
              </w:rPr>
            </w:pPr>
            <w:r>
              <w:rPr>
                <w:rFonts w:ascii="Calibri"/>
                <w:b/>
                <w:spacing w:val="-6"/>
                <w:w w:val="65"/>
                <w:sz w:val="29"/>
              </w:rPr>
              <w:t>100,00%</w:t>
            </w:r>
          </w:p>
        </w:tc>
        <w:tc>
          <w:tcPr>
            <w:tcW w:w="960" w:type="dxa"/>
            <w:tcBorders>
              <w:left w:val="single" w:sz="6" w:space="0" w:color="000000"/>
              <w:right w:val="single" w:sz="6" w:space="0" w:color="000000"/>
            </w:tcBorders>
          </w:tcPr>
          <w:p>
            <w:pPr>
              <w:pStyle w:val="TableParagraph"/>
              <w:spacing w:line="332" w:lineRule="exact" w:before="35"/>
              <w:ind w:right="4"/>
              <w:jc w:val="right"/>
              <w:rPr>
                <w:rFonts w:ascii="Calibri" w:hAnsi="Calibri"/>
                <w:b/>
                <w:sz w:val="29"/>
              </w:rPr>
            </w:pPr>
            <w:r>
              <w:rPr>
                <w:rFonts w:ascii="Calibri" w:hAnsi="Calibri"/>
                <w:b/>
                <w:spacing w:val="-6"/>
                <w:w w:val="60"/>
                <w:sz w:val="29"/>
              </w:rPr>
              <w:t>283</w:t>
            </w:r>
            <w:r>
              <w:rPr>
                <w:rFonts w:ascii="Calibri" w:hAnsi="Calibri"/>
                <w:b/>
                <w:spacing w:val="-9"/>
                <w:w w:val="60"/>
                <w:sz w:val="29"/>
              </w:rPr>
              <w:t> </w:t>
            </w:r>
            <w:r>
              <w:rPr>
                <w:rFonts w:ascii="Calibri" w:hAnsi="Calibri"/>
                <w:b/>
                <w:spacing w:val="-6"/>
                <w:w w:val="60"/>
                <w:sz w:val="29"/>
              </w:rPr>
              <w:t>612,00</w:t>
            </w:r>
            <w:r>
              <w:rPr>
                <w:rFonts w:ascii="Calibri" w:hAnsi="Calibri"/>
                <w:b/>
                <w:spacing w:val="-8"/>
                <w:w w:val="60"/>
                <w:sz w:val="29"/>
              </w:rPr>
              <w:t> </w:t>
            </w:r>
            <w:r>
              <w:rPr>
                <w:rFonts w:ascii="Calibri" w:hAnsi="Calibri"/>
                <w:b/>
                <w:spacing w:val="-10"/>
                <w:w w:val="60"/>
                <w:sz w:val="29"/>
              </w:rPr>
              <w:t>€</w:t>
            </w:r>
          </w:p>
        </w:tc>
        <w:tc>
          <w:tcPr>
            <w:tcW w:w="679" w:type="dxa"/>
            <w:tcBorders>
              <w:left w:val="single" w:sz="6" w:space="0" w:color="000000"/>
              <w:right w:val="single" w:sz="6" w:space="0" w:color="000000"/>
            </w:tcBorders>
          </w:tcPr>
          <w:p>
            <w:pPr>
              <w:pStyle w:val="TableParagraph"/>
              <w:spacing w:line="332" w:lineRule="exact" w:before="35"/>
              <w:ind w:right="12"/>
              <w:jc w:val="right"/>
              <w:rPr>
                <w:rFonts w:ascii="Calibri"/>
                <w:b/>
                <w:sz w:val="29"/>
              </w:rPr>
            </w:pPr>
            <w:r>
              <w:rPr>
                <w:rFonts w:ascii="Calibri"/>
                <w:b/>
                <w:spacing w:val="-5"/>
                <w:w w:val="65"/>
                <w:sz w:val="29"/>
              </w:rPr>
              <w:t>100,00%</w:t>
            </w:r>
          </w:p>
        </w:tc>
      </w:tr>
    </w:tbl>
    <w:p>
      <w:pPr>
        <w:spacing w:before="26"/>
        <w:ind w:left="0" w:right="698" w:firstLine="0"/>
        <w:jc w:val="center"/>
        <w:rPr>
          <w:sz w:val="24"/>
        </w:rPr>
      </w:pPr>
      <w:r>
        <w:rPr/>
        <w:pict>
          <v:shape style="position:absolute;margin-left:71.998329pt;margin-top:28.851185pt;width:494.7pt;height:154.550pt;mso-position-horizontal-relative:page;mso-position-vertical-relative:paragraph;z-index:15766528" type="#_x0000_t202" id="docshape329" filled="false" stroked="false">
            <v:textbox inset="0,0,0,0">
              <w:txbxContent>
                <w:tbl>
                  <w:tblPr>
                    <w:tblW w:w="0" w:type="auto"/>
                    <w:jc w:val="lef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15"/>
                    <w:gridCol w:w="1044"/>
                    <w:gridCol w:w="663"/>
                    <w:gridCol w:w="1045"/>
                    <w:gridCol w:w="653"/>
                    <w:gridCol w:w="1044"/>
                    <w:gridCol w:w="673"/>
                    <w:gridCol w:w="1044"/>
                    <w:gridCol w:w="633"/>
                    <w:gridCol w:w="1054"/>
                    <w:gridCol w:w="623"/>
                  </w:tblGrid>
                  <w:tr>
                    <w:trPr>
                      <w:trHeight w:val="431" w:hRule="atLeast"/>
                    </w:trPr>
                    <w:tc>
                      <w:tcPr>
                        <w:tcW w:w="9891" w:type="dxa"/>
                        <w:gridSpan w:val="11"/>
                        <w:tcBorders>
                          <w:left w:val="single" w:sz="4" w:space="0" w:color="000000"/>
                          <w:bottom w:val="single" w:sz="12" w:space="0" w:color="000000"/>
                          <w:right w:val="single" w:sz="4" w:space="0" w:color="000000"/>
                        </w:tcBorders>
                      </w:tcPr>
                      <w:p>
                        <w:pPr>
                          <w:pStyle w:val="TableParagraph"/>
                          <w:spacing w:line="394" w:lineRule="exact" w:before="17"/>
                          <w:ind w:left="4147" w:right="4136"/>
                          <w:jc w:val="center"/>
                          <w:rPr>
                            <w:rFonts w:ascii="Calibri"/>
                            <w:b/>
                            <w:sz w:val="33"/>
                          </w:rPr>
                        </w:pPr>
                        <w:r>
                          <w:rPr>
                            <w:rFonts w:ascii="Calibri"/>
                            <w:b/>
                            <w:w w:val="45"/>
                            <w:sz w:val="33"/>
                          </w:rPr>
                          <w:t>Transferat</w:t>
                        </w:r>
                        <w:r>
                          <w:rPr>
                            <w:rFonts w:ascii="Calibri"/>
                            <w:b/>
                            <w:spacing w:val="10"/>
                            <w:sz w:val="33"/>
                          </w:rPr>
                          <w:t> </w:t>
                        </w:r>
                        <w:r>
                          <w:rPr>
                            <w:rFonts w:ascii="Calibri"/>
                            <w:b/>
                            <w:spacing w:val="-2"/>
                            <w:w w:val="60"/>
                            <w:sz w:val="33"/>
                          </w:rPr>
                          <w:t>qeveritare</w:t>
                        </w:r>
                      </w:p>
                    </w:tc>
                  </w:tr>
                  <w:tr>
                    <w:trPr>
                      <w:trHeight w:val="840" w:hRule="atLeast"/>
                    </w:trPr>
                    <w:tc>
                      <w:tcPr>
                        <w:tcW w:w="1415" w:type="dxa"/>
                        <w:tcBorders>
                          <w:top w:val="single" w:sz="12" w:space="0" w:color="000000"/>
                          <w:left w:val="single" w:sz="4" w:space="0" w:color="000000"/>
                          <w:bottom w:val="single" w:sz="12" w:space="0" w:color="000000"/>
                          <w:right w:val="single" w:sz="4" w:space="0" w:color="000000"/>
                        </w:tcBorders>
                      </w:tcPr>
                      <w:p>
                        <w:pPr>
                          <w:pStyle w:val="TableParagraph"/>
                          <w:rPr>
                            <w:sz w:val="18"/>
                          </w:rPr>
                        </w:pP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4"/>
                          <w:rPr>
                            <w:rFonts w:ascii="Calibri"/>
                            <w:sz w:val="33"/>
                          </w:rPr>
                        </w:pPr>
                        <w:r>
                          <w:rPr>
                            <w:rFonts w:ascii="Calibri"/>
                            <w:w w:val="45"/>
                            <w:sz w:val="33"/>
                          </w:rPr>
                          <w:t>Viti</w:t>
                        </w:r>
                        <w:r>
                          <w:rPr>
                            <w:rFonts w:ascii="Calibri"/>
                            <w:spacing w:val="-23"/>
                            <w:sz w:val="33"/>
                          </w:rPr>
                          <w:t> </w:t>
                        </w:r>
                        <w:r>
                          <w:rPr>
                            <w:rFonts w:ascii="Calibri"/>
                            <w:spacing w:val="-4"/>
                            <w:w w:val="60"/>
                            <w:sz w:val="33"/>
                          </w:rPr>
                          <w:t>2021</w:t>
                        </w:r>
                      </w:p>
                    </w:tc>
                    <w:tc>
                      <w:tcPr>
                        <w:tcW w:w="663"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4"/>
                          <w:rPr>
                            <w:rFonts w:ascii="Calibri"/>
                            <w:sz w:val="33"/>
                          </w:rPr>
                        </w:pPr>
                        <w:r>
                          <w:rPr>
                            <w:rFonts w:ascii="Calibri"/>
                            <w:w w:val="48"/>
                            <w:sz w:val="33"/>
                          </w:rPr>
                          <w:t>%</w:t>
                        </w:r>
                      </w:p>
                    </w:tc>
                    <w:tc>
                      <w:tcPr>
                        <w:tcW w:w="1045"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3"/>
                          <w:rPr>
                            <w:rFonts w:ascii="Calibri"/>
                            <w:sz w:val="33"/>
                          </w:rPr>
                        </w:pPr>
                        <w:r>
                          <w:rPr>
                            <w:rFonts w:ascii="Calibri"/>
                            <w:w w:val="45"/>
                            <w:sz w:val="33"/>
                          </w:rPr>
                          <w:t>Viti</w:t>
                        </w:r>
                        <w:r>
                          <w:rPr>
                            <w:rFonts w:ascii="Calibri"/>
                            <w:spacing w:val="-23"/>
                            <w:sz w:val="33"/>
                          </w:rPr>
                          <w:t> </w:t>
                        </w:r>
                        <w:r>
                          <w:rPr>
                            <w:rFonts w:ascii="Calibri"/>
                            <w:spacing w:val="-4"/>
                            <w:w w:val="60"/>
                            <w:sz w:val="33"/>
                          </w:rPr>
                          <w:t>2022</w:t>
                        </w:r>
                      </w:p>
                    </w:tc>
                    <w:tc>
                      <w:tcPr>
                        <w:tcW w:w="653"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2"/>
                          <w:rPr>
                            <w:rFonts w:ascii="Calibri"/>
                            <w:sz w:val="33"/>
                          </w:rPr>
                        </w:pPr>
                        <w:r>
                          <w:rPr>
                            <w:rFonts w:ascii="Calibri"/>
                            <w:w w:val="48"/>
                            <w:sz w:val="33"/>
                          </w:rPr>
                          <w:t>%</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1"/>
                          <w:rPr>
                            <w:rFonts w:ascii="Calibri"/>
                            <w:sz w:val="33"/>
                          </w:rPr>
                        </w:pPr>
                        <w:r>
                          <w:rPr>
                            <w:rFonts w:ascii="Calibri"/>
                            <w:w w:val="45"/>
                            <w:sz w:val="33"/>
                          </w:rPr>
                          <w:t>Viti</w:t>
                        </w:r>
                        <w:r>
                          <w:rPr>
                            <w:rFonts w:ascii="Calibri"/>
                            <w:spacing w:val="-23"/>
                            <w:sz w:val="33"/>
                          </w:rPr>
                          <w:t> </w:t>
                        </w:r>
                        <w:r>
                          <w:rPr>
                            <w:rFonts w:ascii="Calibri"/>
                            <w:spacing w:val="-4"/>
                            <w:w w:val="60"/>
                            <w:sz w:val="33"/>
                          </w:rPr>
                          <w:t>2023</w:t>
                        </w:r>
                      </w:p>
                    </w:tc>
                    <w:tc>
                      <w:tcPr>
                        <w:tcW w:w="673" w:type="dxa"/>
                        <w:tcBorders>
                          <w:top w:val="single" w:sz="12" w:space="0" w:color="000000"/>
                          <w:left w:val="single" w:sz="4" w:space="0" w:color="000000"/>
                          <w:bottom w:val="single" w:sz="12" w:space="0" w:color="000000"/>
                          <w:right w:val="single" w:sz="4" w:space="0" w:color="000000"/>
                        </w:tcBorders>
                      </w:tcPr>
                      <w:p>
                        <w:pPr>
                          <w:pStyle w:val="TableParagraph"/>
                          <w:spacing w:before="8"/>
                          <w:rPr>
                            <w:rFonts w:ascii="Calibri"/>
                            <w:sz w:val="36"/>
                          </w:rPr>
                        </w:pPr>
                      </w:p>
                      <w:p>
                        <w:pPr>
                          <w:pStyle w:val="TableParagraph"/>
                          <w:spacing w:line="373" w:lineRule="exact"/>
                          <w:ind w:left="21"/>
                          <w:rPr>
                            <w:rFonts w:ascii="Calibri"/>
                            <w:sz w:val="33"/>
                          </w:rPr>
                        </w:pPr>
                        <w:r>
                          <w:rPr>
                            <w:rFonts w:ascii="Calibri"/>
                            <w:w w:val="48"/>
                            <w:sz w:val="33"/>
                          </w:rPr>
                          <w:t>%</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before="12"/>
                          <w:ind w:left="4"/>
                          <w:jc w:val="center"/>
                          <w:rPr>
                            <w:rFonts w:ascii="Calibri" w:hAnsi="Calibri"/>
                            <w:sz w:val="33"/>
                          </w:rPr>
                        </w:pPr>
                        <w:r>
                          <w:rPr>
                            <w:rFonts w:ascii="Calibri" w:hAnsi="Calibri"/>
                            <w:w w:val="45"/>
                            <w:sz w:val="33"/>
                          </w:rPr>
                          <w:t>Planifikimi</w:t>
                        </w:r>
                        <w:r>
                          <w:rPr>
                            <w:rFonts w:ascii="Calibri" w:hAnsi="Calibri"/>
                            <w:spacing w:val="36"/>
                            <w:sz w:val="33"/>
                          </w:rPr>
                          <w:t> </w:t>
                        </w:r>
                        <w:r>
                          <w:rPr>
                            <w:rFonts w:ascii="Calibri" w:hAnsi="Calibri"/>
                            <w:spacing w:val="-5"/>
                            <w:w w:val="60"/>
                            <w:sz w:val="33"/>
                          </w:rPr>
                          <w:t>për</w:t>
                        </w:r>
                      </w:p>
                      <w:p>
                        <w:pPr>
                          <w:pStyle w:val="TableParagraph"/>
                          <w:spacing w:line="373" w:lineRule="exact" w:before="33"/>
                          <w:ind w:left="10"/>
                          <w:jc w:val="center"/>
                          <w:rPr>
                            <w:rFonts w:ascii="Calibri"/>
                            <w:sz w:val="33"/>
                          </w:rPr>
                        </w:pPr>
                        <w:r>
                          <w:rPr>
                            <w:rFonts w:ascii="Calibri"/>
                            <w:w w:val="45"/>
                            <w:sz w:val="33"/>
                          </w:rPr>
                          <w:t>vitin</w:t>
                        </w:r>
                        <w:r>
                          <w:rPr>
                            <w:rFonts w:ascii="Calibri"/>
                            <w:spacing w:val="-26"/>
                            <w:sz w:val="33"/>
                          </w:rPr>
                          <w:t> </w:t>
                        </w:r>
                        <w:r>
                          <w:rPr>
                            <w:rFonts w:ascii="Calibri"/>
                            <w:spacing w:val="-4"/>
                            <w:w w:val="60"/>
                            <w:sz w:val="33"/>
                          </w:rPr>
                          <w:t>2024</w:t>
                        </w:r>
                      </w:p>
                    </w:tc>
                    <w:tc>
                      <w:tcPr>
                        <w:tcW w:w="633" w:type="dxa"/>
                        <w:tcBorders>
                          <w:top w:val="single" w:sz="12" w:space="0" w:color="000000"/>
                          <w:left w:val="single" w:sz="4" w:space="0" w:color="000000"/>
                          <w:bottom w:val="single" w:sz="12" w:space="0" w:color="000000"/>
                          <w:right w:val="single" w:sz="4" w:space="0" w:color="000000"/>
                        </w:tcBorders>
                      </w:tcPr>
                      <w:p>
                        <w:pPr>
                          <w:pStyle w:val="TableParagraph"/>
                          <w:spacing w:before="220"/>
                          <w:ind w:right="3"/>
                          <w:jc w:val="center"/>
                          <w:rPr>
                            <w:rFonts w:ascii="Calibri"/>
                            <w:sz w:val="33"/>
                          </w:rPr>
                        </w:pPr>
                        <w:r>
                          <w:rPr>
                            <w:rFonts w:ascii="Calibri"/>
                            <w:w w:val="48"/>
                            <w:sz w:val="33"/>
                          </w:rPr>
                          <w:t>%</w:t>
                        </w:r>
                      </w:p>
                    </w:tc>
                    <w:tc>
                      <w:tcPr>
                        <w:tcW w:w="1054" w:type="dxa"/>
                        <w:tcBorders>
                          <w:top w:val="single" w:sz="12" w:space="0" w:color="000000"/>
                          <w:left w:val="single" w:sz="4" w:space="0" w:color="000000"/>
                          <w:bottom w:val="single" w:sz="12" w:space="0" w:color="000000"/>
                          <w:right w:val="single" w:sz="4" w:space="0" w:color="000000"/>
                        </w:tcBorders>
                      </w:tcPr>
                      <w:p>
                        <w:pPr>
                          <w:pStyle w:val="TableParagraph"/>
                          <w:spacing w:before="12"/>
                          <w:ind w:left="18" w:right="18"/>
                          <w:jc w:val="center"/>
                          <w:rPr>
                            <w:rFonts w:ascii="Calibri" w:hAnsi="Calibri"/>
                            <w:sz w:val="33"/>
                          </w:rPr>
                        </w:pPr>
                        <w:r>
                          <w:rPr>
                            <w:rFonts w:ascii="Calibri" w:hAnsi="Calibri"/>
                            <w:spacing w:val="-2"/>
                            <w:w w:val="60"/>
                            <w:sz w:val="33"/>
                          </w:rPr>
                          <w:t>Vlerësimet</w:t>
                        </w:r>
                      </w:p>
                      <w:p>
                        <w:pPr>
                          <w:pStyle w:val="TableParagraph"/>
                          <w:spacing w:line="373" w:lineRule="exact" w:before="33"/>
                          <w:ind w:left="18" w:right="18"/>
                          <w:jc w:val="center"/>
                          <w:rPr>
                            <w:rFonts w:ascii="Calibri"/>
                            <w:sz w:val="33"/>
                          </w:rPr>
                        </w:pPr>
                        <w:r>
                          <w:rPr>
                            <w:rFonts w:ascii="Calibri"/>
                            <w:spacing w:val="-4"/>
                            <w:w w:val="60"/>
                            <w:sz w:val="33"/>
                          </w:rPr>
                          <w:t>2025</w:t>
                        </w:r>
                      </w:p>
                    </w:tc>
                    <w:tc>
                      <w:tcPr>
                        <w:tcW w:w="623" w:type="dxa"/>
                        <w:tcBorders>
                          <w:top w:val="single" w:sz="12" w:space="0" w:color="000000"/>
                          <w:left w:val="single" w:sz="4" w:space="0" w:color="000000"/>
                          <w:bottom w:val="single" w:sz="12" w:space="0" w:color="000000"/>
                          <w:right w:val="single" w:sz="4" w:space="0" w:color="000000"/>
                        </w:tcBorders>
                      </w:tcPr>
                      <w:p>
                        <w:pPr>
                          <w:pStyle w:val="TableParagraph"/>
                          <w:spacing w:before="220"/>
                          <w:ind w:left="1"/>
                          <w:jc w:val="center"/>
                          <w:rPr>
                            <w:rFonts w:ascii="Calibri"/>
                            <w:sz w:val="33"/>
                          </w:rPr>
                        </w:pPr>
                        <w:r>
                          <w:rPr>
                            <w:rFonts w:ascii="Calibri"/>
                            <w:w w:val="48"/>
                            <w:sz w:val="33"/>
                          </w:rPr>
                          <w:t>%</w:t>
                        </w:r>
                      </w:p>
                    </w:tc>
                  </w:tr>
                  <w:tr>
                    <w:trPr>
                      <w:trHeight w:val="405" w:hRule="atLeast"/>
                    </w:trPr>
                    <w:tc>
                      <w:tcPr>
                        <w:tcW w:w="1415"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left="25" w:right="-15"/>
                          <w:rPr>
                            <w:rFonts w:ascii="Calibri" w:hAnsi="Calibri"/>
                            <w:sz w:val="33"/>
                          </w:rPr>
                        </w:pPr>
                        <w:r>
                          <w:rPr>
                            <w:rFonts w:ascii="Calibri" w:hAnsi="Calibri"/>
                            <w:w w:val="45"/>
                            <w:sz w:val="33"/>
                          </w:rPr>
                          <w:t>Granti</w:t>
                        </w:r>
                        <w:r>
                          <w:rPr>
                            <w:rFonts w:ascii="Calibri" w:hAnsi="Calibri"/>
                            <w:spacing w:val="-22"/>
                            <w:sz w:val="33"/>
                          </w:rPr>
                          <w:t> </w:t>
                        </w:r>
                        <w:r>
                          <w:rPr>
                            <w:rFonts w:ascii="Calibri" w:hAnsi="Calibri"/>
                            <w:w w:val="45"/>
                            <w:sz w:val="33"/>
                          </w:rPr>
                          <w:t>i</w:t>
                        </w:r>
                        <w:r>
                          <w:rPr>
                            <w:rFonts w:ascii="Calibri" w:hAnsi="Calibri"/>
                            <w:spacing w:val="-32"/>
                            <w:sz w:val="33"/>
                          </w:rPr>
                          <w:t> </w:t>
                        </w:r>
                        <w:r>
                          <w:rPr>
                            <w:rFonts w:ascii="Calibri" w:hAnsi="Calibri"/>
                            <w:spacing w:val="-2"/>
                            <w:w w:val="45"/>
                            <w:sz w:val="33"/>
                          </w:rPr>
                          <w:t>përgjithshëm</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left="54"/>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055</w:t>
                        </w:r>
                        <w:r>
                          <w:rPr>
                            <w:rFonts w:ascii="Calibri" w:hAnsi="Calibri"/>
                            <w:spacing w:val="-25"/>
                            <w:sz w:val="33"/>
                          </w:rPr>
                          <w:t> </w:t>
                        </w:r>
                        <w:r>
                          <w:rPr>
                            <w:rFonts w:ascii="Calibri" w:hAnsi="Calibri"/>
                            <w:w w:val="45"/>
                            <w:sz w:val="33"/>
                          </w:rPr>
                          <w:t>957,00</w:t>
                        </w:r>
                        <w:r>
                          <w:rPr>
                            <w:rFonts w:ascii="Calibri" w:hAnsi="Calibri"/>
                            <w:spacing w:val="-25"/>
                            <w:sz w:val="33"/>
                          </w:rPr>
                          <w:t> </w:t>
                        </w:r>
                        <w:r>
                          <w:rPr>
                            <w:rFonts w:ascii="Calibri" w:hAnsi="Calibri"/>
                            <w:spacing w:val="-10"/>
                            <w:w w:val="45"/>
                            <w:sz w:val="33"/>
                          </w:rPr>
                          <w:t>€</w:t>
                        </w:r>
                      </w:p>
                    </w:tc>
                    <w:tc>
                      <w:tcPr>
                        <w:tcW w:w="663"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9"/>
                          <w:jc w:val="right"/>
                          <w:rPr>
                            <w:rFonts w:ascii="Calibri"/>
                            <w:sz w:val="33"/>
                          </w:rPr>
                        </w:pPr>
                        <w:r>
                          <w:rPr>
                            <w:rFonts w:ascii="Calibri"/>
                            <w:spacing w:val="-2"/>
                            <w:w w:val="60"/>
                            <w:sz w:val="33"/>
                          </w:rPr>
                          <w:t>47,32%</w:t>
                        </w:r>
                      </w:p>
                    </w:tc>
                    <w:tc>
                      <w:tcPr>
                        <w:tcW w:w="1045"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left="54"/>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112</w:t>
                        </w:r>
                        <w:r>
                          <w:rPr>
                            <w:rFonts w:ascii="Calibri" w:hAnsi="Calibri"/>
                            <w:spacing w:val="-25"/>
                            <w:sz w:val="33"/>
                          </w:rPr>
                          <w:t> </w:t>
                        </w:r>
                        <w:r>
                          <w:rPr>
                            <w:rFonts w:ascii="Calibri" w:hAnsi="Calibri"/>
                            <w:w w:val="45"/>
                            <w:sz w:val="33"/>
                          </w:rPr>
                          <w:t>582,00</w:t>
                        </w:r>
                        <w:r>
                          <w:rPr>
                            <w:rFonts w:ascii="Calibri" w:hAnsi="Calibri"/>
                            <w:spacing w:val="-25"/>
                            <w:sz w:val="33"/>
                          </w:rPr>
                          <w:t> </w:t>
                        </w:r>
                        <w:r>
                          <w:rPr>
                            <w:rFonts w:ascii="Calibri" w:hAnsi="Calibri"/>
                            <w:spacing w:val="-10"/>
                            <w:w w:val="45"/>
                            <w:sz w:val="33"/>
                          </w:rPr>
                          <w:t>€</w:t>
                        </w:r>
                      </w:p>
                    </w:tc>
                    <w:tc>
                      <w:tcPr>
                        <w:tcW w:w="653"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1"/>
                          <w:jc w:val="right"/>
                          <w:rPr>
                            <w:rFonts w:ascii="Calibri"/>
                            <w:sz w:val="33"/>
                          </w:rPr>
                        </w:pPr>
                        <w:r>
                          <w:rPr>
                            <w:rFonts w:ascii="Calibri"/>
                            <w:spacing w:val="-2"/>
                            <w:w w:val="60"/>
                            <w:sz w:val="33"/>
                          </w:rPr>
                          <w:t>46,78%</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6"/>
                          <w:jc w:val="right"/>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431</w:t>
                        </w:r>
                        <w:r>
                          <w:rPr>
                            <w:rFonts w:ascii="Calibri" w:hAnsi="Calibri"/>
                            <w:spacing w:val="-25"/>
                            <w:sz w:val="33"/>
                          </w:rPr>
                          <w:t> </w:t>
                        </w:r>
                        <w:r>
                          <w:rPr>
                            <w:rFonts w:ascii="Calibri" w:hAnsi="Calibri"/>
                            <w:w w:val="45"/>
                            <w:sz w:val="33"/>
                          </w:rPr>
                          <w:t>545,00</w:t>
                        </w:r>
                        <w:r>
                          <w:rPr>
                            <w:rFonts w:ascii="Calibri" w:hAnsi="Calibri"/>
                            <w:spacing w:val="-25"/>
                            <w:sz w:val="33"/>
                          </w:rPr>
                          <w:t> </w:t>
                        </w:r>
                        <w:r>
                          <w:rPr>
                            <w:rFonts w:ascii="Calibri" w:hAnsi="Calibri"/>
                            <w:spacing w:val="-10"/>
                            <w:w w:val="45"/>
                            <w:sz w:val="33"/>
                          </w:rPr>
                          <w:t>€</w:t>
                        </w:r>
                      </w:p>
                    </w:tc>
                    <w:tc>
                      <w:tcPr>
                        <w:tcW w:w="673"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3"/>
                          <w:jc w:val="right"/>
                          <w:rPr>
                            <w:rFonts w:ascii="Calibri"/>
                            <w:sz w:val="33"/>
                          </w:rPr>
                        </w:pPr>
                        <w:r>
                          <w:rPr>
                            <w:rFonts w:ascii="Calibri"/>
                            <w:spacing w:val="-2"/>
                            <w:w w:val="60"/>
                            <w:sz w:val="33"/>
                          </w:rPr>
                          <w:t>51,32%</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8"/>
                          <w:jc w:val="right"/>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583</w:t>
                        </w:r>
                        <w:r>
                          <w:rPr>
                            <w:rFonts w:ascii="Calibri" w:hAnsi="Calibri"/>
                            <w:spacing w:val="-25"/>
                            <w:sz w:val="33"/>
                          </w:rPr>
                          <w:t> </w:t>
                        </w:r>
                        <w:r>
                          <w:rPr>
                            <w:rFonts w:ascii="Calibri" w:hAnsi="Calibri"/>
                            <w:w w:val="45"/>
                            <w:sz w:val="33"/>
                          </w:rPr>
                          <w:t>941,00</w:t>
                        </w:r>
                        <w:r>
                          <w:rPr>
                            <w:rFonts w:ascii="Calibri" w:hAnsi="Calibri"/>
                            <w:spacing w:val="-25"/>
                            <w:sz w:val="33"/>
                          </w:rPr>
                          <w:t> </w:t>
                        </w:r>
                        <w:r>
                          <w:rPr>
                            <w:rFonts w:ascii="Calibri" w:hAnsi="Calibri"/>
                            <w:spacing w:val="-10"/>
                            <w:w w:val="45"/>
                            <w:sz w:val="33"/>
                          </w:rPr>
                          <w:t>€</w:t>
                        </w:r>
                      </w:p>
                    </w:tc>
                    <w:tc>
                      <w:tcPr>
                        <w:tcW w:w="633"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4"/>
                          <w:jc w:val="right"/>
                          <w:rPr>
                            <w:rFonts w:ascii="Calibri"/>
                            <w:sz w:val="33"/>
                          </w:rPr>
                        </w:pPr>
                        <w:r>
                          <w:rPr>
                            <w:rFonts w:ascii="Calibri"/>
                            <w:spacing w:val="-2"/>
                            <w:w w:val="60"/>
                            <w:sz w:val="33"/>
                          </w:rPr>
                          <w:t>51,52%</w:t>
                        </w:r>
                      </w:p>
                    </w:tc>
                    <w:tc>
                      <w:tcPr>
                        <w:tcW w:w="1054"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left="56" w:right="18"/>
                          <w:jc w:val="center"/>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694</w:t>
                        </w:r>
                        <w:r>
                          <w:rPr>
                            <w:rFonts w:ascii="Calibri" w:hAnsi="Calibri"/>
                            <w:spacing w:val="-25"/>
                            <w:sz w:val="33"/>
                          </w:rPr>
                          <w:t> </w:t>
                        </w:r>
                        <w:r>
                          <w:rPr>
                            <w:rFonts w:ascii="Calibri" w:hAnsi="Calibri"/>
                            <w:w w:val="45"/>
                            <w:sz w:val="33"/>
                          </w:rPr>
                          <w:t>053,00</w:t>
                        </w:r>
                        <w:r>
                          <w:rPr>
                            <w:rFonts w:ascii="Calibri" w:hAnsi="Calibri"/>
                            <w:spacing w:val="-25"/>
                            <w:sz w:val="33"/>
                          </w:rPr>
                          <w:t> </w:t>
                        </w:r>
                        <w:r>
                          <w:rPr>
                            <w:rFonts w:ascii="Calibri" w:hAnsi="Calibri"/>
                            <w:spacing w:val="-10"/>
                            <w:w w:val="45"/>
                            <w:sz w:val="33"/>
                          </w:rPr>
                          <w:t>€</w:t>
                        </w:r>
                      </w:p>
                    </w:tc>
                    <w:tc>
                      <w:tcPr>
                        <w:tcW w:w="623" w:type="dxa"/>
                        <w:tcBorders>
                          <w:top w:val="single" w:sz="12" w:space="0" w:color="000000"/>
                          <w:left w:val="single" w:sz="4" w:space="0" w:color="000000"/>
                          <w:bottom w:val="single" w:sz="12" w:space="0" w:color="000000"/>
                          <w:right w:val="single" w:sz="4" w:space="0" w:color="000000"/>
                        </w:tcBorders>
                      </w:tcPr>
                      <w:p>
                        <w:pPr>
                          <w:pStyle w:val="TableParagraph"/>
                          <w:spacing w:line="372" w:lineRule="exact" w:before="13"/>
                          <w:ind w:right="15"/>
                          <w:jc w:val="right"/>
                          <w:rPr>
                            <w:rFonts w:ascii="Calibri"/>
                            <w:sz w:val="33"/>
                          </w:rPr>
                        </w:pPr>
                        <w:r>
                          <w:rPr>
                            <w:rFonts w:ascii="Calibri"/>
                            <w:spacing w:val="-2"/>
                            <w:w w:val="60"/>
                            <w:sz w:val="33"/>
                          </w:rPr>
                          <w:t>52,33%</w:t>
                        </w:r>
                      </w:p>
                    </w:tc>
                  </w:tr>
                  <w:tr>
                    <w:trPr>
                      <w:trHeight w:val="405" w:hRule="atLeast"/>
                    </w:trPr>
                    <w:tc>
                      <w:tcPr>
                        <w:tcW w:w="141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left="25"/>
                          <w:rPr>
                            <w:rFonts w:ascii="Calibri" w:hAnsi="Calibri"/>
                            <w:sz w:val="33"/>
                          </w:rPr>
                        </w:pPr>
                        <w:r>
                          <w:rPr>
                            <w:rFonts w:ascii="Calibri" w:hAnsi="Calibri"/>
                            <w:w w:val="45"/>
                            <w:sz w:val="33"/>
                          </w:rPr>
                          <w:t>Granti</w:t>
                        </w:r>
                        <w:r>
                          <w:rPr>
                            <w:rFonts w:ascii="Calibri" w:hAnsi="Calibri"/>
                            <w:spacing w:val="-22"/>
                            <w:sz w:val="33"/>
                          </w:rPr>
                          <w:t> </w:t>
                        </w:r>
                        <w:r>
                          <w:rPr>
                            <w:rFonts w:ascii="Calibri" w:hAnsi="Calibri"/>
                            <w:w w:val="45"/>
                            <w:sz w:val="33"/>
                          </w:rPr>
                          <w:t>për</w:t>
                        </w:r>
                        <w:r>
                          <w:rPr>
                            <w:rFonts w:ascii="Calibri" w:hAnsi="Calibri"/>
                            <w:spacing w:val="-35"/>
                            <w:sz w:val="33"/>
                          </w:rPr>
                          <w:t> </w:t>
                        </w:r>
                        <w:r>
                          <w:rPr>
                            <w:rFonts w:ascii="Calibri" w:hAnsi="Calibri"/>
                            <w:spacing w:val="-2"/>
                            <w:w w:val="45"/>
                            <w:sz w:val="33"/>
                          </w:rPr>
                          <w:t>Arsim</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3"/>
                          <w:jc w:val="right"/>
                          <w:rPr>
                            <w:rFonts w:ascii="Calibri" w:hAnsi="Calibri"/>
                            <w:sz w:val="33"/>
                          </w:rPr>
                        </w:pPr>
                        <w:r>
                          <w:rPr>
                            <w:rFonts w:ascii="Calibri" w:hAnsi="Calibri"/>
                            <w:w w:val="45"/>
                            <w:sz w:val="33"/>
                          </w:rPr>
                          <w:t>849</w:t>
                        </w:r>
                        <w:r>
                          <w:rPr>
                            <w:rFonts w:ascii="Calibri" w:hAnsi="Calibri"/>
                            <w:spacing w:val="-22"/>
                            <w:sz w:val="33"/>
                          </w:rPr>
                          <w:t> </w:t>
                        </w:r>
                        <w:r>
                          <w:rPr>
                            <w:rFonts w:ascii="Calibri" w:hAnsi="Calibri"/>
                            <w:w w:val="45"/>
                            <w:sz w:val="33"/>
                          </w:rPr>
                          <w:t>714,00</w:t>
                        </w:r>
                        <w:r>
                          <w:rPr>
                            <w:rFonts w:ascii="Calibri" w:hAnsi="Calibri"/>
                            <w:spacing w:val="-22"/>
                            <w:sz w:val="33"/>
                          </w:rPr>
                          <w:t> </w:t>
                        </w:r>
                        <w:r>
                          <w:rPr>
                            <w:rFonts w:ascii="Calibri" w:hAnsi="Calibri"/>
                            <w:spacing w:val="-10"/>
                            <w:w w:val="45"/>
                            <w:sz w:val="33"/>
                          </w:rPr>
                          <w:t>€</w:t>
                        </w:r>
                      </w:p>
                    </w:tc>
                    <w:tc>
                      <w:tcPr>
                        <w:tcW w:w="66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9"/>
                          <w:jc w:val="right"/>
                          <w:rPr>
                            <w:rFonts w:ascii="Calibri"/>
                            <w:sz w:val="33"/>
                          </w:rPr>
                        </w:pPr>
                        <w:r>
                          <w:rPr>
                            <w:rFonts w:ascii="Calibri"/>
                            <w:spacing w:val="-2"/>
                            <w:w w:val="60"/>
                            <w:sz w:val="33"/>
                          </w:rPr>
                          <w:t>38,08%</w:t>
                        </w:r>
                      </w:p>
                    </w:tc>
                    <w:tc>
                      <w:tcPr>
                        <w:tcW w:w="104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5"/>
                          <w:jc w:val="right"/>
                          <w:rPr>
                            <w:rFonts w:ascii="Calibri" w:hAnsi="Calibri"/>
                            <w:sz w:val="33"/>
                          </w:rPr>
                        </w:pPr>
                        <w:r>
                          <w:rPr>
                            <w:rFonts w:ascii="Calibri" w:hAnsi="Calibri"/>
                            <w:w w:val="45"/>
                            <w:sz w:val="33"/>
                          </w:rPr>
                          <w:t>939</w:t>
                        </w:r>
                        <w:r>
                          <w:rPr>
                            <w:rFonts w:ascii="Calibri" w:hAnsi="Calibri"/>
                            <w:spacing w:val="-22"/>
                            <w:sz w:val="33"/>
                          </w:rPr>
                          <w:t> </w:t>
                        </w:r>
                        <w:r>
                          <w:rPr>
                            <w:rFonts w:ascii="Calibri" w:hAnsi="Calibri"/>
                            <w:w w:val="45"/>
                            <w:sz w:val="33"/>
                          </w:rPr>
                          <w:t>957,00</w:t>
                        </w:r>
                        <w:r>
                          <w:rPr>
                            <w:rFonts w:ascii="Calibri" w:hAnsi="Calibri"/>
                            <w:spacing w:val="-22"/>
                            <w:sz w:val="33"/>
                          </w:rPr>
                          <w:t> </w:t>
                        </w:r>
                        <w:r>
                          <w:rPr>
                            <w:rFonts w:ascii="Calibri" w:hAnsi="Calibri"/>
                            <w:spacing w:val="-10"/>
                            <w:w w:val="45"/>
                            <w:sz w:val="33"/>
                          </w:rPr>
                          <w:t>€</w:t>
                        </w:r>
                      </w:p>
                    </w:tc>
                    <w:tc>
                      <w:tcPr>
                        <w:tcW w:w="65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1"/>
                          <w:jc w:val="right"/>
                          <w:rPr>
                            <w:rFonts w:ascii="Calibri"/>
                            <w:sz w:val="33"/>
                          </w:rPr>
                        </w:pPr>
                        <w:r>
                          <w:rPr>
                            <w:rFonts w:ascii="Calibri"/>
                            <w:spacing w:val="-2"/>
                            <w:w w:val="60"/>
                            <w:sz w:val="33"/>
                          </w:rPr>
                          <w:t>39,52%</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6"/>
                          <w:jc w:val="right"/>
                          <w:rPr>
                            <w:rFonts w:ascii="Calibri" w:hAnsi="Calibri"/>
                            <w:sz w:val="33"/>
                          </w:rPr>
                        </w:pPr>
                        <w:r>
                          <w:rPr>
                            <w:rFonts w:ascii="Calibri" w:hAnsi="Calibri"/>
                            <w:w w:val="45"/>
                            <w:sz w:val="33"/>
                          </w:rPr>
                          <w:t>993</w:t>
                        </w:r>
                        <w:r>
                          <w:rPr>
                            <w:rFonts w:ascii="Calibri" w:hAnsi="Calibri"/>
                            <w:spacing w:val="-22"/>
                            <w:sz w:val="33"/>
                          </w:rPr>
                          <w:t> </w:t>
                        </w:r>
                        <w:r>
                          <w:rPr>
                            <w:rFonts w:ascii="Calibri" w:hAnsi="Calibri"/>
                            <w:w w:val="45"/>
                            <w:sz w:val="33"/>
                          </w:rPr>
                          <w:t>487,00</w:t>
                        </w:r>
                        <w:r>
                          <w:rPr>
                            <w:rFonts w:ascii="Calibri" w:hAnsi="Calibri"/>
                            <w:spacing w:val="-22"/>
                            <w:sz w:val="33"/>
                          </w:rPr>
                          <w:t> </w:t>
                        </w:r>
                        <w:r>
                          <w:rPr>
                            <w:rFonts w:ascii="Calibri" w:hAnsi="Calibri"/>
                            <w:spacing w:val="-10"/>
                            <w:w w:val="45"/>
                            <w:sz w:val="33"/>
                          </w:rPr>
                          <w:t>€</w:t>
                        </w:r>
                      </w:p>
                    </w:tc>
                    <w:tc>
                      <w:tcPr>
                        <w:tcW w:w="67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3"/>
                          <w:jc w:val="right"/>
                          <w:rPr>
                            <w:rFonts w:ascii="Calibri"/>
                            <w:sz w:val="33"/>
                          </w:rPr>
                        </w:pPr>
                        <w:r>
                          <w:rPr>
                            <w:rFonts w:ascii="Calibri"/>
                            <w:spacing w:val="-2"/>
                            <w:w w:val="60"/>
                            <w:sz w:val="33"/>
                          </w:rPr>
                          <w:t>35,61%</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8"/>
                          <w:jc w:val="right"/>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089</w:t>
                        </w:r>
                        <w:r>
                          <w:rPr>
                            <w:rFonts w:ascii="Calibri" w:hAnsi="Calibri"/>
                            <w:spacing w:val="-25"/>
                            <w:sz w:val="33"/>
                          </w:rPr>
                          <w:t> </w:t>
                        </w:r>
                        <w:r>
                          <w:rPr>
                            <w:rFonts w:ascii="Calibri" w:hAnsi="Calibri"/>
                            <w:w w:val="45"/>
                            <w:sz w:val="33"/>
                          </w:rPr>
                          <w:t>623,00</w:t>
                        </w:r>
                        <w:r>
                          <w:rPr>
                            <w:rFonts w:ascii="Calibri" w:hAnsi="Calibri"/>
                            <w:spacing w:val="-25"/>
                            <w:sz w:val="33"/>
                          </w:rPr>
                          <w:t> </w:t>
                        </w:r>
                        <w:r>
                          <w:rPr>
                            <w:rFonts w:ascii="Calibri" w:hAnsi="Calibri"/>
                            <w:spacing w:val="-10"/>
                            <w:w w:val="45"/>
                            <w:sz w:val="33"/>
                          </w:rPr>
                          <w:t>€</w:t>
                        </w:r>
                      </w:p>
                    </w:tc>
                    <w:tc>
                      <w:tcPr>
                        <w:tcW w:w="63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4"/>
                          <w:jc w:val="right"/>
                          <w:rPr>
                            <w:rFonts w:ascii="Calibri"/>
                            <w:sz w:val="33"/>
                          </w:rPr>
                        </w:pPr>
                        <w:r>
                          <w:rPr>
                            <w:rFonts w:ascii="Calibri"/>
                            <w:spacing w:val="-2"/>
                            <w:w w:val="60"/>
                            <w:sz w:val="33"/>
                          </w:rPr>
                          <w:t>35,43%</w:t>
                        </w:r>
                      </w:p>
                    </w:tc>
                    <w:tc>
                      <w:tcPr>
                        <w:tcW w:w="105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left="56" w:right="18"/>
                          <w:jc w:val="center"/>
                          <w:rPr>
                            <w:rFonts w:ascii="Calibri" w:hAnsi="Calibri"/>
                            <w:sz w:val="33"/>
                          </w:rPr>
                        </w:pPr>
                        <w:r>
                          <w:rPr>
                            <w:rFonts w:ascii="Calibri" w:hAnsi="Calibri"/>
                            <w:w w:val="45"/>
                            <w:sz w:val="33"/>
                          </w:rPr>
                          <w:t>1</w:t>
                        </w:r>
                        <w:r>
                          <w:rPr>
                            <w:rFonts w:ascii="Calibri" w:hAnsi="Calibri"/>
                            <w:spacing w:val="-26"/>
                            <w:sz w:val="33"/>
                          </w:rPr>
                          <w:t> </w:t>
                        </w:r>
                        <w:r>
                          <w:rPr>
                            <w:rFonts w:ascii="Calibri" w:hAnsi="Calibri"/>
                            <w:w w:val="45"/>
                            <w:sz w:val="33"/>
                          </w:rPr>
                          <w:t>122</w:t>
                        </w:r>
                        <w:r>
                          <w:rPr>
                            <w:rFonts w:ascii="Calibri" w:hAnsi="Calibri"/>
                            <w:spacing w:val="-25"/>
                            <w:sz w:val="33"/>
                          </w:rPr>
                          <w:t> </w:t>
                        </w:r>
                        <w:r>
                          <w:rPr>
                            <w:rFonts w:ascii="Calibri" w:hAnsi="Calibri"/>
                            <w:w w:val="45"/>
                            <w:sz w:val="33"/>
                          </w:rPr>
                          <w:t>311,29</w:t>
                        </w:r>
                        <w:r>
                          <w:rPr>
                            <w:rFonts w:ascii="Calibri" w:hAnsi="Calibri"/>
                            <w:spacing w:val="-25"/>
                            <w:sz w:val="33"/>
                          </w:rPr>
                          <w:t> </w:t>
                        </w:r>
                        <w:r>
                          <w:rPr>
                            <w:rFonts w:ascii="Calibri" w:hAnsi="Calibri"/>
                            <w:spacing w:val="-10"/>
                            <w:w w:val="45"/>
                            <w:sz w:val="33"/>
                          </w:rPr>
                          <w:t>€</w:t>
                        </w:r>
                      </w:p>
                    </w:tc>
                    <w:tc>
                      <w:tcPr>
                        <w:tcW w:w="62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3"/>
                          <w:ind w:right="15"/>
                          <w:jc w:val="right"/>
                          <w:rPr>
                            <w:rFonts w:ascii="Calibri"/>
                            <w:sz w:val="33"/>
                          </w:rPr>
                        </w:pPr>
                        <w:r>
                          <w:rPr>
                            <w:rFonts w:ascii="Calibri"/>
                            <w:spacing w:val="-2"/>
                            <w:w w:val="60"/>
                            <w:sz w:val="33"/>
                          </w:rPr>
                          <w:t>34,66%</w:t>
                        </w:r>
                      </w:p>
                    </w:tc>
                  </w:tr>
                  <w:tr>
                    <w:trPr>
                      <w:trHeight w:val="405" w:hRule="atLeast"/>
                    </w:trPr>
                    <w:tc>
                      <w:tcPr>
                        <w:tcW w:w="141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25"/>
                          <w:rPr>
                            <w:rFonts w:ascii="Calibri" w:hAnsi="Calibri"/>
                            <w:sz w:val="33"/>
                          </w:rPr>
                        </w:pPr>
                        <w:r>
                          <w:rPr>
                            <w:rFonts w:ascii="Calibri" w:hAnsi="Calibri"/>
                            <w:w w:val="45"/>
                            <w:sz w:val="33"/>
                          </w:rPr>
                          <w:t>Granti</w:t>
                        </w:r>
                        <w:r>
                          <w:rPr>
                            <w:rFonts w:ascii="Calibri" w:hAnsi="Calibri"/>
                            <w:spacing w:val="-18"/>
                            <w:sz w:val="33"/>
                          </w:rPr>
                          <w:t> </w:t>
                        </w:r>
                        <w:r>
                          <w:rPr>
                            <w:rFonts w:ascii="Calibri" w:hAnsi="Calibri"/>
                            <w:w w:val="45"/>
                            <w:sz w:val="33"/>
                          </w:rPr>
                          <w:t>për</w:t>
                        </w:r>
                        <w:r>
                          <w:rPr>
                            <w:rFonts w:ascii="Calibri" w:hAnsi="Calibri"/>
                            <w:spacing w:val="-40"/>
                            <w:sz w:val="33"/>
                          </w:rPr>
                          <w:t> </w:t>
                        </w:r>
                        <w:r>
                          <w:rPr>
                            <w:rFonts w:ascii="Calibri" w:hAnsi="Calibri"/>
                            <w:spacing w:val="-2"/>
                            <w:w w:val="45"/>
                            <w:sz w:val="33"/>
                          </w:rPr>
                          <w:t>Shëndetës</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3"/>
                          <w:jc w:val="right"/>
                          <w:rPr>
                            <w:rFonts w:ascii="Calibri" w:hAnsi="Calibri"/>
                            <w:sz w:val="33"/>
                          </w:rPr>
                        </w:pPr>
                        <w:r>
                          <w:rPr>
                            <w:rFonts w:ascii="Calibri" w:hAnsi="Calibri"/>
                            <w:w w:val="45"/>
                            <w:sz w:val="33"/>
                          </w:rPr>
                          <w:t>325</w:t>
                        </w:r>
                        <w:r>
                          <w:rPr>
                            <w:rFonts w:ascii="Calibri" w:hAnsi="Calibri"/>
                            <w:spacing w:val="-22"/>
                            <w:sz w:val="33"/>
                          </w:rPr>
                          <w:t> </w:t>
                        </w:r>
                        <w:r>
                          <w:rPr>
                            <w:rFonts w:ascii="Calibri" w:hAnsi="Calibri"/>
                            <w:w w:val="45"/>
                            <w:sz w:val="33"/>
                          </w:rPr>
                          <w:t>871,00</w:t>
                        </w:r>
                        <w:r>
                          <w:rPr>
                            <w:rFonts w:ascii="Calibri" w:hAnsi="Calibri"/>
                            <w:spacing w:val="-22"/>
                            <w:sz w:val="33"/>
                          </w:rPr>
                          <w:t> </w:t>
                        </w:r>
                        <w:r>
                          <w:rPr>
                            <w:rFonts w:ascii="Calibri" w:hAnsi="Calibri"/>
                            <w:spacing w:val="-10"/>
                            <w:w w:val="45"/>
                            <w:sz w:val="33"/>
                          </w:rPr>
                          <w:t>€</w:t>
                        </w:r>
                      </w:p>
                    </w:tc>
                    <w:tc>
                      <w:tcPr>
                        <w:tcW w:w="66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9"/>
                          <w:jc w:val="right"/>
                          <w:rPr>
                            <w:rFonts w:ascii="Calibri"/>
                            <w:sz w:val="33"/>
                          </w:rPr>
                        </w:pPr>
                        <w:r>
                          <w:rPr>
                            <w:rFonts w:ascii="Calibri"/>
                            <w:spacing w:val="-2"/>
                            <w:w w:val="60"/>
                            <w:sz w:val="33"/>
                          </w:rPr>
                          <w:t>14,60%</w:t>
                        </w:r>
                      </w:p>
                    </w:tc>
                    <w:tc>
                      <w:tcPr>
                        <w:tcW w:w="104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5"/>
                          <w:jc w:val="right"/>
                          <w:rPr>
                            <w:rFonts w:ascii="Calibri" w:hAnsi="Calibri"/>
                            <w:sz w:val="33"/>
                          </w:rPr>
                        </w:pPr>
                        <w:r>
                          <w:rPr>
                            <w:rFonts w:ascii="Calibri" w:hAnsi="Calibri"/>
                            <w:w w:val="45"/>
                            <w:sz w:val="33"/>
                          </w:rPr>
                          <w:t>325</w:t>
                        </w:r>
                        <w:r>
                          <w:rPr>
                            <w:rFonts w:ascii="Calibri" w:hAnsi="Calibri"/>
                            <w:spacing w:val="-22"/>
                            <w:sz w:val="33"/>
                          </w:rPr>
                          <w:t> </w:t>
                        </w:r>
                        <w:r>
                          <w:rPr>
                            <w:rFonts w:ascii="Calibri" w:hAnsi="Calibri"/>
                            <w:w w:val="45"/>
                            <w:sz w:val="33"/>
                          </w:rPr>
                          <w:t>871,00</w:t>
                        </w:r>
                        <w:r>
                          <w:rPr>
                            <w:rFonts w:ascii="Calibri" w:hAnsi="Calibri"/>
                            <w:spacing w:val="-22"/>
                            <w:sz w:val="33"/>
                          </w:rPr>
                          <w:t> </w:t>
                        </w:r>
                        <w:r>
                          <w:rPr>
                            <w:rFonts w:ascii="Calibri" w:hAnsi="Calibri"/>
                            <w:spacing w:val="-10"/>
                            <w:w w:val="45"/>
                            <w:sz w:val="33"/>
                          </w:rPr>
                          <w:t>€</w:t>
                        </w:r>
                      </w:p>
                    </w:tc>
                    <w:tc>
                      <w:tcPr>
                        <w:tcW w:w="65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1"/>
                          <w:jc w:val="right"/>
                          <w:rPr>
                            <w:rFonts w:ascii="Calibri"/>
                            <w:sz w:val="33"/>
                          </w:rPr>
                        </w:pPr>
                        <w:r>
                          <w:rPr>
                            <w:rFonts w:ascii="Calibri"/>
                            <w:spacing w:val="-2"/>
                            <w:w w:val="60"/>
                            <w:sz w:val="33"/>
                          </w:rPr>
                          <w:t>13,70%</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6"/>
                          <w:jc w:val="right"/>
                          <w:rPr>
                            <w:rFonts w:ascii="Calibri" w:hAnsi="Calibri"/>
                            <w:sz w:val="33"/>
                          </w:rPr>
                        </w:pPr>
                        <w:r>
                          <w:rPr>
                            <w:rFonts w:ascii="Calibri" w:hAnsi="Calibri"/>
                            <w:w w:val="45"/>
                            <w:sz w:val="33"/>
                          </w:rPr>
                          <w:t>364</w:t>
                        </w:r>
                        <w:r>
                          <w:rPr>
                            <w:rFonts w:ascii="Calibri" w:hAnsi="Calibri"/>
                            <w:spacing w:val="-22"/>
                            <w:sz w:val="33"/>
                          </w:rPr>
                          <w:t> </w:t>
                        </w:r>
                        <w:r>
                          <w:rPr>
                            <w:rFonts w:ascii="Calibri" w:hAnsi="Calibri"/>
                            <w:w w:val="45"/>
                            <w:sz w:val="33"/>
                          </w:rPr>
                          <w:t>561,00</w:t>
                        </w:r>
                        <w:r>
                          <w:rPr>
                            <w:rFonts w:ascii="Calibri" w:hAnsi="Calibri"/>
                            <w:spacing w:val="-22"/>
                            <w:sz w:val="33"/>
                          </w:rPr>
                          <w:t> </w:t>
                        </w:r>
                        <w:r>
                          <w:rPr>
                            <w:rFonts w:ascii="Calibri" w:hAnsi="Calibri"/>
                            <w:spacing w:val="-10"/>
                            <w:w w:val="45"/>
                            <w:sz w:val="33"/>
                          </w:rPr>
                          <w:t>€</w:t>
                        </w:r>
                      </w:p>
                    </w:tc>
                    <w:tc>
                      <w:tcPr>
                        <w:tcW w:w="67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3"/>
                          <w:jc w:val="right"/>
                          <w:rPr>
                            <w:rFonts w:ascii="Calibri"/>
                            <w:sz w:val="33"/>
                          </w:rPr>
                        </w:pPr>
                        <w:r>
                          <w:rPr>
                            <w:rFonts w:ascii="Calibri"/>
                            <w:spacing w:val="-2"/>
                            <w:w w:val="60"/>
                            <w:sz w:val="33"/>
                          </w:rPr>
                          <w:t>13,07%</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7"/>
                          <w:jc w:val="right"/>
                          <w:rPr>
                            <w:rFonts w:ascii="Calibri" w:hAnsi="Calibri"/>
                            <w:sz w:val="33"/>
                          </w:rPr>
                        </w:pPr>
                        <w:r>
                          <w:rPr>
                            <w:rFonts w:ascii="Calibri" w:hAnsi="Calibri"/>
                            <w:w w:val="45"/>
                            <w:sz w:val="33"/>
                          </w:rPr>
                          <w:t>401</w:t>
                        </w:r>
                        <w:r>
                          <w:rPr>
                            <w:rFonts w:ascii="Calibri" w:hAnsi="Calibri"/>
                            <w:spacing w:val="-22"/>
                            <w:sz w:val="33"/>
                          </w:rPr>
                          <w:t> </w:t>
                        </w:r>
                        <w:r>
                          <w:rPr>
                            <w:rFonts w:ascii="Calibri" w:hAnsi="Calibri"/>
                            <w:w w:val="45"/>
                            <w:sz w:val="33"/>
                          </w:rPr>
                          <w:t>338,00</w:t>
                        </w:r>
                        <w:r>
                          <w:rPr>
                            <w:rFonts w:ascii="Calibri" w:hAnsi="Calibri"/>
                            <w:spacing w:val="-22"/>
                            <w:sz w:val="33"/>
                          </w:rPr>
                          <w:t> </w:t>
                        </w:r>
                        <w:r>
                          <w:rPr>
                            <w:rFonts w:ascii="Calibri" w:hAnsi="Calibri"/>
                            <w:spacing w:val="-10"/>
                            <w:w w:val="45"/>
                            <w:sz w:val="33"/>
                          </w:rPr>
                          <w:t>€</w:t>
                        </w:r>
                      </w:p>
                    </w:tc>
                    <w:tc>
                      <w:tcPr>
                        <w:tcW w:w="63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4"/>
                          <w:jc w:val="right"/>
                          <w:rPr>
                            <w:rFonts w:ascii="Calibri"/>
                            <w:sz w:val="33"/>
                          </w:rPr>
                        </w:pPr>
                        <w:r>
                          <w:rPr>
                            <w:rFonts w:ascii="Calibri"/>
                            <w:spacing w:val="-2"/>
                            <w:w w:val="60"/>
                            <w:sz w:val="33"/>
                          </w:rPr>
                          <w:t>13,05%</w:t>
                        </w:r>
                      </w:p>
                    </w:tc>
                    <w:tc>
                      <w:tcPr>
                        <w:tcW w:w="105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176" w:right="18"/>
                          <w:jc w:val="center"/>
                          <w:rPr>
                            <w:rFonts w:ascii="Calibri" w:hAnsi="Calibri"/>
                            <w:sz w:val="33"/>
                          </w:rPr>
                        </w:pPr>
                        <w:r>
                          <w:rPr>
                            <w:rFonts w:ascii="Calibri" w:hAnsi="Calibri"/>
                            <w:w w:val="45"/>
                            <w:sz w:val="33"/>
                          </w:rPr>
                          <w:t>421</w:t>
                        </w:r>
                        <w:r>
                          <w:rPr>
                            <w:rFonts w:ascii="Calibri" w:hAnsi="Calibri"/>
                            <w:spacing w:val="-22"/>
                            <w:sz w:val="33"/>
                          </w:rPr>
                          <w:t> </w:t>
                        </w:r>
                        <w:r>
                          <w:rPr>
                            <w:rFonts w:ascii="Calibri" w:hAnsi="Calibri"/>
                            <w:w w:val="45"/>
                            <w:sz w:val="33"/>
                          </w:rPr>
                          <w:t>405,00</w:t>
                        </w:r>
                        <w:r>
                          <w:rPr>
                            <w:rFonts w:ascii="Calibri" w:hAnsi="Calibri"/>
                            <w:spacing w:val="-22"/>
                            <w:sz w:val="33"/>
                          </w:rPr>
                          <w:t> </w:t>
                        </w:r>
                        <w:r>
                          <w:rPr>
                            <w:rFonts w:ascii="Calibri" w:hAnsi="Calibri"/>
                            <w:spacing w:val="-10"/>
                            <w:w w:val="45"/>
                            <w:sz w:val="33"/>
                          </w:rPr>
                          <w:t>€</w:t>
                        </w:r>
                      </w:p>
                    </w:tc>
                    <w:tc>
                      <w:tcPr>
                        <w:tcW w:w="62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5"/>
                          <w:jc w:val="right"/>
                          <w:rPr>
                            <w:rFonts w:ascii="Calibri"/>
                            <w:sz w:val="33"/>
                          </w:rPr>
                        </w:pPr>
                        <w:r>
                          <w:rPr>
                            <w:rFonts w:ascii="Calibri"/>
                            <w:spacing w:val="-2"/>
                            <w:w w:val="60"/>
                            <w:sz w:val="33"/>
                          </w:rPr>
                          <w:t>13,01%</w:t>
                        </w:r>
                      </w:p>
                    </w:tc>
                  </w:tr>
                  <w:tr>
                    <w:trPr>
                      <w:trHeight w:val="405" w:hRule="atLeast"/>
                    </w:trPr>
                    <w:tc>
                      <w:tcPr>
                        <w:tcW w:w="141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25"/>
                          <w:rPr>
                            <w:rFonts w:ascii="Calibri"/>
                            <w:b/>
                            <w:sz w:val="33"/>
                          </w:rPr>
                        </w:pPr>
                        <w:r>
                          <w:rPr>
                            <w:rFonts w:ascii="Calibri"/>
                            <w:b/>
                            <w:spacing w:val="-2"/>
                            <w:w w:val="60"/>
                            <w:sz w:val="33"/>
                          </w:rPr>
                          <w:t>Gjithsej</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54"/>
                          <w:rPr>
                            <w:rFonts w:ascii="Calibri" w:hAnsi="Calibri"/>
                            <w:b/>
                            <w:sz w:val="33"/>
                          </w:rPr>
                        </w:pPr>
                        <w:r>
                          <w:rPr>
                            <w:rFonts w:ascii="Calibri" w:hAnsi="Calibri"/>
                            <w:b/>
                            <w:w w:val="45"/>
                            <w:sz w:val="33"/>
                          </w:rPr>
                          <w:t>2</w:t>
                        </w:r>
                        <w:r>
                          <w:rPr>
                            <w:rFonts w:ascii="Calibri" w:hAnsi="Calibri"/>
                            <w:b/>
                            <w:spacing w:val="-26"/>
                            <w:sz w:val="33"/>
                          </w:rPr>
                          <w:t> </w:t>
                        </w:r>
                        <w:r>
                          <w:rPr>
                            <w:rFonts w:ascii="Calibri" w:hAnsi="Calibri"/>
                            <w:b/>
                            <w:w w:val="45"/>
                            <w:sz w:val="33"/>
                          </w:rPr>
                          <w:t>231</w:t>
                        </w:r>
                        <w:r>
                          <w:rPr>
                            <w:rFonts w:ascii="Calibri" w:hAnsi="Calibri"/>
                            <w:b/>
                            <w:spacing w:val="-26"/>
                            <w:sz w:val="33"/>
                          </w:rPr>
                          <w:t> </w:t>
                        </w:r>
                        <w:r>
                          <w:rPr>
                            <w:rFonts w:ascii="Calibri" w:hAnsi="Calibri"/>
                            <w:b/>
                            <w:w w:val="45"/>
                            <w:sz w:val="33"/>
                          </w:rPr>
                          <w:t>542,00</w:t>
                        </w:r>
                        <w:r>
                          <w:rPr>
                            <w:rFonts w:ascii="Calibri" w:hAnsi="Calibri"/>
                            <w:b/>
                            <w:spacing w:val="-26"/>
                            <w:sz w:val="33"/>
                          </w:rPr>
                          <w:t> </w:t>
                        </w:r>
                        <w:r>
                          <w:rPr>
                            <w:rFonts w:ascii="Calibri" w:hAnsi="Calibri"/>
                            <w:b/>
                            <w:spacing w:val="-10"/>
                            <w:w w:val="45"/>
                            <w:sz w:val="33"/>
                          </w:rPr>
                          <w:t>€</w:t>
                        </w:r>
                      </w:p>
                    </w:tc>
                    <w:tc>
                      <w:tcPr>
                        <w:tcW w:w="66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74"/>
                          <w:rPr>
                            <w:rFonts w:ascii="Calibri"/>
                            <w:b/>
                            <w:sz w:val="33"/>
                          </w:rPr>
                        </w:pPr>
                        <w:r>
                          <w:rPr>
                            <w:rFonts w:ascii="Calibri"/>
                            <w:b/>
                            <w:spacing w:val="-2"/>
                            <w:w w:val="50"/>
                            <w:sz w:val="33"/>
                          </w:rPr>
                          <w:t>100,00%</w:t>
                        </w:r>
                      </w:p>
                    </w:tc>
                    <w:tc>
                      <w:tcPr>
                        <w:tcW w:w="1045"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54"/>
                          <w:rPr>
                            <w:rFonts w:ascii="Calibri" w:hAnsi="Calibri"/>
                            <w:b/>
                            <w:sz w:val="33"/>
                          </w:rPr>
                        </w:pPr>
                        <w:r>
                          <w:rPr>
                            <w:rFonts w:ascii="Calibri" w:hAnsi="Calibri"/>
                            <w:b/>
                            <w:w w:val="45"/>
                            <w:sz w:val="33"/>
                          </w:rPr>
                          <w:t>2</w:t>
                        </w:r>
                        <w:r>
                          <w:rPr>
                            <w:rFonts w:ascii="Calibri" w:hAnsi="Calibri"/>
                            <w:b/>
                            <w:spacing w:val="-26"/>
                            <w:sz w:val="33"/>
                          </w:rPr>
                          <w:t> </w:t>
                        </w:r>
                        <w:r>
                          <w:rPr>
                            <w:rFonts w:ascii="Calibri" w:hAnsi="Calibri"/>
                            <w:b/>
                            <w:w w:val="45"/>
                            <w:sz w:val="33"/>
                          </w:rPr>
                          <w:t>378</w:t>
                        </w:r>
                        <w:r>
                          <w:rPr>
                            <w:rFonts w:ascii="Calibri" w:hAnsi="Calibri"/>
                            <w:b/>
                            <w:spacing w:val="-26"/>
                            <w:sz w:val="33"/>
                          </w:rPr>
                          <w:t> </w:t>
                        </w:r>
                        <w:r>
                          <w:rPr>
                            <w:rFonts w:ascii="Calibri" w:hAnsi="Calibri"/>
                            <w:b/>
                            <w:w w:val="45"/>
                            <w:sz w:val="33"/>
                          </w:rPr>
                          <w:t>410,00</w:t>
                        </w:r>
                        <w:r>
                          <w:rPr>
                            <w:rFonts w:ascii="Calibri" w:hAnsi="Calibri"/>
                            <w:b/>
                            <w:spacing w:val="-26"/>
                            <w:sz w:val="33"/>
                          </w:rPr>
                          <w:t> </w:t>
                        </w:r>
                        <w:r>
                          <w:rPr>
                            <w:rFonts w:ascii="Calibri" w:hAnsi="Calibri"/>
                            <w:b/>
                            <w:spacing w:val="-10"/>
                            <w:w w:val="45"/>
                            <w:sz w:val="33"/>
                          </w:rPr>
                          <w:t>€</w:t>
                        </w:r>
                      </w:p>
                    </w:tc>
                    <w:tc>
                      <w:tcPr>
                        <w:tcW w:w="65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62"/>
                          <w:rPr>
                            <w:rFonts w:ascii="Calibri"/>
                            <w:b/>
                            <w:sz w:val="33"/>
                          </w:rPr>
                        </w:pPr>
                        <w:r>
                          <w:rPr>
                            <w:rFonts w:ascii="Calibri"/>
                            <w:b/>
                            <w:spacing w:val="-2"/>
                            <w:w w:val="50"/>
                            <w:sz w:val="33"/>
                          </w:rPr>
                          <w:t>100,00%</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6"/>
                          <w:jc w:val="right"/>
                          <w:rPr>
                            <w:rFonts w:ascii="Calibri" w:hAnsi="Calibri"/>
                            <w:b/>
                            <w:sz w:val="33"/>
                          </w:rPr>
                        </w:pPr>
                        <w:r>
                          <w:rPr>
                            <w:rFonts w:ascii="Calibri" w:hAnsi="Calibri"/>
                            <w:b/>
                            <w:w w:val="45"/>
                            <w:sz w:val="33"/>
                          </w:rPr>
                          <w:t>2</w:t>
                        </w:r>
                        <w:r>
                          <w:rPr>
                            <w:rFonts w:ascii="Calibri" w:hAnsi="Calibri"/>
                            <w:b/>
                            <w:spacing w:val="-26"/>
                            <w:sz w:val="33"/>
                          </w:rPr>
                          <w:t> </w:t>
                        </w:r>
                        <w:r>
                          <w:rPr>
                            <w:rFonts w:ascii="Calibri" w:hAnsi="Calibri"/>
                            <w:b/>
                            <w:w w:val="45"/>
                            <w:sz w:val="33"/>
                          </w:rPr>
                          <w:t>789</w:t>
                        </w:r>
                        <w:r>
                          <w:rPr>
                            <w:rFonts w:ascii="Calibri" w:hAnsi="Calibri"/>
                            <w:b/>
                            <w:spacing w:val="-26"/>
                            <w:sz w:val="33"/>
                          </w:rPr>
                          <w:t> </w:t>
                        </w:r>
                        <w:r>
                          <w:rPr>
                            <w:rFonts w:ascii="Calibri" w:hAnsi="Calibri"/>
                            <w:b/>
                            <w:w w:val="45"/>
                            <w:sz w:val="33"/>
                          </w:rPr>
                          <w:t>593,00</w:t>
                        </w:r>
                        <w:r>
                          <w:rPr>
                            <w:rFonts w:ascii="Calibri" w:hAnsi="Calibri"/>
                            <w:b/>
                            <w:spacing w:val="-26"/>
                            <w:sz w:val="33"/>
                          </w:rPr>
                          <w:t> </w:t>
                        </w:r>
                        <w:r>
                          <w:rPr>
                            <w:rFonts w:ascii="Calibri" w:hAnsi="Calibri"/>
                            <w:b/>
                            <w:spacing w:val="-10"/>
                            <w:w w:val="45"/>
                            <w:sz w:val="33"/>
                          </w:rPr>
                          <w:t>€</w:t>
                        </w:r>
                      </w:p>
                    </w:tc>
                    <w:tc>
                      <w:tcPr>
                        <w:tcW w:w="67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81"/>
                          <w:rPr>
                            <w:rFonts w:ascii="Calibri"/>
                            <w:b/>
                            <w:sz w:val="33"/>
                          </w:rPr>
                        </w:pPr>
                        <w:r>
                          <w:rPr>
                            <w:rFonts w:ascii="Calibri"/>
                            <w:b/>
                            <w:spacing w:val="-2"/>
                            <w:w w:val="50"/>
                            <w:sz w:val="33"/>
                          </w:rPr>
                          <w:t>100,00%</w:t>
                        </w:r>
                      </w:p>
                    </w:tc>
                    <w:tc>
                      <w:tcPr>
                        <w:tcW w:w="104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18"/>
                          <w:jc w:val="right"/>
                          <w:rPr>
                            <w:rFonts w:ascii="Calibri" w:hAnsi="Calibri"/>
                            <w:b/>
                            <w:sz w:val="33"/>
                          </w:rPr>
                        </w:pPr>
                        <w:r>
                          <w:rPr>
                            <w:rFonts w:ascii="Calibri" w:hAnsi="Calibri"/>
                            <w:b/>
                            <w:w w:val="45"/>
                            <w:sz w:val="33"/>
                          </w:rPr>
                          <w:t>3</w:t>
                        </w:r>
                        <w:r>
                          <w:rPr>
                            <w:rFonts w:ascii="Calibri" w:hAnsi="Calibri"/>
                            <w:b/>
                            <w:spacing w:val="-26"/>
                            <w:sz w:val="33"/>
                          </w:rPr>
                          <w:t> </w:t>
                        </w:r>
                        <w:r>
                          <w:rPr>
                            <w:rFonts w:ascii="Calibri" w:hAnsi="Calibri"/>
                            <w:b/>
                            <w:w w:val="45"/>
                            <w:sz w:val="33"/>
                          </w:rPr>
                          <w:t>074</w:t>
                        </w:r>
                        <w:r>
                          <w:rPr>
                            <w:rFonts w:ascii="Calibri" w:hAnsi="Calibri"/>
                            <w:b/>
                            <w:spacing w:val="-26"/>
                            <w:sz w:val="33"/>
                          </w:rPr>
                          <w:t> </w:t>
                        </w:r>
                        <w:r>
                          <w:rPr>
                            <w:rFonts w:ascii="Calibri" w:hAnsi="Calibri"/>
                            <w:b/>
                            <w:w w:val="45"/>
                            <w:sz w:val="33"/>
                          </w:rPr>
                          <w:t>902,00</w:t>
                        </w:r>
                        <w:r>
                          <w:rPr>
                            <w:rFonts w:ascii="Calibri" w:hAnsi="Calibri"/>
                            <w:b/>
                            <w:spacing w:val="-26"/>
                            <w:sz w:val="33"/>
                          </w:rPr>
                          <w:t> </w:t>
                        </w:r>
                        <w:r>
                          <w:rPr>
                            <w:rFonts w:ascii="Calibri" w:hAnsi="Calibri"/>
                            <w:b/>
                            <w:spacing w:val="-10"/>
                            <w:w w:val="45"/>
                            <w:sz w:val="33"/>
                          </w:rPr>
                          <w:t>€</w:t>
                        </w:r>
                      </w:p>
                    </w:tc>
                    <w:tc>
                      <w:tcPr>
                        <w:tcW w:w="63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23"/>
                          <w:jc w:val="right"/>
                          <w:rPr>
                            <w:rFonts w:ascii="Calibri"/>
                            <w:b/>
                            <w:sz w:val="33"/>
                          </w:rPr>
                        </w:pPr>
                        <w:r>
                          <w:rPr>
                            <w:rFonts w:ascii="Calibri"/>
                            <w:b/>
                            <w:spacing w:val="-2"/>
                            <w:w w:val="50"/>
                            <w:sz w:val="33"/>
                          </w:rPr>
                          <w:t>100,00%</w:t>
                        </w:r>
                      </w:p>
                    </w:tc>
                    <w:tc>
                      <w:tcPr>
                        <w:tcW w:w="1054"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left="56" w:right="18"/>
                          <w:jc w:val="center"/>
                          <w:rPr>
                            <w:rFonts w:ascii="Calibri" w:hAnsi="Calibri"/>
                            <w:b/>
                            <w:sz w:val="33"/>
                          </w:rPr>
                        </w:pPr>
                        <w:r>
                          <w:rPr>
                            <w:rFonts w:ascii="Calibri" w:hAnsi="Calibri"/>
                            <w:b/>
                            <w:w w:val="45"/>
                            <w:sz w:val="33"/>
                          </w:rPr>
                          <w:t>3</w:t>
                        </w:r>
                        <w:r>
                          <w:rPr>
                            <w:rFonts w:ascii="Calibri" w:hAnsi="Calibri"/>
                            <w:b/>
                            <w:spacing w:val="-26"/>
                            <w:sz w:val="33"/>
                          </w:rPr>
                          <w:t> </w:t>
                        </w:r>
                        <w:r>
                          <w:rPr>
                            <w:rFonts w:ascii="Calibri" w:hAnsi="Calibri"/>
                            <w:b/>
                            <w:w w:val="45"/>
                            <w:sz w:val="33"/>
                          </w:rPr>
                          <w:t>237</w:t>
                        </w:r>
                        <w:r>
                          <w:rPr>
                            <w:rFonts w:ascii="Calibri" w:hAnsi="Calibri"/>
                            <w:b/>
                            <w:spacing w:val="-26"/>
                            <w:sz w:val="33"/>
                          </w:rPr>
                          <w:t> </w:t>
                        </w:r>
                        <w:r>
                          <w:rPr>
                            <w:rFonts w:ascii="Calibri" w:hAnsi="Calibri"/>
                            <w:b/>
                            <w:w w:val="45"/>
                            <w:sz w:val="33"/>
                          </w:rPr>
                          <w:t>769,29</w:t>
                        </w:r>
                        <w:r>
                          <w:rPr>
                            <w:rFonts w:ascii="Calibri" w:hAnsi="Calibri"/>
                            <w:b/>
                            <w:spacing w:val="-26"/>
                            <w:sz w:val="33"/>
                          </w:rPr>
                          <w:t> </w:t>
                        </w:r>
                        <w:r>
                          <w:rPr>
                            <w:rFonts w:ascii="Calibri" w:hAnsi="Calibri"/>
                            <w:b/>
                            <w:spacing w:val="-10"/>
                            <w:w w:val="45"/>
                            <w:sz w:val="33"/>
                          </w:rPr>
                          <w:t>€</w:t>
                        </w:r>
                      </w:p>
                    </w:tc>
                    <w:tc>
                      <w:tcPr>
                        <w:tcW w:w="623" w:type="dxa"/>
                        <w:tcBorders>
                          <w:top w:val="single" w:sz="12" w:space="0" w:color="000000"/>
                          <w:left w:val="single" w:sz="4" w:space="0" w:color="000000"/>
                          <w:bottom w:val="single" w:sz="12" w:space="0" w:color="000000"/>
                          <w:right w:val="single" w:sz="4" w:space="0" w:color="000000"/>
                        </w:tcBorders>
                      </w:tcPr>
                      <w:p>
                        <w:pPr>
                          <w:pStyle w:val="TableParagraph"/>
                          <w:spacing w:line="373" w:lineRule="exact" w:before="12"/>
                          <w:ind w:right="25"/>
                          <w:jc w:val="right"/>
                          <w:rPr>
                            <w:rFonts w:ascii="Calibri"/>
                            <w:b/>
                            <w:sz w:val="33"/>
                          </w:rPr>
                        </w:pPr>
                        <w:r>
                          <w:rPr>
                            <w:rFonts w:ascii="Calibri"/>
                            <w:b/>
                            <w:spacing w:val="-2"/>
                            <w:w w:val="50"/>
                            <w:sz w:val="33"/>
                          </w:rPr>
                          <w:t>100,00%</w:t>
                        </w:r>
                      </w:p>
                    </w:tc>
                  </w:tr>
                </w:tbl>
                <w:p>
                  <w:pPr>
                    <w:pStyle w:val="BodyText"/>
                  </w:pPr>
                </w:p>
              </w:txbxContent>
            </v:textbox>
            <w10:wrap type="none"/>
          </v:shape>
        </w:pict>
      </w:r>
      <w:r>
        <w:rPr>
          <w:b/>
          <w:sz w:val="24"/>
        </w:rPr>
        <w:t>Tabela</w:t>
      </w:r>
      <w:r>
        <w:rPr>
          <w:b/>
          <w:spacing w:val="-6"/>
          <w:sz w:val="24"/>
        </w:rPr>
        <w:t> </w:t>
      </w:r>
      <w:r>
        <w:rPr>
          <w:b/>
          <w:sz w:val="24"/>
        </w:rPr>
        <w:t>23:</w:t>
      </w:r>
      <w:r>
        <w:rPr>
          <w:b/>
          <w:spacing w:val="-4"/>
          <w:sz w:val="24"/>
        </w:rPr>
        <w:t> </w:t>
      </w:r>
      <w:r>
        <w:rPr>
          <w:sz w:val="24"/>
        </w:rPr>
        <w:t>Të</w:t>
      </w:r>
      <w:r>
        <w:rPr>
          <w:spacing w:val="-5"/>
          <w:sz w:val="24"/>
        </w:rPr>
        <w:t> </w:t>
      </w:r>
      <w:r>
        <w:rPr>
          <w:sz w:val="24"/>
        </w:rPr>
        <w:t>hyrat</w:t>
      </w:r>
      <w:r>
        <w:rPr>
          <w:spacing w:val="-6"/>
          <w:sz w:val="24"/>
        </w:rPr>
        <w:t> </w:t>
      </w:r>
      <w:r>
        <w:rPr>
          <w:spacing w:val="-2"/>
          <w:sz w:val="24"/>
        </w:rPr>
        <w:t>vetanake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6"/>
        </w:rPr>
      </w:pPr>
    </w:p>
    <w:p>
      <w:pPr>
        <w:spacing w:before="0"/>
        <w:ind w:left="2132" w:right="0" w:firstLine="0"/>
        <w:jc w:val="left"/>
        <w:rPr>
          <w:rFonts w:ascii="Calibri"/>
          <w:sz w:val="33"/>
        </w:rPr>
      </w:pPr>
      <w:r>
        <w:rPr>
          <w:rFonts w:ascii="Calibri"/>
          <w:w w:val="48"/>
          <w:sz w:val="33"/>
        </w:rPr>
        <w:t>i</w:t>
      </w:r>
    </w:p>
    <w:p>
      <w:pPr>
        <w:pStyle w:val="BodyText"/>
        <w:spacing w:before="7"/>
        <w:rPr>
          <w:rFonts w:ascii="Calibri"/>
          <w:sz w:val="41"/>
        </w:rPr>
      </w:pPr>
    </w:p>
    <w:p>
      <w:pPr>
        <w:spacing w:before="0"/>
        <w:ind w:left="0" w:right="697" w:firstLine="0"/>
        <w:jc w:val="center"/>
        <w:rPr>
          <w:sz w:val="24"/>
        </w:rPr>
      </w:pPr>
      <w:r>
        <w:rPr>
          <w:b/>
          <w:sz w:val="24"/>
        </w:rPr>
        <w:t>Tabela</w:t>
      </w:r>
      <w:r>
        <w:rPr>
          <w:b/>
          <w:spacing w:val="-8"/>
          <w:sz w:val="24"/>
        </w:rPr>
        <w:t> </w:t>
      </w:r>
      <w:r>
        <w:rPr>
          <w:b/>
          <w:sz w:val="24"/>
        </w:rPr>
        <w:t>24:</w:t>
      </w:r>
      <w:r>
        <w:rPr>
          <w:b/>
          <w:spacing w:val="-7"/>
          <w:sz w:val="24"/>
        </w:rPr>
        <w:t> </w:t>
      </w:r>
      <w:r>
        <w:rPr>
          <w:sz w:val="24"/>
        </w:rPr>
        <w:t>Transferat</w:t>
      </w:r>
      <w:r>
        <w:rPr>
          <w:spacing w:val="-7"/>
          <w:sz w:val="24"/>
        </w:rPr>
        <w:t> </w:t>
      </w:r>
      <w:r>
        <w:rPr>
          <w:spacing w:val="-2"/>
          <w:sz w:val="24"/>
        </w:rPr>
        <w:t>qeveritare</w:t>
      </w:r>
    </w:p>
    <w:p>
      <w:pPr>
        <w:pStyle w:val="Heading2"/>
        <w:numPr>
          <w:ilvl w:val="1"/>
          <w:numId w:val="12"/>
        </w:numPr>
        <w:tabs>
          <w:tab w:pos="570" w:val="left" w:leader="none"/>
          <w:tab w:pos="9331" w:val="left" w:leader="none"/>
        </w:tabs>
        <w:spacing w:line="240" w:lineRule="auto" w:before="55" w:after="0"/>
        <w:ind w:left="570" w:right="606" w:hanging="570"/>
        <w:jc w:val="center"/>
      </w:pPr>
      <w:r>
        <w:rPr>
          <w:color w:val="000000"/>
          <w:w w:val="99"/>
          <w:shd w:fill="EAB8A3" w:color="auto" w:val="clear"/>
        </w:rPr>
        <w:t>Sh</w:t>
      </w:r>
      <w:r>
        <w:rPr>
          <w:color w:val="000000"/>
          <w:spacing w:val="-1"/>
          <w:w w:val="99"/>
          <w:shd w:fill="EAB8A3" w:color="auto" w:val="clear"/>
        </w:rPr>
        <w:t>p</w:t>
      </w:r>
      <w:r>
        <w:rPr>
          <w:color w:val="000000"/>
          <w:w w:val="99"/>
          <w:shd w:fill="EAB8A3" w:color="auto" w:val="clear"/>
        </w:rPr>
        <w:t>enzim</w:t>
      </w:r>
      <w:r>
        <w:rPr>
          <w:color w:val="000000"/>
          <w:spacing w:val="-1"/>
          <w:w w:val="99"/>
          <w:shd w:fill="EAB8A3" w:color="auto" w:val="clear"/>
        </w:rPr>
        <w:t>e</w:t>
      </w:r>
      <w:r>
        <w:rPr>
          <w:color w:val="000000"/>
          <w:w w:val="99"/>
          <w:shd w:fill="EAB8A3" w:color="auto" w:val="clear"/>
        </w:rPr>
        <w:t>t Buxhetore</w:t>
        <w:tab/>
      </w:r>
    </w:p>
    <w:p>
      <w:pPr>
        <w:pStyle w:val="BodyText"/>
        <w:spacing w:before="3"/>
        <w:rPr>
          <w:b/>
          <w:sz w:val="22"/>
        </w:rPr>
      </w:pPr>
    </w:p>
    <w:p>
      <w:pPr>
        <w:pStyle w:val="BodyText"/>
        <w:spacing w:line="288" w:lineRule="auto"/>
        <w:ind w:left="740" w:right="1438"/>
        <w:jc w:val="both"/>
      </w:pPr>
      <w:r>
        <w:rPr/>
        <w:t>Siç shihet në vijim, shpenzimet rrjedhëse mestare</w:t>
      </w:r>
      <w:r>
        <w:rPr/>
        <w:t> ndër</w:t>
      </w:r>
      <w:r>
        <w:rPr/>
        <w:t> vite</w:t>
      </w:r>
      <w:r>
        <w:rPr>
          <w:spacing w:val="40"/>
        </w:rPr>
        <w:t> </w:t>
      </w:r>
      <w:r>
        <w:rPr/>
        <w:t>77.51%</w:t>
      </w:r>
      <w:r>
        <w:rPr/>
        <w:t> janë</w:t>
      </w:r>
      <w:r>
        <w:rPr/>
        <w:t> mesatarisht të shpenzimeve komunale dhe ato kapitale mesatarisht 22.49%</w:t>
      </w:r>
      <w:r>
        <w:rPr>
          <w:vertAlign w:val="superscript"/>
        </w:rPr>
        <w:t>20</w:t>
      </w:r>
      <w:r>
        <w:rPr>
          <w:vertAlign w:val="baseline"/>
        </w:rPr>
        <w:t>. Nga shpenzimet rrjedhëse, më të lartat</w:t>
      </w:r>
      <w:r>
        <w:rPr>
          <w:spacing w:val="-5"/>
          <w:vertAlign w:val="baseline"/>
        </w:rPr>
        <w:t> </w:t>
      </w:r>
      <w:r>
        <w:rPr>
          <w:vertAlign w:val="baseline"/>
        </w:rPr>
        <w:t>janë</w:t>
      </w:r>
      <w:r>
        <w:rPr>
          <w:spacing w:val="-5"/>
          <w:vertAlign w:val="baseline"/>
        </w:rPr>
        <w:t> </w:t>
      </w:r>
      <w:r>
        <w:rPr>
          <w:vertAlign w:val="baseline"/>
        </w:rPr>
        <w:t>ato</w:t>
      </w:r>
      <w:r>
        <w:rPr>
          <w:spacing w:val="-5"/>
          <w:vertAlign w:val="baseline"/>
        </w:rPr>
        <w:t> </w:t>
      </w:r>
      <w:r>
        <w:rPr>
          <w:vertAlign w:val="baseline"/>
        </w:rPr>
        <w:t>për</w:t>
      </w:r>
      <w:r>
        <w:rPr>
          <w:spacing w:val="-4"/>
          <w:vertAlign w:val="baseline"/>
        </w:rPr>
        <w:t> </w:t>
      </w:r>
      <w:r>
        <w:rPr>
          <w:vertAlign w:val="baseline"/>
        </w:rPr>
        <w:t>paga</w:t>
      </w:r>
      <w:r>
        <w:rPr>
          <w:spacing w:val="-4"/>
          <w:vertAlign w:val="baseline"/>
        </w:rPr>
        <w:t> </w:t>
      </w:r>
      <w:r>
        <w:rPr>
          <w:vertAlign w:val="baseline"/>
        </w:rPr>
        <w:t>dhe</w:t>
      </w:r>
      <w:r>
        <w:rPr>
          <w:spacing w:val="-4"/>
          <w:vertAlign w:val="baseline"/>
        </w:rPr>
        <w:t> </w:t>
      </w:r>
      <w:r>
        <w:rPr>
          <w:vertAlign w:val="baseline"/>
        </w:rPr>
        <w:t>mëditje,</w:t>
      </w:r>
      <w:r>
        <w:rPr>
          <w:spacing w:val="-5"/>
          <w:vertAlign w:val="baseline"/>
        </w:rPr>
        <w:t> </w:t>
      </w:r>
      <w:r>
        <w:rPr>
          <w:vertAlign w:val="baseline"/>
        </w:rPr>
        <w:t>pastaj</w:t>
      </w:r>
      <w:r>
        <w:rPr>
          <w:spacing w:val="-4"/>
          <w:vertAlign w:val="baseline"/>
        </w:rPr>
        <w:t> </w:t>
      </w:r>
      <w:r>
        <w:rPr>
          <w:vertAlign w:val="baseline"/>
        </w:rPr>
        <w:t>shpenzimet</w:t>
      </w:r>
      <w:r>
        <w:rPr>
          <w:spacing w:val="-4"/>
          <w:vertAlign w:val="baseline"/>
        </w:rPr>
        <w:t> </w:t>
      </w:r>
      <w:r>
        <w:rPr>
          <w:vertAlign w:val="baseline"/>
        </w:rPr>
        <w:t>për</w:t>
      </w:r>
      <w:r>
        <w:rPr>
          <w:spacing w:val="-5"/>
          <w:vertAlign w:val="baseline"/>
        </w:rPr>
        <w:t> </w:t>
      </w:r>
      <w:r>
        <w:rPr>
          <w:vertAlign w:val="baseline"/>
        </w:rPr>
        <w:t>mallra</w:t>
      </w:r>
      <w:r>
        <w:rPr>
          <w:spacing w:val="-4"/>
          <w:vertAlign w:val="baseline"/>
        </w:rPr>
        <w:t> </w:t>
      </w:r>
      <w:r>
        <w:rPr>
          <w:vertAlign w:val="baseline"/>
        </w:rPr>
        <w:t>dhe</w:t>
      </w:r>
      <w:r>
        <w:rPr>
          <w:spacing w:val="-6"/>
          <w:vertAlign w:val="baseline"/>
        </w:rPr>
        <w:t> </w:t>
      </w:r>
      <w:r>
        <w:rPr>
          <w:vertAlign w:val="baseline"/>
        </w:rPr>
        <w:t>shërbime,</w:t>
      </w:r>
      <w:r>
        <w:rPr>
          <w:spacing w:val="-5"/>
          <w:vertAlign w:val="baseline"/>
        </w:rPr>
        <w:t> </w:t>
      </w:r>
      <w:r>
        <w:rPr>
          <w:vertAlign w:val="baseline"/>
        </w:rPr>
        <w:t>subvencionet</w:t>
      </w:r>
      <w:r>
        <w:rPr>
          <w:spacing w:val="-5"/>
          <w:vertAlign w:val="baseline"/>
        </w:rPr>
        <w:t> </w:t>
      </w:r>
      <w:r>
        <w:rPr>
          <w:vertAlign w:val="baseline"/>
        </w:rPr>
        <w:t>dhe shpenzimet komunale</w:t>
      </w:r>
      <w:r>
        <w:rPr>
          <w:vertAlign w:val="superscript"/>
        </w:rPr>
        <w:t>21</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rect style="position:absolute;margin-left:72pt;margin-top:9.788916pt;width:144.020pt;height:.65997pt;mso-position-horizontal-relative:page;mso-position-vertical-relative:paragraph;z-index:-15691264;mso-wrap-distance-left:0;mso-wrap-distance-right:0" id="docshape330" filled="true" fillcolor="#000000" stroked="false">
            <v:fill type="solid"/>
            <w10:wrap type="topAndBottom"/>
          </v:rect>
        </w:pict>
      </w:r>
    </w:p>
    <w:p>
      <w:pPr>
        <w:spacing w:before="95"/>
        <w:ind w:left="740" w:right="0" w:firstLine="0"/>
        <w:jc w:val="left"/>
        <w:rPr>
          <w:rFonts w:ascii="Calibri" w:hAnsi="Calibri"/>
          <w:sz w:val="20"/>
        </w:rPr>
      </w:pPr>
      <w:r>
        <w:rPr>
          <w:rFonts w:ascii="Calibri" w:hAnsi="Calibri"/>
          <w:sz w:val="20"/>
          <w:vertAlign w:val="superscript"/>
        </w:rPr>
        <w:t>20</w:t>
      </w:r>
      <w:r>
        <w:rPr>
          <w:rFonts w:ascii="Calibri" w:hAnsi="Calibri"/>
          <w:spacing w:val="-3"/>
          <w:sz w:val="20"/>
          <w:vertAlign w:val="baseline"/>
        </w:rPr>
        <w:t> </w:t>
      </w:r>
      <w:r>
        <w:rPr>
          <w:rFonts w:ascii="Calibri" w:hAnsi="Calibri"/>
          <w:sz w:val="20"/>
          <w:vertAlign w:val="baseline"/>
        </w:rPr>
        <w:t>Drejtoria</w:t>
      </w:r>
      <w:r>
        <w:rPr>
          <w:rFonts w:ascii="Calibri" w:hAnsi="Calibri"/>
          <w:spacing w:val="-3"/>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Buxhet</w:t>
      </w:r>
      <w:r>
        <w:rPr>
          <w:rFonts w:ascii="Calibri" w:hAnsi="Calibri"/>
          <w:spacing w:val="-3"/>
          <w:sz w:val="20"/>
          <w:vertAlign w:val="baseline"/>
        </w:rPr>
        <w:t> </w:t>
      </w:r>
      <w:r>
        <w:rPr>
          <w:rFonts w:ascii="Calibri" w:hAnsi="Calibri"/>
          <w:sz w:val="20"/>
          <w:vertAlign w:val="baseline"/>
        </w:rPr>
        <w:t>dhe</w:t>
      </w:r>
      <w:r>
        <w:rPr>
          <w:rFonts w:ascii="Calibri" w:hAnsi="Calibri"/>
          <w:spacing w:val="-3"/>
          <w:sz w:val="20"/>
          <w:vertAlign w:val="baseline"/>
        </w:rPr>
        <w:t> </w:t>
      </w:r>
      <w:r>
        <w:rPr>
          <w:rFonts w:ascii="Calibri" w:hAnsi="Calibri"/>
          <w:spacing w:val="-2"/>
          <w:sz w:val="20"/>
          <w:vertAlign w:val="baseline"/>
        </w:rPr>
        <w:t>Finaca</w:t>
      </w:r>
    </w:p>
    <w:p>
      <w:pPr>
        <w:spacing w:before="1"/>
        <w:ind w:left="740" w:right="0" w:firstLine="0"/>
        <w:jc w:val="left"/>
        <w:rPr>
          <w:rFonts w:ascii="Calibri"/>
          <w:sz w:val="20"/>
        </w:rPr>
      </w:pPr>
      <w:r>
        <w:rPr>
          <w:rFonts w:ascii="Calibri"/>
          <w:sz w:val="20"/>
          <w:vertAlign w:val="superscript"/>
        </w:rPr>
        <w:t>21</w:t>
      </w:r>
      <w:r>
        <w:rPr>
          <w:rFonts w:ascii="Calibri"/>
          <w:spacing w:val="-2"/>
          <w:sz w:val="20"/>
          <w:vertAlign w:val="baseline"/>
        </w:rPr>
        <w:t> </w:t>
      </w:r>
      <w:r>
        <w:rPr>
          <w:rFonts w:ascii="Calibri"/>
          <w:sz w:val="20"/>
          <w:vertAlign w:val="baseline"/>
        </w:rPr>
        <w:t>Instituti</w:t>
      </w:r>
      <w:r>
        <w:rPr>
          <w:rFonts w:ascii="Calibri"/>
          <w:spacing w:val="-1"/>
          <w:sz w:val="20"/>
          <w:vertAlign w:val="baseline"/>
        </w:rPr>
        <w:t> </w:t>
      </w:r>
      <w:r>
        <w:rPr>
          <w:rFonts w:ascii="Calibri"/>
          <w:sz w:val="20"/>
          <w:vertAlign w:val="baseline"/>
        </w:rPr>
        <w:t>GAP</w:t>
      </w:r>
      <w:r>
        <w:rPr>
          <w:rFonts w:ascii="Calibri"/>
          <w:spacing w:val="-1"/>
          <w:sz w:val="20"/>
          <w:vertAlign w:val="baseline"/>
        </w:rPr>
        <w:t> </w:t>
      </w:r>
      <w:r>
        <w:rPr>
          <w:rFonts w:ascii="Calibri"/>
          <w:spacing w:val="-2"/>
          <w:sz w:val="20"/>
          <w:vertAlign w:val="baseline"/>
        </w:rPr>
        <w:t>(https:</w:t>
      </w:r>
      <w:hyperlink r:id="rId76">
        <w:r>
          <w:rPr>
            <w:rFonts w:ascii="Calibri"/>
            <w:spacing w:val="-2"/>
            <w:sz w:val="20"/>
            <w:vertAlign w:val="baseline"/>
          </w:rPr>
          <w:t>//www.institutigap.org</w:t>
        </w:r>
      </w:hyperlink>
      <w:r>
        <w:rPr>
          <w:rFonts w:ascii="Calibri"/>
          <w:spacing w:val="-2"/>
          <w:sz w:val="20"/>
          <w:vertAlign w:val="baseline"/>
        </w:rPr>
        <w:t>/</w:t>
      </w:r>
      <w:hyperlink r:id="rId76">
        <w:r>
          <w:rPr>
            <w:rFonts w:ascii="Calibri"/>
            <w:spacing w:val="-2"/>
            <w:sz w:val="20"/>
            <w:vertAlign w:val="baseline"/>
          </w:rPr>
          <w:t>home</w:t>
        </w:r>
      </w:hyperlink>
      <w:r>
        <w:rPr>
          <w:rFonts w:ascii="Calibri"/>
          <w:spacing w:val="-2"/>
          <w:sz w:val="20"/>
          <w:vertAlign w:val="baseline"/>
        </w:rPr>
        <w:t>)</w:t>
      </w:r>
    </w:p>
    <w:p>
      <w:pPr>
        <w:spacing w:after="0"/>
        <w:jc w:val="left"/>
        <w:rPr>
          <w:rFonts w:ascii="Calibri"/>
          <w:sz w:val="20"/>
        </w:rPr>
        <w:sectPr>
          <w:pgSz w:w="12240" w:h="15840"/>
          <w:pgMar w:header="0" w:footer="990" w:top="1380" w:bottom="1180" w:left="700" w:right="0"/>
        </w:sectPr>
      </w:pPr>
    </w:p>
    <w:tbl>
      <w:tblPr>
        <w:tblW w:w="0" w:type="auto"/>
        <w:jc w:val="left"/>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7"/>
        <w:gridCol w:w="1142"/>
        <w:gridCol w:w="761"/>
        <w:gridCol w:w="1071"/>
        <w:gridCol w:w="762"/>
        <w:gridCol w:w="1131"/>
        <w:gridCol w:w="762"/>
        <w:gridCol w:w="1095"/>
        <w:gridCol w:w="762"/>
      </w:tblGrid>
      <w:tr>
        <w:trPr>
          <w:trHeight w:val="235" w:hRule="atLeast"/>
        </w:trPr>
        <w:tc>
          <w:tcPr>
            <w:tcW w:w="9353" w:type="dxa"/>
            <w:gridSpan w:val="9"/>
          </w:tcPr>
          <w:p>
            <w:pPr>
              <w:pStyle w:val="TableParagraph"/>
              <w:spacing w:line="207" w:lineRule="exact" w:before="8"/>
              <w:ind w:left="3817" w:right="3790"/>
              <w:jc w:val="center"/>
              <w:rPr>
                <w:rFonts w:ascii="Calibri"/>
                <w:b/>
                <w:sz w:val="19"/>
              </w:rPr>
            </w:pPr>
            <w:r>
              <w:rPr>
                <w:rFonts w:ascii="Calibri"/>
                <w:b/>
                <w:sz w:val="19"/>
              </w:rPr>
              <w:t>Shpenzime</w:t>
            </w:r>
            <w:r>
              <w:rPr>
                <w:rFonts w:ascii="Calibri"/>
                <w:b/>
                <w:spacing w:val="11"/>
                <w:sz w:val="19"/>
              </w:rPr>
              <w:t> </w:t>
            </w:r>
            <w:r>
              <w:rPr>
                <w:rFonts w:ascii="Calibri"/>
                <w:b/>
                <w:spacing w:val="-2"/>
                <w:sz w:val="19"/>
              </w:rPr>
              <w:t>komunale</w:t>
            </w:r>
          </w:p>
        </w:tc>
      </w:tr>
      <w:tr>
        <w:trPr>
          <w:trHeight w:val="223" w:hRule="atLeast"/>
        </w:trPr>
        <w:tc>
          <w:tcPr>
            <w:tcW w:w="1867" w:type="dxa"/>
          </w:tcPr>
          <w:p>
            <w:pPr>
              <w:pStyle w:val="TableParagraph"/>
              <w:spacing w:line="198" w:lineRule="exact" w:before="6"/>
              <w:ind w:left="751" w:right="716"/>
              <w:jc w:val="center"/>
              <w:rPr>
                <w:rFonts w:ascii="Calibri"/>
                <w:sz w:val="18"/>
              </w:rPr>
            </w:pPr>
            <w:r>
              <w:rPr>
                <w:rFonts w:ascii="Calibri"/>
                <w:spacing w:val="-2"/>
                <w:sz w:val="18"/>
              </w:rPr>
              <w:t>Vitet</w:t>
            </w:r>
          </w:p>
        </w:tc>
        <w:tc>
          <w:tcPr>
            <w:tcW w:w="1142" w:type="dxa"/>
          </w:tcPr>
          <w:p>
            <w:pPr>
              <w:pStyle w:val="TableParagraph"/>
              <w:spacing w:line="198" w:lineRule="exact" w:before="6"/>
              <w:ind w:right="1"/>
              <w:jc w:val="right"/>
              <w:rPr>
                <w:rFonts w:ascii="Calibri"/>
                <w:sz w:val="18"/>
              </w:rPr>
            </w:pPr>
            <w:r>
              <w:rPr>
                <w:rFonts w:ascii="Calibri"/>
                <w:sz w:val="18"/>
              </w:rPr>
              <w:t>Viti</w:t>
            </w:r>
            <w:r>
              <w:rPr>
                <w:rFonts w:ascii="Calibri"/>
                <w:spacing w:val="8"/>
                <w:sz w:val="18"/>
              </w:rPr>
              <w:t> </w:t>
            </w:r>
            <w:r>
              <w:rPr>
                <w:rFonts w:ascii="Calibri"/>
                <w:spacing w:val="-4"/>
                <w:sz w:val="18"/>
              </w:rPr>
              <w:t>2020</w:t>
            </w:r>
          </w:p>
        </w:tc>
        <w:tc>
          <w:tcPr>
            <w:tcW w:w="761" w:type="dxa"/>
          </w:tcPr>
          <w:p>
            <w:pPr>
              <w:pStyle w:val="TableParagraph"/>
              <w:rPr>
                <w:sz w:val="16"/>
              </w:rPr>
            </w:pPr>
          </w:p>
        </w:tc>
        <w:tc>
          <w:tcPr>
            <w:tcW w:w="1071" w:type="dxa"/>
          </w:tcPr>
          <w:p>
            <w:pPr>
              <w:pStyle w:val="TableParagraph"/>
              <w:spacing w:line="198" w:lineRule="exact" w:before="6"/>
              <w:ind w:right="2"/>
              <w:jc w:val="right"/>
              <w:rPr>
                <w:rFonts w:ascii="Calibri"/>
                <w:sz w:val="18"/>
              </w:rPr>
            </w:pPr>
            <w:r>
              <w:rPr>
                <w:rFonts w:ascii="Calibri"/>
                <w:sz w:val="18"/>
              </w:rPr>
              <w:t>Viti</w:t>
            </w:r>
            <w:r>
              <w:rPr>
                <w:rFonts w:ascii="Calibri"/>
                <w:spacing w:val="8"/>
                <w:sz w:val="18"/>
              </w:rPr>
              <w:t> </w:t>
            </w:r>
            <w:r>
              <w:rPr>
                <w:rFonts w:ascii="Calibri"/>
                <w:spacing w:val="-4"/>
                <w:sz w:val="18"/>
              </w:rPr>
              <w:t>2021</w:t>
            </w:r>
          </w:p>
        </w:tc>
        <w:tc>
          <w:tcPr>
            <w:tcW w:w="762" w:type="dxa"/>
          </w:tcPr>
          <w:p>
            <w:pPr>
              <w:pStyle w:val="TableParagraph"/>
              <w:rPr>
                <w:sz w:val="16"/>
              </w:rPr>
            </w:pPr>
          </w:p>
        </w:tc>
        <w:tc>
          <w:tcPr>
            <w:tcW w:w="1131" w:type="dxa"/>
          </w:tcPr>
          <w:p>
            <w:pPr>
              <w:pStyle w:val="TableParagraph"/>
              <w:spacing w:line="198" w:lineRule="exact" w:before="6"/>
              <w:ind w:right="4"/>
              <w:jc w:val="right"/>
              <w:rPr>
                <w:rFonts w:ascii="Calibri"/>
                <w:sz w:val="18"/>
              </w:rPr>
            </w:pPr>
            <w:r>
              <w:rPr>
                <w:rFonts w:ascii="Calibri"/>
                <w:sz w:val="18"/>
              </w:rPr>
              <w:t>viti</w:t>
            </w:r>
            <w:r>
              <w:rPr>
                <w:rFonts w:ascii="Calibri"/>
                <w:spacing w:val="5"/>
                <w:sz w:val="18"/>
              </w:rPr>
              <w:t> </w:t>
            </w:r>
            <w:r>
              <w:rPr>
                <w:rFonts w:ascii="Calibri"/>
                <w:spacing w:val="-4"/>
                <w:sz w:val="18"/>
              </w:rPr>
              <w:t>2022</w:t>
            </w:r>
          </w:p>
        </w:tc>
        <w:tc>
          <w:tcPr>
            <w:tcW w:w="762" w:type="dxa"/>
          </w:tcPr>
          <w:p>
            <w:pPr>
              <w:pStyle w:val="TableParagraph"/>
              <w:rPr>
                <w:sz w:val="16"/>
              </w:rPr>
            </w:pPr>
          </w:p>
        </w:tc>
        <w:tc>
          <w:tcPr>
            <w:tcW w:w="1095" w:type="dxa"/>
          </w:tcPr>
          <w:p>
            <w:pPr>
              <w:pStyle w:val="TableParagraph"/>
              <w:spacing w:line="198" w:lineRule="exact" w:before="6"/>
              <w:ind w:right="6"/>
              <w:jc w:val="right"/>
              <w:rPr>
                <w:rFonts w:ascii="Calibri"/>
                <w:sz w:val="18"/>
              </w:rPr>
            </w:pPr>
            <w:r>
              <w:rPr>
                <w:rFonts w:ascii="Calibri"/>
                <w:sz w:val="18"/>
              </w:rPr>
              <w:t>Viti</w:t>
            </w:r>
            <w:r>
              <w:rPr>
                <w:rFonts w:ascii="Calibri"/>
                <w:spacing w:val="8"/>
                <w:sz w:val="18"/>
              </w:rPr>
              <w:t> </w:t>
            </w:r>
            <w:r>
              <w:rPr>
                <w:rFonts w:ascii="Calibri"/>
                <w:spacing w:val="-4"/>
                <w:sz w:val="18"/>
              </w:rPr>
              <w:t>2023</w:t>
            </w:r>
          </w:p>
        </w:tc>
        <w:tc>
          <w:tcPr>
            <w:tcW w:w="762" w:type="dxa"/>
          </w:tcPr>
          <w:p>
            <w:pPr>
              <w:pStyle w:val="TableParagraph"/>
              <w:rPr>
                <w:sz w:val="16"/>
              </w:rPr>
            </w:pPr>
          </w:p>
        </w:tc>
      </w:tr>
      <w:tr>
        <w:trPr>
          <w:trHeight w:val="223" w:hRule="atLeast"/>
        </w:trPr>
        <w:tc>
          <w:tcPr>
            <w:tcW w:w="1867" w:type="dxa"/>
          </w:tcPr>
          <w:p>
            <w:pPr>
              <w:pStyle w:val="TableParagraph"/>
              <w:spacing w:line="198" w:lineRule="exact" w:before="6"/>
              <w:ind w:left="34"/>
              <w:rPr>
                <w:rFonts w:ascii="Calibri" w:hAnsi="Calibri"/>
                <w:sz w:val="18"/>
              </w:rPr>
            </w:pPr>
            <w:r>
              <w:rPr>
                <w:rFonts w:ascii="Calibri" w:hAnsi="Calibri"/>
                <w:sz w:val="18"/>
              </w:rPr>
              <w:t>Paga</w:t>
            </w:r>
            <w:r>
              <w:rPr>
                <w:rFonts w:ascii="Calibri" w:hAnsi="Calibri"/>
                <w:spacing w:val="-11"/>
                <w:sz w:val="18"/>
              </w:rPr>
              <w:t> </w:t>
            </w:r>
            <w:r>
              <w:rPr>
                <w:rFonts w:ascii="Calibri" w:hAnsi="Calibri"/>
                <w:sz w:val="18"/>
              </w:rPr>
              <w:t>dhe</w:t>
            </w:r>
            <w:r>
              <w:rPr>
                <w:rFonts w:ascii="Calibri" w:hAnsi="Calibri"/>
                <w:spacing w:val="-7"/>
                <w:sz w:val="18"/>
              </w:rPr>
              <w:t> </w:t>
            </w:r>
            <w:r>
              <w:rPr>
                <w:rFonts w:ascii="Calibri" w:hAnsi="Calibri"/>
                <w:spacing w:val="-2"/>
                <w:sz w:val="18"/>
              </w:rPr>
              <w:t>Mëditje</w:t>
            </w:r>
          </w:p>
        </w:tc>
        <w:tc>
          <w:tcPr>
            <w:tcW w:w="1142" w:type="dxa"/>
          </w:tcPr>
          <w:p>
            <w:pPr>
              <w:pStyle w:val="TableParagraph"/>
              <w:spacing w:line="198" w:lineRule="exact" w:before="6"/>
              <w:ind w:right="1"/>
              <w:jc w:val="right"/>
              <w:rPr>
                <w:rFonts w:ascii="Calibri" w:hAnsi="Calibri"/>
                <w:sz w:val="18"/>
              </w:rPr>
            </w:pPr>
            <w:r>
              <w:rPr>
                <w:rFonts w:ascii="Calibri" w:hAnsi="Calibri"/>
                <w:spacing w:val="-6"/>
                <w:sz w:val="18"/>
              </w:rPr>
              <w:t>1</w:t>
            </w:r>
            <w:r>
              <w:rPr>
                <w:rFonts w:ascii="Calibri" w:hAnsi="Calibri"/>
                <w:spacing w:val="-12"/>
                <w:sz w:val="18"/>
              </w:rPr>
              <w:t> </w:t>
            </w:r>
            <w:r>
              <w:rPr>
                <w:rFonts w:ascii="Calibri" w:hAnsi="Calibri"/>
                <w:spacing w:val="-6"/>
                <w:sz w:val="18"/>
              </w:rPr>
              <w:t>519</w:t>
            </w:r>
            <w:r>
              <w:rPr>
                <w:rFonts w:ascii="Calibri" w:hAnsi="Calibri"/>
                <w:spacing w:val="-11"/>
                <w:sz w:val="18"/>
              </w:rPr>
              <w:t> </w:t>
            </w:r>
            <w:r>
              <w:rPr>
                <w:rFonts w:ascii="Calibri" w:hAnsi="Calibri"/>
                <w:spacing w:val="-6"/>
                <w:sz w:val="18"/>
              </w:rPr>
              <w:t>196,00</w:t>
            </w:r>
            <w:r>
              <w:rPr>
                <w:rFonts w:ascii="Calibri" w:hAnsi="Calibri"/>
                <w:spacing w:val="-11"/>
                <w:sz w:val="18"/>
              </w:rPr>
              <w:t> </w:t>
            </w:r>
            <w:r>
              <w:rPr>
                <w:rFonts w:ascii="Calibri" w:hAnsi="Calibri"/>
                <w:spacing w:val="-10"/>
                <w:sz w:val="18"/>
              </w:rPr>
              <w:t>€</w:t>
            </w:r>
          </w:p>
        </w:tc>
        <w:tc>
          <w:tcPr>
            <w:tcW w:w="761" w:type="dxa"/>
          </w:tcPr>
          <w:p>
            <w:pPr>
              <w:pStyle w:val="TableParagraph"/>
              <w:spacing w:line="198" w:lineRule="exact" w:before="6"/>
              <w:ind w:right="11"/>
              <w:jc w:val="right"/>
              <w:rPr>
                <w:rFonts w:ascii="Calibri"/>
                <w:sz w:val="18"/>
              </w:rPr>
            </w:pPr>
            <w:r>
              <w:rPr>
                <w:rFonts w:ascii="Calibri"/>
                <w:spacing w:val="-2"/>
                <w:sz w:val="18"/>
              </w:rPr>
              <w:t>55,40%</w:t>
            </w:r>
          </w:p>
        </w:tc>
        <w:tc>
          <w:tcPr>
            <w:tcW w:w="1071" w:type="dxa"/>
          </w:tcPr>
          <w:p>
            <w:pPr>
              <w:pStyle w:val="TableParagraph"/>
              <w:spacing w:line="198" w:lineRule="exact" w:before="6"/>
              <w:ind w:right="2"/>
              <w:jc w:val="right"/>
              <w:rPr>
                <w:rFonts w:ascii="Calibri" w:hAnsi="Calibri"/>
                <w:sz w:val="18"/>
              </w:rPr>
            </w:pPr>
            <w:r>
              <w:rPr>
                <w:rFonts w:ascii="Calibri" w:hAnsi="Calibri"/>
                <w:spacing w:val="-6"/>
                <w:sz w:val="18"/>
              </w:rPr>
              <w:t>1</w:t>
            </w:r>
            <w:r>
              <w:rPr>
                <w:rFonts w:ascii="Calibri" w:hAnsi="Calibri"/>
                <w:spacing w:val="-12"/>
                <w:sz w:val="18"/>
              </w:rPr>
              <w:t> </w:t>
            </w:r>
            <w:r>
              <w:rPr>
                <w:rFonts w:ascii="Calibri" w:hAnsi="Calibri"/>
                <w:spacing w:val="-6"/>
                <w:sz w:val="18"/>
              </w:rPr>
              <w:t>602</w:t>
            </w:r>
            <w:r>
              <w:rPr>
                <w:rFonts w:ascii="Calibri" w:hAnsi="Calibri"/>
                <w:spacing w:val="-11"/>
                <w:sz w:val="18"/>
              </w:rPr>
              <w:t> </w:t>
            </w:r>
            <w:r>
              <w:rPr>
                <w:rFonts w:ascii="Calibri" w:hAnsi="Calibri"/>
                <w:spacing w:val="-6"/>
                <w:sz w:val="18"/>
              </w:rPr>
              <w:t>781,00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6"/>
              <w:ind w:right="12"/>
              <w:jc w:val="right"/>
              <w:rPr>
                <w:rFonts w:ascii="Calibri"/>
                <w:sz w:val="18"/>
              </w:rPr>
            </w:pPr>
            <w:r>
              <w:rPr>
                <w:rFonts w:ascii="Calibri"/>
                <w:spacing w:val="-2"/>
                <w:sz w:val="18"/>
              </w:rPr>
              <w:t>63,60%</w:t>
            </w:r>
          </w:p>
        </w:tc>
        <w:tc>
          <w:tcPr>
            <w:tcW w:w="1131" w:type="dxa"/>
          </w:tcPr>
          <w:p>
            <w:pPr>
              <w:pStyle w:val="TableParagraph"/>
              <w:spacing w:line="198" w:lineRule="exact" w:before="6"/>
              <w:ind w:right="4"/>
              <w:jc w:val="right"/>
              <w:rPr>
                <w:rFonts w:ascii="Calibri" w:hAnsi="Calibri"/>
                <w:sz w:val="18"/>
              </w:rPr>
            </w:pPr>
            <w:r>
              <w:rPr>
                <w:rFonts w:ascii="Calibri" w:hAnsi="Calibri"/>
                <w:spacing w:val="-6"/>
                <w:sz w:val="18"/>
              </w:rPr>
              <w:t>1</w:t>
            </w:r>
            <w:r>
              <w:rPr>
                <w:rFonts w:ascii="Calibri" w:hAnsi="Calibri"/>
                <w:spacing w:val="-12"/>
                <w:sz w:val="18"/>
              </w:rPr>
              <w:t> </w:t>
            </w:r>
            <w:r>
              <w:rPr>
                <w:rFonts w:ascii="Calibri" w:hAnsi="Calibri"/>
                <w:spacing w:val="-6"/>
                <w:sz w:val="18"/>
              </w:rPr>
              <w:t>756</w:t>
            </w:r>
            <w:r>
              <w:rPr>
                <w:rFonts w:ascii="Calibri" w:hAnsi="Calibri"/>
                <w:spacing w:val="-11"/>
                <w:sz w:val="18"/>
              </w:rPr>
              <w:t> </w:t>
            </w:r>
            <w:r>
              <w:rPr>
                <w:rFonts w:ascii="Calibri" w:hAnsi="Calibri"/>
                <w:spacing w:val="-6"/>
                <w:sz w:val="18"/>
              </w:rPr>
              <w:t>083,00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6"/>
              <w:ind w:right="14"/>
              <w:jc w:val="right"/>
              <w:rPr>
                <w:rFonts w:ascii="Calibri"/>
                <w:sz w:val="18"/>
              </w:rPr>
            </w:pPr>
            <w:r>
              <w:rPr>
                <w:rFonts w:ascii="Calibri"/>
                <w:spacing w:val="-2"/>
                <w:sz w:val="18"/>
              </w:rPr>
              <w:t>63,63%</w:t>
            </w:r>
          </w:p>
        </w:tc>
        <w:tc>
          <w:tcPr>
            <w:tcW w:w="1095" w:type="dxa"/>
          </w:tcPr>
          <w:p>
            <w:pPr>
              <w:pStyle w:val="TableParagraph"/>
              <w:spacing w:line="198" w:lineRule="exact" w:before="6"/>
              <w:ind w:right="5"/>
              <w:jc w:val="right"/>
              <w:rPr>
                <w:rFonts w:ascii="Calibri" w:hAnsi="Calibri"/>
                <w:sz w:val="18"/>
              </w:rPr>
            </w:pPr>
            <w:r>
              <w:rPr>
                <w:rFonts w:ascii="Calibri" w:hAnsi="Calibri"/>
                <w:spacing w:val="-6"/>
                <w:sz w:val="18"/>
              </w:rPr>
              <w:t>1</w:t>
            </w:r>
            <w:r>
              <w:rPr>
                <w:rFonts w:ascii="Calibri" w:hAnsi="Calibri"/>
                <w:spacing w:val="-12"/>
                <w:sz w:val="18"/>
              </w:rPr>
              <w:t> </w:t>
            </w:r>
            <w:r>
              <w:rPr>
                <w:rFonts w:ascii="Calibri" w:hAnsi="Calibri"/>
                <w:spacing w:val="-6"/>
                <w:sz w:val="18"/>
              </w:rPr>
              <w:t>702</w:t>
            </w:r>
            <w:r>
              <w:rPr>
                <w:rFonts w:ascii="Calibri" w:hAnsi="Calibri"/>
                <w:spacing w:val="-11"/>
                <w:sz w:val="18"/>
              </w:rPr>
              <w:t> </w:t>
            </w:r>
            <w:r>
              <w:rPr>
                <w:rFonts w:ascii="Calibri" w:hAnsi="Calibri"/>
                <w:spacing w:val="-6"/>
                <w:sz w:val="18"/>
              </w:rPr>
              <w:t>822,65</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6"/>
              <w:ind w:right="16"/>
              <w:jc w:val="right"/>
              <w:rPr>
                <w:rFonts w:ascii="Calibri"/>
                <w:sz w:val="18"/>
              </w:rPr>
            </w:pPr>
            <w:r>
              <w:rPr>
                <w:rFonts w:ascii="Calibri"/>
                <w:spacing w:val="-2"/>
                <w:sz w:val="18"/>
              </w:rPr>
              <w:t>50,83%</w:t>
            </w:r>
          </w:p>
        </w:tc>
      </w:tr>
      <w:tr>
        <w:trPr>
          <w:trHeight w:val="223" w:hRule="atLeast"/>
        </w:trPr>
        <w:tc>
          <w:tcPr>
            <w:tcW w:w="1867" w:type="dxa"/>
          </w:tcPr>
          <w:p>
            <w:pPr>
              <w:pStyle w:val="TableParagraph"/>
              <w:spacing w:line="155" w:lineRule="exact" w:before="49"/>
              <w:ind w:left="34"/>
              <w:rPr>
                <w:rFonts w:ascii="Georgia"/>
                <w:i/>
                <w:sz w:val="14"/>
              </w:rPr>
            </w:pPr>
            <w:r>
              <w:rPr>
                <w:rFonts w:ascii="Georgia"/>
                <w:i/>
                <w:color w:val="333333"/>
                <w:sz w:val="14"/>
              </w:rPr>
              <w:t>Shpenzime</w:t>
            </w:r>
            <w:r>
              <w:rPr>
                <w:rFonts w:ascii="Georgia"/>
                <w:i/>
                <w:color w:val="333333"/>
                <w:spacing w:val="26"/>
                <w:sz w:val="14"/>
              </w:rPr>
              <w:t> </w:t>
            </w:r>
            <w:r>
              <w:rPr>
                <w:rFonts w:ascii="Georgia"/>
                <w:i/>
                <w:color w:val="333333"/>
                <w:spacing w:val="-2"/>
                <w:sz w:val="14"/>
              </w:rPr>
              <w:t>Kapitale</w:t>
            </w:r>
          </w:p>
        </w:tc>
        <w:tc>
          <w:tcPr>
            <w:tcW w:w="1142" w:type="dxa"/>
          </w:tcPr>
          <w:p>
            <w:pPr>
              <w:pStyle w:val="TableParagraph"/>
              <w:spacing w:line="198" w:lineRule="exact" w:before="6"/>
              <w:ind w:right="1"/>
              <w:jc w:val="right"/>
              <w:rPr>
                <w:rFonts w:ascii="Calibri" w:hAnsi="Calibri"/>
                <w:sz w:val="18"/>
              </w:rPr>
            </w:pPr>
            <w:r>
              <w:rPr>
                <w:rFonts w:ascii="Calibri" w:hAnsi="Calibri"/>
                <w:spacing w:val="-6"/>
                <w:sz w:val="18"/>
              </w:rPr>
              <w:t>629</w:t>
            </w:r>
            <w:r>
              <w:rPr>
                <w:rFonts w:ascii="Calibri" w:hAnsi="Calibri"/>
                <w:spacing w:val="-13"/>
                <w:sz w:val="18"/>
              </w:rPr>
              <w:t> </w:t>
            </w:r>
            <w:r>
              <w:rPr>
                <w:rFonts w:ascii="Calibri" w:hAnsi="Calibri"/>
                <w:spacing w:val="-6"/>
                <w:sz w:val="18"/>
              </w:rPr>
              <w:t>772,18</w:t>
            </w:r>
            <w:r>
              <w:rPr>
                <w:rFonts w:ascii="Calibri" w:hAnsi="Calibri"/>
                <w:spacing w:val="-13"/>
                <w:sz w:val="18"/>
              </w:rPr>
              <w:t> </w:t>
            </w:r>
            <w:r>
              <w:rPr>
                <w:rFonts w:ascii="Calibri" w:hAnsi="Calibri"/>
                <w:spacing w:val="-10"/>
                <w:sz w:val="18"/>
              </w:rPr>
              <w:t>€</w:t>
            </w:r>
          </w:p>
        </w:tc>
        <w:tc>
          <w:tcPr>
            <w:tcW w:w="761" w:type="dxa"/>
          </w:tcPr>
          <w:p>
            <w:pPr>
              <w:pStyle w:val="TableParagraph"/>
              <w:spacing w:line="198" w:lineRule="exact" w:before="6"/>
              <w:ind w:right="11"/>
              <w:jc w:val="right"/>
              <w:rPr>
                <w:rFonts w:ascii="Calibri"/>
                <w:sz w:val="18"/>
              </w:rPr>
            </w:pPr>
            <w:r>
              <w:rPr>
                <w:rFonts w:ascii="Calibri"/>
                <w:spacing w:val="-2"/>
                <w:sz w:val="18"/>
              </w:rPr>
              <w:t>22,97%</w:t>
            </w:r>
          </w:p>
        </w:tc>
        <w:tc>
          <w:tcPr>
            <w:tcW w:w="1071" w:type="dxa"/>
          </w:tcPr>
          <w:p>
            <w:pPr>
              <w:pStyle w:val="TableParagraph"/>
              <w:spacing w:line="198" w:lineRule="exact" w:before="6"/>
              <w:ind w:right="1"/>
              <w:jc w:val="right"/>
              <w:rPr>
                <w:rFonts w:ascii="Calibri" w:hAnsi="Calibri"/>
                <w:sz w:val="18"/>
              </w:rPr>
            </w:pPr>
            <w:r>
              <w:rPr>
                <w:rFonts w:ascii="Calibri" w:hAnsi="Calibri"/>
                <w:spacing w:val="-6"/>
                <w:sz w:val="18"/>
              </w:rPr>
              <w:t>440</w:t>
            </w:r>
            <w:r>
              <w:rPr>
                <w:rFonts w:ascii="Calibri" w:hAnsi="Calibri"/>
                <w:spacing w:val="-13"/>
                <w:sz w:val="18"/>
              </w:rPr>
              <w:t> </w:t>
            </w:r>
            <w:r>
              <w:rPr>
                <w:rFonts w:ascii="Calibri" w:hAnsi="Calibri"/>
                <w:spacing w:val="-6"/>
                <w:sz w:val="18"/>
              </w:rPr>
              <w:t>127,00</w:t>
            </w:r>
            <w:r>
              <w:rPr>
                <w:rFonts w:ascii="Calibri" w:hAnsi="Calibri"/>
                <w:spacing w:val="-13"/>
                <w:sz w:val="18"/>
              </w:rPr>
              <w:t> </w:t>
            </w:r>
            <w:r>
              <w:rPr>
                <w:rFonts w:ascii="Calibri" w:hAnsi="Calibri"/>
                <w:spacing w:val="-10"/>
                <w:sz w:val="18"/>
              </w:rPr>
              <w:t>€</w:t>
            </w:r>
          </w:p>
        </w:tc>
        <w:tc>
          <w:tcPr>
            <w:tcW w:w="762" w:type="dxa"/>
          </w:tcPr>
          <w:p>
            <w:pPr>
              <w:pStyle w:val="TableParagraph"/>
              <w:spacing w:line="198" w:lineRule="exact" w:before="6"/>
              <w:ind w:right="12"/>
              <w:jc w:val="right"/>
              <w:rPr>
                <w:rFonts w:ascii="Calibri"/>
                <w:sz w:val="18"/>
              </w:rPr>
            </w:pPr>
            <w:r>
              <w:rPr>
                <w:rFonts w:ascii="Calibri"/>
                <w:spacing w:val="-2"/>
                <w:sz w:val="18"/>
              </w:rPr>
              <w:t>17,46%</w:t>
            </w:r>
          </w:p>
        </w:tc>
        <w:tc>
          <w:tcPr>
            <w:tcW w:w="1131" w:type="dxa"/>
          </w:tcPr>
          <w:p>
            <w:pPr>
              <w:pStyle w:val="TableParagraph"/>
              <w:spacing w:line="198" w:lineRule="exact" w:before="6"/>
              <w:ind w:right="3"/>
              <w:jc w:val="right"/>
              <w:rPr>
                <w:rFonts w:ascii="Calibri" w:hAnsi="Calibri"/>
                <w:sz w:val="18"/>
              </w:rPr>
            </w:pPr>
            <w:r>
              <w:rPr>
                <w:rFonts w:ascii="Calibri" w:hAnsi="Calibri"/>
                <w:spacing w:val="-6"/>
                <w:sz w:val="18"/>
              </w:rPr>
              <w:t>455</w:t>
            </w:r>
            <w:r>
              <w:rPr>
                <w:rFonts w:ascii="Calibri" w:hAnsi="Calibri"/>
                <w:spacing w:val="-13"/>
                <w:sz w:val="18"/>
              </w:rPr>
              <w:t> </w:t>
            </w:r>
            <w:r>
              <w:rPr>
                <w:rFonts w:ascii="Calibri" w:hAnsi="Calibri"/>
                <w:spacing w:val="-6"/>
                <w:sz w:val="18"/>
              </w:rPr>
              <w:t>000,00</w:t>
            </w:r>
            <w:r>
              <w:rPr>
                <w:rFonts w:ascii="Calibri" w:hAnsi="Calibri"/>
                <w:spacing w:val="-13"/>
                <w:sz w:val="18"/>
              </w:rPr>
              <w:t> </w:t>
            </w:r>
            <w:r>
              <w:rPr>
                <w:rFonts w:ascii="Calibri" w:hAnsi="Calibri"/>
                <w:spacing w:val="-10"/>
                <w:sz w:val="18"/>
              </w:rPr>
              <w:t>€</w:t>
            </w:r>
          </w:p>
        </w:tc>
        <w:tc>
          <w:tcPr>
            <w:tcW w:w="762" w:type="dxa"/>
          </w:tcPr>
          <w:p>
            <w:pPr>
              <w:pStyle w:val="TableParagraph"/>
              <w:spacing w:line="198" w:lineRule="exact" w:before="6"/>
              <w:ind w:right="14"/>
              <w:jc w:val="right"/>
              <w:rPr>
                <w:rFonts w:ascii="Calibri"/>
                <w:sz w:val="18"/>
              </w:rPr>
            </w:pPr>
            <w:r>
              <w:rPr>
                <w:rFonts w:ascii="Calibri"/>
                <w:spacing w:val="-2"/>
                <w:sz w:val="18"/>
              </w:rPr>
              <w:t>16,49%</w:t>
            </w:r>
          </w:p>
        </w:tc>
        <w:tc>
          <w:tcPr>
            <w:tcW w:w="1095" w:type="dxa"/>
          </w:tcPr>
          <w:p>
            <w:pPr>
              <w:pStyle w:val="TableParagraph"/>
              <w:spacing w:line="198" w:lineRule="exact" w:before="6"/>
              <w:ind w:right="5"/>
              <w:jc w:val="right"/>
              <w:rPr>
                <w:rFonts w:ascii="Calibri" w:hAnsi="Calibri"/>
                <w:sz w:val="18"/>
              </w:rPr>
            </w:pPr>
            <w:r>
              <w:rPr>
                <w:rFonts w:ascii="Calibri" w:hAnsi="Calibri"/>
                <w:spacing w:val="-6"/>
                <w:sz w:val="18"/>
              </w:rPr>
              <w:t>985</w:t>
            </w:r>
            <w:r>
              <w:rPr>
                <w:rFonts w:ascii="Calibri" w:hAnsi="Calibri"/>
                <w:spacing w:val="-13"/>
                <w:sz w:val="18"/>
              </w:rPr>
              <w:t> </w:t>
            </w:r>
            <w:r>
              <w:rPr>
                <w:rFonts w:ascii="Calibri" w:hAnsi="Calibri"/>
                <w:spacing w:val="-6"/>
                <w:sz w:val="18"/>
              </w:rPr>
              <w:t>392,00</w:t>
            </w:r>
            <w:r>
              <w:rPr>
                <w:rFonts w:ascii="Calibri" w:hAnsi="Calibri"/>
                <w:spacing w:val="-13"/>
                <w:sz w:val="18"/>
              </w:rPr>
              <w:t> </w:t>
            </w:r>
            <w:r>
              <w:rPr>
                <w:rFonts w:ascii="Calibri" w:hAnsi="Calibri"/>
                <w:spacing w:val="-10"/>
                <w:sz w:val="18"/>
              </w:rPr>
              <w:t>€</w:t>
            </w:r>
          </w:p>
        </w:tc>
        <w:tc>
          <w:tcPr>
            <w:tcW w:w="762" w:type="dxa"/>
          </w:tcPr>
          <w:p>
            <w:pPr>
              <w:pStyle w:val="TableParagraph"/>
              <w:spacing w:line="198" w:lineRule="exact" w:before="6"/>
              <w:ind w:right="16"/>
              <w:jc w:val="right"/>
              <w:rPr>
                <w:rFonts w:ascii="Calibri"/>
                <w:sz w:val="18"/>
              </w:rPr>
            </w:pPr>
            <w:r>
              <w:rPr>
                <w:rFonts w:ascii="Calibri"/>
                <w:spacing w:val="-2"/>
                <w:sz w:val="18"/>
              </w:rPr>
              <w:t>29,42%</w:t>
            </w:r>
          </w:p>
        </w:tc>
      </w:tr>
      <w:tr>
        <w:trPr>
          <w:trHeight w:val="223" w:hRule="atLeast"/>
        </w:trPr>
        <w:tc>
          <w:tcPr>
            <w:tcW w:w="1867" w:type="dxa"/>
          </w:tcPr>
          <w:p>
            <w:pPr>
              <w:pStyle w:val="TableParagraph"/>
              <w:spacing w:line="197" w:lineRule="exact" w:before="6"/>
              <w:ind w:left="34"/>
              <w:rPr>
                <w:rFonts w:ascii="Calibri" w:hAnsi="Calibri"/>
                <w:sz w:val="18"/>
              </w:rPr>
            </w:pPr>
            <w:r>
              <w:rPr>
                <w:rFonts w:ascii="Calibri" w:hAnsi="Calibri"/>
                <w:spacing w:val="-2"/>
                <w:sz w:val="18"/>
              </w:rPr>
              <w:t>Mallra</w:t>
            </w:r>
            <w:r>
              <w:rPr>
                <w:rFonts w:ascii="Calibri" w:hAnsi="Calibri"/>
                <w:spacing w:val="-6"/>
                <w:sz w:val="18"/>
              </w:rPr>
              <w:t> </w:t>
            </w:r>
            <w:r>
              <w:rPr>
                <w:rFonts w:ascii="Calibri" w:hAnsi="Calibri"/>
                <w:spacing w:val="-2"/>
                <w:sz w:val="18"/>
              </w:rPr>
              <w:t>dhe</w:t>
            </w:r>
            <w:r>
              <w:rPr>
                <w:rFonts w:ascii="Calibri" w:hAnsi="Calibri"/>
                <w:spacing w:val="3"/>
                <w:sz w:val="18"/>
              </w:rPr>
              <w:t> </w:t>
            </w:r>
            <w:r>
              <w:rPr>
                <w:rFonts w:ascii="Calibri" w:hAnsi="Calibri"/>
                <w:spacing w:val="-2"/>
                <w:sz w:val="18"/>
              </w:rPr>
              <w:t>Shërbime</w:t>
            </w:r>
          </w:p>
        </w:tc>
        <w:tc>
          <w:tcPr>
            <w:tcW w:w="1142" w:type="dxa"/>
          </w:tcPr>
          <w:p>
            <w:pPr>
              <w:pStyle w:val="TableParagraph"/>
              <w:spacing w:line="197" w:lineRule="exact" w:before="6"/>
              <w:ind w:right="1"/>
              <w:jc w:val="right"/>
              <w:rPr>
                <w:rFonts w:ascii="Calibri" w:hAnsi="Calibri"/>
                <w:sz w:val="18"/>
              </w:rPr>
            </w:pPr>
            <w:r>
              <w:rPr>
                <w:rFonts w:ascii="Calibri" w:hAnsi="Calibri"/>
                <w:spacing w:val="-6"/>
                <w:sz w:val="18"/>
              </w:rPr>
              <w:t>303</w:t>
            </w:r>
            <w:r>
              <w:rPr>
                <w:rFonts w:ascii="Calibri" w:hAnsi="Calibri"/>
                <w:spacing w:val="-13"/>
                <w:sz w:val="18"/>
              </w:rPr>
              <w:t> </w:t>
            </w:r>
            <w:r>
              <w:rPr>
                <w:rFonts w:ascii="Calibri" w:hAnsi="Calibri"/>
                <w:spacing w:val="-6"/>
                <w:sz w:val="18"/>
              </w:rPr>
              <w:t>236,00</w:t>
            </w:r>
            <w:r>
              <w:rPr>
                <w:rFonts w:ascii="Calibri" w:hAnsi="Calibri"/>
                <w:spacing w:val="-13"/>
                <w:sz w:val="18"/>
              </w:rPr>
              <w:t> </w:t>
            </w:r>
            <w:r>
              <w:rPr>
                <w:rFonts w:ascii="Calibri" w:hAnsi="Calibri"/>
                <w:spacing w:val="-10"/>
                <w:sz w:val="18"/>
              </w:rPr>
              <w:t>€</w:t>
            </w:r>
          </w:p>
        </w:tc>
        <w:tc>
          <w:tcPr>
            <w:tcW w:w="761" w:type="dxa"/>
          </w:tcPr>
          <w:p>
            <w:pPr>
              <w:pStyle w:val="TableParagraph"/>
              <w:spacing w:line="197" w:lineRule="exact" w:before="6"/>
              <w:ind w:right="11"/>
              <w:jc w:val="right"/>
              <w:rPr>
                <w:rFonts w:ascii="Calibri"/>
                <w:sz w:val="18"/>
              </w:rPr>
            </w:pPr>
            <w:r>
              <w:rPr>
                <w:rFonts w:ascii="Calibri"/>
                <w:spacing w:val="-2"/>
                <w:sz w:val="18"/>
              </w:rPr>
              <w:t>11,06%</w:t>
            </w:r>
          </w:p>
        </w:tc>
        <w:tc>
          <w:tcPr>
            <w:tcW w:w="1071" w:type="dxa"/>
          </w:tcPr>
          <w:p>
            <w:pPr>
              <w:pStyle w:val="TableParagraph"/>
              <w:spacing w:line="197" w:lineRule="exact" w:before="6"/>
              <w:ind w:right="1"/>
              <w:jc w:val="right"/>
              <w:rPr>
                <w:rFonts w:ascii="Calibri" w:hAnsi="Calibri"/>
                <w:sz w:val="18"/>
              </w:rPr>
            </w:pPr>
            <w:r>
              <w:rPr>
                <w:rFonts w:ascii="Calibri" w:hAnsi="Calibri"/>
                <w:spacing w:val="-6"/>
                <w:sz w:val="18"/>
              </w:rPr>
              <w:t>335</w:t>
            </w:r>
            <w:r>
              <w:rPr>
                <w:rFonts w:ascii="Calibri" w:hAnsi="Calibri"/>
                <w:spacing w:val="-13"/>
                <w:sz w:val="18"/>
              </w:rPr>
              <w:t> </w:t>
            </w:r>
            <w:r>
              <w:rPr>
                <w:rFonts w:ascii="Calibri" w:hAnsi="Calibri"/>
                <w:spacing w:val="-6"/>
                <w:sz w:val="18"/>
              </w:rPr>
              <w:t>258,00</w:t>
            </w:r>
            <w:r>
              <w:rPr>
                <w:rFonts w:ascii="Calibri" w:hAnsi="Calibri"/>
                <w:spacing w:val="-13"/>
                <w:sz w:val="18"/>
              </w:rPr>
              <w:t> </w:t>
            </w:r>
            <w:r>
              <w:rPr>
                <w:rFonts w:ascii="Calibri" w:hAnsi="Calibri"/>
                <w:spacing w:val="-10"/>
                <w:sz w:val="18"/>
              </w:rPr>
              <w:t>€</w:t>
            </w:r>
          </w:p>
        </w:tc>
        <w:tc>
          <w:tcPr>
            <w:tcW w:w="762" w:type="dxa"/>
          </w:tcPr>
          <w:p>
            <w:pPr>
              <w:pStyle w:val="TableParagraph"/>
              <w:spacing w:line="197" w:lineRule="exact" w:before="6"/>
              <w:ind w:right="12"/>
              <w:jc w:val="right"/>
              <w:rPr>
                <w:rFonts w:ascii="Calibri"/>
                <w:sz w:val="18"/>
              </w:rPr>
            </w:pPr>
            <w:r>
              <w:rPr>
                <w:rFonts w:ascii="Calibri"/>
                <w:spacing w:val="-2"/>
                <w:sz w:val="18"/>
              </w:rPr>
              <w:t>13,30%</w:t>
            </w:r>
          </w:p>
        </w:tc>
        <w:tc>
          <w:tcPr>
            <w:tcW w:w="1131" w:type="dxa"/>
          </w:tcPr>
          <w:p>
            <w:pPr>
              <w:pStyle w:val="TableParagraph"/>
              <w:spacing w:line="197" w:lineRule="exact" w:before="6"/>
              <w:ind w:right="3"/>
              <w:jc w:val="right"/>
              <w:rPr>
                <w:rFonts w:ascii="Calibri" w:hAnsi="Calibri"/>
                <w:sz w:val="18"/>
              </w:rPr>
            </w:pPr>
            <w:r>
              <w:rPr>
                <w:rFonts w:ascii="Calibri" w:hAnsi="Calibri"/>
                <w:spacing w:val="-6"/>
                <w:sz w:val="18"/>
              </w:rPr>
              <w:t>385</w:t>
            </w:r>
            <w:r>
              <w:rPr>
                <w:rFonts w:ascii="Calibri" w:hAnsi="Calibri"/>
                <w:spacing w:val="-13"/>
                <w:sz w:val="18"/>
              </w:rPr>
              <w:t> </w:t>
            </w:r>
            <w:r>
              <w:rPr>
                <w:rFonts w:ascii="Calibri" w:hAnsi="Calibri"/>
                <w:spacing w:val="-6"/>
                <w:sz w:val="18"/>
              </w:rPr>
              <w:t>975,00</w:t>
            </w:r>
            <w:r>
              <w:rPr>
                <w:rFonts w:ascii="Calibri" w:hAnsi="Calibri"/>
                <w:spacing w:val="-13"/>
                <w:sz w:val="18"/>
              </w:rPr>
              <w:t> </w:t>
            </w:r>
            <w:r>
              <w:rPr>
                <w:rFonts w:ascii="Calibri" w:hAnsi="Calibri"/>
                <w:spacing w:val="-10"/>
                <w:sz w:val="18"/>
              </w:rPr>
              <w:t>€</w:t>
            </w:r>
          </w:p>
        </w:tc>
        <w:tc>
          <w:tcPr>
            <w:tcW w:w="762" w:type="dxa"/>
          </w:tcPr>
          <w:p>
            <w:pPr>
              <w:pStyle w:val="TableParagraph"/>
              <w:spacing w:line="197" w:lineRule="exact" w:before="6"/>
              <w:ind w:right="14"/>
              <w:jc w:val="right"/>
              <w:rPr>
                <w:rFonts w:ascii="Calibri"/>
                <w:sz w:val="18"/>
              </w:rPr>
            </w:pPr>
            <w:r>
              <w:rPr>
                <w:rFonts w:ascii="Calibri"/>
                <w:spacing w:val="-2"/>
                <w:sz w:val="18"/>
              </w:rPr>
              <w:t>13,99%</w:t>
            </w:r>
          </w:p>
        </w:tc>
        <w:tc>
          <w:tcPr>
            <w:tcW w:w="1095" w:type="dxa"/>
          </w:tcPr>
          <w:p>
            <w:pPr>
              <w:pStyle w:val="TableParagraph"/>
              <w:spacing w:line="197" w:lineRule="exact" w:before="6"/>
              <w:ind w:right="5"/>
              <w:jc w:val="right"/>
              <w:rPr>
                <w:rFonts w:ascii="Calibri" w:hAnsi="Calibri"/>
                <w:sz w:val="18"/>
              </w:rPr>
            </w:pPr>
            <w:r>
              <w:rPr>
                <w:rFonts w:ascii="Calibri" w:hAnsi="Calibri"/>
                <w:spacing w:val="-6"/>
                <w:sz w:val="18"/>
              </w:rPr>
              <w:t>465</w:t>
            </w:r>
            <w:r>
              <w:rPr>
                <w:rFonts w:ascii="Calibri" w:hAnsi="Calibri"/>
                <w:spacing w:val="-13"/>
                <w:sz w:val="18"/>
              </w:rPr>
              <w:t> </w:t>
            </w:r>
            <w:r>
              <w:rPr>
                <w:rFonts w:ascii="Calibri" w:hAnsi="Calibri"/>
                <w:spacing w:val="-6"/>
                <w:sz w:val="18"/>
              </w:rPr>
              <w:t>000,00</w:t>
            </w:r>
            <w:r>
              <w:rPr>
                <w:rFonts w:ascii="Calibri" w:hAnsi="Calibri"/>
                <w:spacing w:val="-13"/>
                <w:sz w:val="18"/>
              </w:rPr>
              <w:t> </w:t>
            </w:r>
            <w:r>
              <w:rPr>
                <w:rFonts w:ascii="Calibri" w:hAnsi="Calibri"/>
                <w:spacing w:val="-10"/>
                <w:sz w:val="18"/>
              </w:rPr>
              <w:t>€</w:t>
            </w:r>
          </w:p>
        </w:tc>
        <w:tc>
          <w:tcPr>
            <w:tcW w:w="762" w:type="dxa"/>
          </w:tcPr>
          <w:p>
            <w:pPr>
              <w:pStyle w:val="TableParagraph"/>
              <w:spacing w:line="197" w:lineRule="exact" w:before="6"/>
              <w:ind w:right="16"/>
              <w:jc w:val="right"/>
              <w:rPr>
                <w:rFonts w:ascii="Calibri"/>
                <w:sz w:val="18"/>
              </w:rPr>
            </w:pPr>
            <w:r>
              <w:rPr>
                <w:rFonts w:ascii="Calibri"/>
                <w:spacing w:val="-2"/>
                <w:sz w:val="18"/>
              </w:rPr>
              <w:t>13,88%</w:t>
            </w:r>
          </w:p>
        </w:tc>
      </w:tr>
      <w:tr>
        <w:trPr>
          <w:trHeight w:val="223" w:hRule="atLeast"/>
        </w:trPr>
        <w:tc>
          <w:tcPr>
            <w:tcW w:w="1867" w:type="dxa"/>
          </w:tcPr>
          <w:p>
            <w:pPr>
              <w:pStyle w:val="TableParagraph"/>
              <w:spacing w:line="155" w:lineRule="exact" w:before="49"/>
              <w:ind w:left="34"/>
              <w:rPr>
                <w:rFonts w:ascii="Georgia"/>
                <w:i/>
                <w:sz w:val="14"/>
              </w:rPr>
            </w:pPr>
            <w:r>
              <w:rPr>
                <w:rFonts w:ascii="Georgia"/>
                <w:i/>
                <w:color w:val="333333"/>
                <w:sz w:val="14"/>
              </w:rPr>
              <w:t>Subvencione</w:t>
            </w:r>
            <w:r>
              <w:rPr>
                <w:rFonts w:ascii="Georgia"/>
                <w:i/>
                <w:color w:val="333333"/>
                <w:spacing w:val="23"/>
                <w:sz w:val="14"/>
              </w:rPr>
              <w:t> </w:t>
            </w:r>
            <w:r>
              <w:rPr>
                <w:rFonts w:ascii="Georgia"/>
                <w:i/>
                <w:color w:val="333333"/>
                <w:sz w:val="14"/>
              </w:rPr>
              <w:t>dhe</w:t>
            </w:r>
            <w:r>
              <w:rPr>
                <w:rFonts w:ascii="Georgia"/>
                <w:i/>
                <w:color w:val="333333"/>
                <w:spacing w:val="23"/>
                <w:sz w:val="14"/>
              </w:rPr>
              <w:t> </w:t>
            </w:r>
            <w:r>
              <w:rPr>
                <w:rFonts w:ascii="Georgia"/>
                <w:i/>
                <w:color w:val="333333"/>
                <w:spacing w:val="-2"/>
                <w:sz w:val="14"/>
              </w:rPr>
              <w:t>Transfere</w:t>
            </w:r>
          </w:p>
        </w:tc>
        <w:tc>
          <w:tcPr>
            <w:tcW w:w="1142" w:type="dxa"/>
          </w:tcPr>
          <w:p>
            <w:pPr>
              <w:pStyle w:val="TableParagraph"/>
              <w:spacing w:line="198" w:lineRule="exact" w:before="6"/>
              <w:ind w:right="1"/>
              <w:jc w:val="right"/>
              <w:rPr>
                <w:rFonts w:ascii="Calibri" w:hAnsi="Calibri"/>
                <w:sz w:val="18"/>
              </w:rPr>
            </w:pPr>
            <w:r>
              <w:rPr>
                <w:rFonts w:ascii="Calibri" w:hAnsi="Calibri"/>
                <w:spacing w:val="-6"/>
                <w:sz w:val="18"/>
              </w:rPr>
              <w:t>61</w:t>
            </w:r>
            <w:r>
              <w:rPr>
                <w:rFonts w:ascii="Calibri" w:hAnsi="Calibri"/>
                <w:spacing w:val="-12"/>
                <w:sz w:val="18"/>
              </w:rPr>
              <w:t> </w:t>
            </w:r>
            <w:r>
              <w:rPr>
                <w:rFonts w:ascii="Calibri" w:hAnsi="Calibri"/>
                <w:spacing w:val="-6"/>
                <w:sz w:val="18"/>
              </w:rPr>
              <w:t>104,00</w:t>
            </w:r>
            <w:r>
              <w:rPr>
                <w:rFonts w:ascii="Calibri" w:hAnsi="Calibri"/>
                <w:spacing w:val="-11"/>
                <w:sz w:val="18"/>
              </w:rPr>
              <w:t> </w:t>
            </w:r>
            <w:r>
              <w:rPr>
                <w:rFonts w:ascii="Calibri" w:hAnsi="Calibri"/>
                <w:spacing w:val="-10"/>
                <w:sz w:val="18"/>
              </w:rPr>
              <w:t>€</w:t>
            </w:r>
          </w:p>
        </w:tc>
        <w:tc>
          <w:tcPr>
            <w:tcW w:w="761" w:type="dxa"/>
          </w:tcPr>
          <w:p>
            <w:pPr>
              <w:pStyle w:val="TableParagraph"/>
              <w:spacing w:line="198" w:lineRule="exact" w:before="6"/>
              <w:ind w:right="11"/>
              <w:jc w:val="right"/>
              <w:rPr>
                <w:rFonts w:ascii="Calibri"/>
                <w:sz w:val="18"/>
              </w:rPr>
            </w:pPr>
            <w:r>
              <w:rPr>
                <w:rFonts w:ascii="Calibri"/>
                <w:spacing w:val="-2"/>
                <w:sz w:val="18"/>
              </w:rPr>
              <w:t>2,23%</w:t>
            </w:r>
          </w:p>
        </w:tc>
        <w:tc>
          <w:tcPr>
            <w:tcW w:w="1071" w:type="dxa"/>
          </w:tcPr>
          <w:p>
            <w:pPr>
              <w:pStyle w:val="TableParagraph"/>
              <w:spacing w:line="198" w:lineRule="exact" w:before="6"/>
              <w:ind w:right="1"/>
              <w:jc w:val="right"/>
              <w:rPr>
                <w:rFonts w:ascii="Calibri" w:hAnsi="Calibri"/>
                <w:sz w:val="18"/>
              </w:rPr>
            </w:pPr>
            <w:r>
              <w:rPr>
                <w:rFonts w:ascii="Calibri" w:hAnsi="Calibri"/>
                <w:spacing w:val="-6"/>
                <w:sz w:val="18"/>
              </w:rPr>
              <w:t>75</w:t>
            </w:r>
            <w:r>
              <w:rPr>
                <w:rFonts w:ascii="Calibri" w:hAnsi="Calibri"/>
                <w:spacing w:val="-12"/>
                <w:sz w:val="18"/>
              </w:rPr>
              <w:t> </w:t>
            </w:r>
            <w:r>
              <w:rPr>
                <w:rFonts w:ascii="Calibri" w:hAnsi="Calibri"/>
                <w:spacing w:val="-6"/>
                <w:sz w:val="18"/>
              </w:rPr>
              <w:t>000,00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6"/>
              <w:ind w:right="12"/>
              <w:jc w:val="right"/>
              <w:rPr>
                <w:rFonts w:ascii="Calibri"/>
                <w:sz w:val="18"/>
              </w:rPr>
            </w:pPr>
            <w:r>
              <w:rPr>
                <w:rFonts w:ascii="Calibri"/>
                <w:spacing w:val="-2"/>
                <w:sz w:val="18"/>
              </w:rPr>
              <w:t>2,98%</w:t>
            </w:r>
          </w:p>
        </w:tc>
        <w:tc>
          <w:tcPr>
            <w:tcW w:w="1131" w:type="dxa"/>
          </w:tcPr>
          <w:p>
            <w:pPr>
              <w:pStyle w:val="TableParagraph"/>
              <w:spacing w:line="198" w:lineRule="exact" w:before="6"/>
              <w:ind w:right="3"/>
              <w:jc w:val="right"/>
              <w:rPr>
                <w:rFonts w:ascii="Calibri" w:hAnsi="Calibri"/>
                <w:sz w:val="18"/>
              </w:rPr>
            </w:pPr>
            <w:r>
              <w:rPr>
                <w:rFonts w:ascii="Calibri" w:hAnsi="Calibri"/>
                <w:spacing w:val="-6"/>
                <w:sz w:val="18"/>
              </w:rPr>
              <w:t>80</w:t>
            </w:r>
            <w:r>
              <w:rPr>
                <w:rFonts w:ascii="Calibri" w:hAnsi="Calibri"/>
                <w:spacing w:val="-12"/>
                <w:sz w:val="18"/>
              </w:rPr>
              <w:t> </w:t>
            </w:r>
            <w:r>
              <w:rPr>
                <w:rFonts w:ascii="Calibri" w:hAnsi="Calibri"/>
                <w:spacing w:val="-6"/>
                <w:sz w:val="18"/>
              </w:rPr>
              <w:t>000,00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6"/>
              <w:ind w:right="14"/>
              <w:jc w:val="right"/>
              <w:rPr>
                <w:rFonts w:ascii="Calibri"/>
                <w:sz w:val="18"/>
              </w:rPr>
            </w:pPr>
            <w:r>
              <w:rPr>
                <w:rFonts w:ascii="Calibri"/>
                <w:spacing w:val="-2"/>
                <w:sz w:val="18"/>
              </w:rPr>
              <w:t>2,90%</w:t>
            </w:r>
          </w:p>
        </w:tc>
        <w:tc>
          <w:tcPr>
            <w:tcW w:w="1095" w:type="dxa"/>
          </w:tcPr>
          <w:p>
            <w:pPr>
              <w:pStyle w:val="TableParagraph"/>
              <w:spacing w:line="198" w:lineRule="exact" w:before="6"/>
              <w:ind w:right="5"/>
              <w:jc w:val="right"/>
              <w:rPr>
                <w:rFonts w:ascii="Calibri" w:hAnsi="Calibri"/>
                <w:sz w:val="18"/>
              </w:rPr>
            </w:pPr>
            <w:r>
              <w:rPr>
                <w:rFonts w:ascii="Calibri" w:hAnsi="Calibri"/>
                <w:spacing w:val="-6"/>
                <w:sz w:val="18"/>
              </w:rPr>
              <w:t>100</w:t>
            </w:r>
            <w:r>
              <w:rPr>
                <w:rFonts w:ascii="Calibri" w:hAnsi="Calibri"/>
                <w:spacing w:val="-13"/>
                <w:sz w:val="18"/>
              </w:rPr>
              <w:t> </w:t>
            </w:r>
            <w:r>
              <w:rPr>
                <w:rFonts w:ascii="Calibri" w:hAnsi="Calibri"/>
                <w:spacing w:val="-6"/>
                <w:sz w:val="18"/>
              </w:rPr>
              <w:t>000,00</w:t>
            </w:r>
            <w:r>
              <w:rPr>
                <w:rFonts w:ascii="Calibri" w:hAnsi="Calibri"/>
                <w:spacing w:val="-13"/>
                <w:sz w:val="18"/>
              </w:rPr>
              <w:t> </w:t>
            </w:r>
            <w:r>
              <w:rPr>
                <w:rFonts w:ascii="Calibri" w:hAnsi="Calibri"/>
                <w:spacing w:val="-10"/>
                <w:sz w:val="18"/>
              </w:rPr>
              <w:t>€</w:t>
            </w:r>
          </w:p>
        </w:tc>
        <w:tc>
          <w:tcPr>
            <w:tcW w:w="762" w:type="dxa"/>
          </w:tcPr>
          <w:p>
            <w:pPr>
              <w:pStyle w:val="TableParagraph"/>
              <w:spacing w:line="198" w:lineRule="exact" w:before="6"/>
              <w:ind w:right="16"/>
              <w:jc w:val="right"/>
              <w:rPr>
                <w:rFonts w:ascii="Calibri"/>
                <w:sz w:val="18"/>
              </w:rPr>
            </w:pPr>
            <w:r>
              <w:rPr>
                <w:rFonts w:ascii="Calibri"/>
                <w:spacing w:val="-2"/>
                <w:sz w:val="18"/>
              </w:rPr>
              <w:t>2,99%</w:t>
            </w:r>
          </w:p>
        </w:tc>
      </w:tr>
      <w:tr>
        <w:trPr>
          <w:trHeight w:val="235" w:hRule="atLeast"/>
        </w:trPr>
        <w:tc>
          <w:tcPr>
            <w:tcW w:w="1867" w:type="dxa"/>
          </w:tcPr>
          <w:p>
            <w:pPr>
              <w:pStyle w:val="TableParagraph"/>
              <w:spacing w:line="198" w:lineRule="exact" w:before="18"/>
              <w:ind w:left="34"/>
              <w:rPr>
                <w:rFonts w:ascii="Calibri"/>
                <w:sz w:val="18"/>
              </w:rPr>
            </w:pPr>
            <w:r>
              <w:rPr>
                <w:rFonts w:ascii="Calibri"/>
                <w:sz w:val="18"/>
              </w:rPr>
              <w:t>Shpenzime</w:t>
            </w:r>
            <w:r>
              <w:rPr>
                <w:rFonts w:ascii="Calibri"/>
                <w:spacing w:val="2"/>
                <w:sz w:val="18"/>
              </w:rPr>
              <w:t> </w:t>
            </w:r>
            <w:r>
              <w:rPr>
                <w:rFonts w:ascii="Calibri"/>
                <w:spacing w:val="-2"/>
                <w:sz w:val="18"/>
              </w:rPr>
              <w:t>Komunale</w:t>
            </w:r>
          </w:p>
        </w:tc>
        <w:tc>
          <w:tcPr>
            <w:tcW w:w="1142" w:type="dxa"/>
          </w:tcPr>
          <w:p>
            <w:pPr>
              <w:pStyle w:val="TableParagraph"/>
              <w:spacing w:line="198" w:lineRule="exact" w:before="18"/>
              <w:ind w:right="1"/>
              <w:jc w:val="right"/>
              <w:rPr>
                <w:rFonts w:ascii="Calibri" w:hAnsi="Calibri"/>
                <w:sz w:val="18"/>
              </w:rPr>
            </w:pPr>
            <w:r>
              <w:rPr>
                <w:rFonts w:ascii="Calibri" w:hAnsi="Calibri"/>
                <w:spacing w:val="-6"/>
                <w:sz w:val="18"/>
              </w:rPr>
              <w:t>60</w:t>
            </w:r>
            <w:r>
              <w:rPr>
                <w:rFonts w:ascii="Calibri" w:hAnsi="Calibri"/>
                <w:spacing w:val="-12"/>
                <w:sz w:val="18"/>
              </w:rPr>
              <w:t> </w:t>
            </w:r>
            <w:r>
              <w:rPr>
                <w:rFonts w:ascii="Calibri" w:hAnsi="Calibri"/>
                <w:spacing w:val="-6"/>
                <w:sz w:val="18"/>
              </w:rPr>
              <w:t>000,00</w:t>
            </w:r>
            <w:r>
              <w:rPr>
                <w:rFonts w:ascii="Calibri" w:hAnsi="Calibri"/>
                <w:spacing w:val="-11"/>
                <w:sz w:val="18"/>
              </w:rPr>
              <w:t> </w:t>
            </w:r>
            <w:r>
              <w:rPr>
                <w:rFonts w:ascii="Calibri" w:hAnsi="Calibri"/>
                <w:spacing w:val="-10"/>
                <w:sz w:val="18"/>
              </w:rPr>
              <w:t>€</w:t>
            </w:r>
          </w:p>
        </w:tc>
        <w:tc>
          <w:tcPr>
            <w:tcW w:w="761" w:type="dxa"/>
          </w:tcPr>
          <w:p>
            <w:pPr>
              <w:pStyle w:val="TableParagraph"/>
              <w:spacing w:line="198" w:lineRule="exact" w:before="18"/>
              <w:ind w:right="11"/>
              <w:jc w:val="right"/>
              <w:rPr>
                <w:rFonts w:ascii="Calibri"/>
                <w:sz w:val="18"/>
              </w:rPr>
            </w:pPr>
            <w:r>
              <w:rPr>
                <w:rFonts w:ascii="Calibri"/>
                <w:spacing w:val="-2"/>
                <w:sz w:val="18"/>
              </w:rPr>
              <w:t>2,19%</w:t>
            </w:r>
          </w:p>
        </w:tc>
        <w:tc>
          <w:tcPr>
            <w:tcW w:w="1071" w:type="dxa"/>
          </w:tcPr>
          <w:p>
            <w:pPr>
              <w:pStyle w:val="TableParagraph"/>
              <w:spacing w:line="198" w:lineRule="exact" w:before="18"/>
              <w:ind w:right="1"/>
              <w:jc w:val="right"/>
              <w:rPr>
                <w:rFonts w:ascii="Calibri" w:hAnsi="Calibri"/>
                <w:sz w:val="18"/>
              </w:rPr>
            </w:pPr>
            <w:r>
              <w:rPr>
                <w:rFonts w:ascii="Calibri" w:hAnsi="Calibri"/>
                <w:spacing w:val="-6"/>
                <w:sz w:val="18"/>
              </w:rPr>
              <w:t>67</w:t>
            </w:r>
            <w:r>
              <w:rPr>
                <w:rFonts w:ascii="Calibri" w:hAnsi="Calibri"/>
                <w:spacing w:val="-12"/>
                <w:sz w:val="18"/>
              </w:rPr>
              <w:t> </w:t>
            </w:r>
            <w:r>
              <w:rPr>
                <w:rFonts w:ascii="Calibri" w:hAnsi="Calibri"/>
                <w:spacing w:val="-6"/>
                <w:sz w:val="18"/>
              </w:rPr>
              <w:t>000,00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18"/>
              <w:ind w:right="12"/>
              <w:jc w:val="right"/>
              <w:rPr>
                <w:rFonts w:ascii="Calibri"/>
                <w:sz w:val="18"/>
              </w:rPr>
            </w:pPr>
            <w:r>
              <w:rPr>
                <w:rFonts w:ascii="Calibri"/>
                <w:spacing w:val="-2"/>
                <w:sz w:val="18"/>
              </w:rPr>
              <w:t>2,66%</w:t>
            </w:r>
          </w:p>
        </w:tc>
        <w:tc>
          <w:tcPr>
            <w:tcW w:w="1131" w:type="dxa"/>
          </w:tcPr>
          <w:p>
            <w:pPr>
              <w:pStyle w:val="TableParagraph"/>
              <w:spacing w:line="198" w:lineRule="exact" w:before="18"/>
              <w:ind w:right="3"/>
              <w:jc w:val="right"/>
              <w:rPr>
                <w:rFonts w:ascii="Calibri" w:hAnsi="Calibri"/>
                <w:sz w:val="18"/>
              </w:rPr>
            </w:pPr>
            <w:r>
              <w:rPr>
                <w:rFonts w:ascii="Calibri" w:hAnsi="Calibri"/>
                <w:spacing w:val="-6"/>
                <w:sz w:val="18"/>
              </w:rPr>
              <w:t>67</w:t>
            </w:r>
            <w:r>
              <w:rPr>
                <w:rFonts w:ascii="Calibri" w:hAnsi="Calibri"/>
                <w:spacing w:val="-12"/>
                <w:sz w:val="18"/>
              </w:rPr>
              <w:t> </w:t>
            </w:r>
            <w:r>
              <w:rPr>
                <w:rFonts w:ascii="Calibri" w:hAnsi="Calibri"/>
                <w:spacing w:val="-6"/>
                <w:sz w:val="18"/>
              </w:rPr>
              <w:t>700,00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18"/>
              <w:ind w:right="14"/>
              <w:jc w:val="right"/>
              <w:rPr>
                <w:rFonts w:ascii="Calibri"/>
                <w:sz w:val="18"/>
              </w:rPr>
            </w:pPr>
            <w:r>
              <w:rPr>
                <w:rFonts w:ascii="Calibri"/>
                <w:spacing w:val="-2"/>
                <w:sz w:val="18"/>
              </w:rPr>
              <w:t>2,45%</w:t>
            </w:r>
          </w:p>
        </w:tc>
        <w:tc>
          <w:tcPr>
            <w:tcW w:w="1095" w:type="dxa"/>
          </w:tcPr>
          <w:p>
            <w:pPr>
              <w:pStyle w:val="TableParagraph"/>
              <w:spacing w:line="198" w:lineRule="exact" w:before="18"/>
              <w:ind w:right="5"/>
              <w:jc w:val="right"/>
              <w:rPr>
                <w:rFonts w:ascii="Calibri" w:hAnsi="Calibri"/>
                <w:sz w:val="18"/>
              </w:rPr>
            </w:pPr>
            <w:r>
              <w:rPr>
                <w:rFonts w:ascii="Calibri" w:hAnsi="Calibri"/>
                <w:spacing w:val="-6"/>
                <w:sz w:val="18"/>
              </w:rPr>
              <w:t>96</w:t>
            </w:r>
            <w:r>
              <w:rPr>
                <w:rFonts w:ascii="Calibri" w:hAnsi="Calibri"/>
                <w:spacing w:val="-12"/>
                <w:sz w:val="18"/>
              </w:rPr>
              <w:t> </w:t>
            </w:r>
            <w:r>
              <w:rPr>
                <w:rFonts w:ascii="Calibri" w:hAnsi="Calibri"/>
                <w:spacing w:val="-6"/>
                <w:sz w:val="18"/>
              </w:rPr>
              <w:t>500,00</w:t>
            </w:r>
            <w:r>
              <w:rPr>
                <w:rFonts w:ascii="Calibri" w:hAnsi="Calibri"/>
                <w:spacing w:val="-11"/>
                <w:sz w:val="18"/>
              </w:rPr>
              <w:t> </w:t>
            </w:r>
            <w:r>
              <w:rPr>
                <w:rFonts w:ascii="Calibri" w:hAnsi="Calibri"/>
                <w:spacing w:val="-10"/>
                <w:sz w:val="18"/>
              </w:rPr>
              <w:t>€</w:t>
            </w:r>
          </w:p>
        </w:tc>
        <w:tc>
          <w:tcPr>
            <w:tcW w:w="762" w:type="dxa"/>
          </w:tcPr>
          <w:p>
            <w:pPr>
              <w:pStyle w:val="TableParagraph"/>
              <w:spacing w:line="198" w:lineRule="exact" w:before="18"/>
              <w:ind w:right="16"/>
              <w:jc w:val="right"/>
              <w:rPr>
                <w:rFonts w:ascii="Calibri"/>
                <w:sz w:val="18"/>
              </w:rPr>
            </w:pPr>
            <w:r>
              <w:rPr>
                <w:rFonts w:ascii="Calibri"/>
                <w:spacing w:val="-2"/>
                <w:sz w:val="18"/>
              </w:rPr>
              <w:t>2,88%</w:t>
            </w:r>
          </w:p>
        </w:tc>
      </w:tr>
      <w:tr>
        <w:trPr>
          <w:trHeight w:val="222" w:hRule="atLeast"/>
        </w:trPr>
        <w:tc>
          <w:tcPr>
            <w:tcW w:w="1867" w:type="dxa"/>
            <w:tcBorders>
              <w:bottom w:val="single" w:sz="12" w:space="0" w:color="000000"/>
            </w:tcBorders>
          </w:tcPr>
          <w:p>
            <w:pPr>
              <w:pStyle w:val="TableParagraph"/>
              <w:spacing w:line="153" w:lineRule="exact" w:before="49"/>
              <w:ind w:left="34"/>
              <w:rPr>
                <w:rFonts w:ascii="Georgia"/>
                <w:i/>
                <w:sz w:val="14"/>
              </w:rPr>
            </w:pPr>
            <w:r>
              <w:rPr>
                <w:rFonts w:ascii="Georgia"/>
                <w:i/>
                <w:color w:val="333333"/>
                <w:spacing w:val="-2"/>
                <w:sz w:val="14"/>
              </w:rPr>
              <w:t>Rezerva</w:t>
            </w:r>
          </w:p>
        </w:tc>
        <w:tc>
          <w:tcPr>
            <w:tcW w:w="1142" w:type="dxa"/>
            <w:tcBorders>
              <w:bottom w:val="single" w:sz="12" w:space="0" w:color="000000"/>
            </w:tcBorders>
          </w:tcPr>
          <w:p>
            <w:pPr>
              <w:pStyle w:val="TableParagraph"/>
              <w:spacing w:line="196" w:lineRule="exact" w:before="6"/>
              <w:ind w:right="1"/>
              <w:jc w:val="right"/>
              <w:rPr>
                <w:rFonts w:ascii="Calibri" w:hAnsi="Calibri"/>
                <w:sz w:val="18"/>
              </w:rPr>
            </w:pPr>
            <w:r>
              <w:rPr>
                <w:rFonts w:ascii="Calibri" w:hAnsi="Calibri"/>
                <w:spacing w:val="-6"/>
                <w:sz w:val="18"/>
              </w:rPr>
              <w:t>168</w:t>
            </w:r>
            <w:r>
              <w:rPr>
                <w:rFonts w:ascii="Calibri" w:hAnsi="Calibri"/>
                <w:spacing w:val="-13"/>
                <w:sz w:val="18"/>
              </w:rPr>
              <w:t> </w:t>
            </w:r>
            <w:r>
              <w:rPr>
                <w:rFonts w:ascii="Calibri" w:hAnsi="Calibri"/>
                <w:spacing w:val="-6"/>
                <w:sz w:val="18"/>
              </w:rPr>
              <w:t>786,82</w:t>
            </w:r>
            <w:r>
              <w:rPr>
                <w:rFonts w:ascii="Calibri" w:hAnsi="Calibri"/>
                <w:spacing w:val="-13"/>
                <w:sz w:val="18"/>
              </w:rPr>
              <w:t> </w:t>
            </w:r>
            <w:r>
              <w:rPr>
                <w:rFonts w:ascii="Calibri" w:hAnsi="Calibri"/>
                <w:spacing w:val="-10"/>
                <w:sz w:val="18"/>
              </w:rPr>
              <w:t>€</w:t>
            </w:r>
          </w:p>
        </w:tc>
        <w:tc>
          <w:tcPr>
            <w:tcW w:w="761" w:type="dxa"/>
            <w:tcBorders>
              <w:bottom w:val="single" w:sz="12" w:space="0" w:color="000000"/>
            </w:tcBorders>
          </w:tcPr>
          <w:p>
            <w:pPr>
              <w:pStyle w:val="TableParagraph"/>
              <w:spacing w:line="196" w:lineRule="exact" w:before="6"/>
              <w:ind w:right="11"/>
              <w:jc w:val="right"/>
              <w:rPr>
                <w:rFonts w:ascii="Calibri"/>
                <w:sz w:val="18"/>
              </w:rPr>
            </w:pPr>
            <w:r>
              <w:rPr>
                <w:rFonts w:ascii="Calibri"/>
                <w:spacing w:val="-2"/>
                <w:sz w:val="18"/>
              </w:rPr>
              <w:t>6,15%</w:t>
            </w:r>
          </w:p>
        </w:tc>
        <w:tc>
          <w:tcPr>
            <w:tcW w:w="1071" w:type="dxa"/>
            <w:tcBorders>
              <w:bottom w:val="single" w:sz="12" w:space="0" w:color="000000"/>
            </w:tcBorders>
          </w:tcPr>
          <w:p>
            <w:pPr>
              <w:pStyle w:val="TableParagraph"/>
              <w:spacing w:line="196" w:lineRule="exact" w:before="6"/>
              <w:ind w:right="1"/>
              <w:jc w:val="right"/>
              <w:rPr>
                <w:rFonts w:ascii="Calibri" w:hAnsi="Calibri"/>
                <w:sz w:val="18"/>
              </w:rPr>
            </w:pPr>
            <w:r>
              <w:rPr>
                <w:rFonts w:ascii="Calibri" w:hAnsi="Calibri"/>
                <w:spacing w:val="-6"/>
                <w:sz w:val="18"/>
              </w:rPr>
              <w:t>0,00</w:t>
            </w:r>
            <w:r>
              <w:rPr>
                <w:rFonts w:ascii="Calibri" w:hAnsi="Calibri"/>
                <w:spacing w:val="-7"/>
                <w:sz w:val="18"/>
              </w:rPr>
              <w:t> </w:t>
            </w:r>
            <w:r>
              <w:rPr>
                <w:rFonts w:ascii="Calibri" w:hAnsi="Calibri"/>
                <w:spacing w:val="-10"/>
                <w:sz w:val="18"/>
              </w:rPr>
              <w:t>€</w:t>
            </w:r>
          </w:p>
        </w:tc>
        <w:tc>
          <w:tcPr>
            <w:tcW w:w="762" w:type="dxa"/>
            <w:tcBorders>
              <w:bottom w:val="single" w:sz="12" w:space="0" w:color="000000"/>
            </w:tcBorders>
          </w:tcPr>
          <w:p>
            <w:pPr>
              <w:pStyle w:val="TableParagraph"/>
              <w:spacing w:line="196" w:lineRule="exact" w:before="6"/>
              <w:ind w:right="2"/>
              <w:jc w:val="right"/>
              <w:rPr>
                <w:rFonts w:ascii="Calibri" w:hAnsi="Calibri"/>
                <w:sz w:val="18"/>
              </w:rPr>
            </w:pPr>
            <w:r>
              <w:rPr>
                <w:rFonts w:ascii="Calibri" w:hAnsi="Calibri"/>
                <w:spacing w:val="-6"/>
                <w:sz w:val="18"/>
              </w:rPr>
              <w:t>0,00</w:t>
            </w:r>
            <w:r>
              <w:rPr>
                <w:rFonts w:ascii="Calibri" w:hAnsi="Calibri"/>
                <w:spacing w:val="-7"/>
                <w:sz w:val="18"/>
              </w:rPr>
              <w:t> </w:t>
            </w:r>
            <w:r>
              <w:rPr>
                <w:rFonts w:ascii="Calibri" w:hAnsi="Calibri"/>
                <w:spacing w:val="-10"/>
                <w:sz w:val="18"/>
              </w:rPr>
              <w:t>€</w:t>
            </w:r>
          </w:p>
        </w:tc>
        <w:tc>
          <w:tcPr>
            <w:tcW w:w="1131" w:type="dxa"/>
            <w:tcBorders>
              <w:bottom w:val="single" w:sz="12" w:space="0" w:color="000000"/>
            </w:tcBorders>
          </w:tcPr>
          <w:p>
            <w:pPr>
              <w:pStyle w:val="TableParagraph"/>
              <w:spacing w:line="196" w:lineRule="exact" w:before="6"/>
              <w:ind w:right="3"/>
              <w:jc w:val="right"/>
              <w:rPr>
                <w:rFonts w:ascii="Calibri" w:hAnsi="Calibri"/>
                <w:sz w:val="18"/>
              </w:rPr>
            </w:pPr>
            <w:r>
              <w:rPr>
                <w:rFonts w:ascii="Calibri" w:hAnsi="Calibri"/>
                <w:spacing w:val="-6"/>
                <w:sz w:val="18"/>
              </w:rPr>
              <w:t>15</w:t>
            </w:r>
            <w:r>
              <w:rPr>
                <w:rFonts w:ascii="Calibri" w:hAnsi="Calibri"/>
                <w:spacing w:val="-12"/>
                <w:sz w:val="18"/>
              </w:rPr>
              <w:t> </w:t>
            </w:r>
            <w:r>
              <w:rPr>
                <w:rFonts w:ascii="Calibri" w:hAnsi="Calibri"/>
                <w:spacing w:val="-6"/>
                <w:sz w:val="18"/>
              </w:rPr>
              <w:t>000,00</w:t>
            </w:r>
            <w:r>
              <w:rPr>
                <w:rFonts w:ascii="Calibri" w:hAnsi="Calibri"/>
                <w:spacing w:val="-11"/>
                <w:sz w:val="18"/>
              </w:rPr>
              <w:t> </w:t>
            </w:r>
            <w:r>
              <w:rPr>
                <w:rFonts w:ascii="Calibri" w:hAnsi="Calibri"/>
                <w:spacing w:val="-10"/>
                <w:sz w:val="18"/>
              </w:rPr>
              <w:t>€</w:t>
            </w:r>
          </w:p>
        </w:tc>
        <w:tc>
          <w:tcPr>
            <w:tcW w:w="762" w:type="dxa"/>
            <w:tcBorders>
              <w:bottom w:val="single" w:sz="12" w:space="0" w:color="000000"/>
            </w:tcBorders>
          </w:tcPr>
          <w:p>
            <w:pPr>
              <w:pStyle w:val="TableParagraph"/>
              <w:spacing w:line="196" w:lineRule="exact" w:before="6"/>
              <w:ind w:right="14"/>
              <w:jc w:val="right"/>
              <w:rPr>
                <w:rFonts w:ascii="Calibri"/>
                <w:sz w:val="18"/>
              </w:rPr>
            </w:pPr>
            <w:r>
              <w:rPr>
                <w:rFonts w:ascii="Calibri"/>
                <w:spacing w:val="-2"/>
                <w:sz w:val="18"/>
              </w:rPr>
              <w:t>0,54%</w:t>
            </w:r>
          </w:p>
        </w:tc>
        <w:tc>
          <w:tcPr>
            <w:tcW w:w="1095" w:type="dxa"/>
            <w:tcBorders>
              <w:bottom w:val="single" w:sz="12" w:space="0" w:color="000000"/>
            </w:tcBorders>
          </w:tcPr>
          <w:p>
            <w:pPr>
              <w:pStyle w:val="TableParagraph"/>
              <w:spacing w:line="196" w:lineRule="exact" w:before="6"/>
              <w:ind w:right="5"/>
              <w:jc w:val="right"/>
              <w:rPr>
                <w:rFonts w:ascii="Calibri" w:hAnsi="Calibri"/>
                <w:sz w:val="18"/>
              </w:rPr>
            </w:pPr>
            <w:r>
              <w:rPr>
                <w:rFonts w:ascii="Calibri" w:hAnsi="Calibri"/>
                <w:spacing w:val="-6"/>
                <w:sz w:val="18"/>
              </w:rPr>
              <w:t>0,00</w:t>
            </w:r>
            <w:r>
              <w:rPr>
                <w:rFonts w:ascii="Calibri" w:hAnsi="Calibri"/>
                <w:spacing w:val="-7"/>
                <w:sz w:val="18"/>
              </w:rPr>
              <w:t> </w:t>
            </w:r>
            <w:r>
              <w:rPr>
                <w:rFonts w:ascii="Calibri" w:hAnsi="Calibri"/>
                <w:spacing w:val="-10"/>
                <w:sz w:val="18"/>
              </w:rPr>
              <w:t>€</w:t>
            </w:r>
          </w:p>
        </w:tc>
        <w:tc>
          <w:tcPr>
            <w:tcW w:w="762" w:type="dxa"/>
            <w:tcBorders>
              <w:bottom w:val="single" w:sz="12" w:space="0" w:color="000000"/>
            </w:tcBorders>
          </w:tcPr>
          <w:p>
            <w:pPr>
              <w:pStyle w:val="TableParagraph"/>
              <w:spacing w:line="196" w:lineRule="exact" w:before="6"/>
              <w:ind w:right="16"/>
              <w:jc w:val="right"/>
              <w:rPr>
                <w:rFonts w:ascii="Calibri"/>
                <w:sz w:val="18"/>
              </w:rPr>
            </w:pPr>
            <w:r>
              <w:rPr>
                <w:rFonts w:ascii="Calibri"/>
                <w:spacing w:val="-2"/>
                <w:sz w:val="18"/>
              </w:rPr>
              <w:t>0,00%</w:t>
            </w:r>
          </w:p>
        </w:tc>
      </w:tr>
      <w:tr>
        <w:trPr>
          <w:trHeight w:val="220" w:hRule="atLeast"/>
        </w:trPr>
        <w:tc>
          <w:tcPr>
            <w:tcW w:w="1867" w:type="dxa"/>
            <w:tcBorders>
              <w:top w:val="single" w:sz="12" w:space="0" w:color="000000"/>
              <w:bottom w:val="single" w:sz="12" w:space="0" w:color="000000"/>
            </w:tcBorders>
          </w:tcPr>
          <w:p>
            <w:pPr>
              <w:pStyle w:val="TableParagraph"/>
              <w:spacing w:line="196" w:lineRule="exact" w:before="5"/>
              <w:ind w:left="34"/>
              <w:rPr>
                <w:rFonts w:ascii="Calibri"/>
                <w:b/>
                <w:sz w:val="18"/>
              </w:rPr>
            </w:pPr>
            <w:r>
              <w:rPr>
                <w:rFonts w:ascii="Calibri"/>
                <w:b/>
                <w:spacing w:val="-2"/>
                <w:sz w:val="18"/>
              </w:rPr>
              <w:t>Gjithsej</w:t>
            </w:r>
          </w:p>
        </w:tc>
        <w:tc>
          <w:tcPr>
            <w:tcW w:w="1142" w:type="dxa"/>
            <w:tcBorders>
              <w:top w:val="single" w:sz="12" w:space="0" w:color="000000"/>
              <w:bottom w:val="single" w:sz="12" w:space="0" w:color="000000"/>
            </w:tcBorders>
          </w:tcPr>
          <w:p>
            <w:pPr>
              <w:pStyle w:val="TableParagraph"/>
              <w:spacing w:line="196" w:lineRule="exact" w:before="5"/>
              <w:ind w:right="1"/>
              <w:jc w:val="right"/>
              <w:rPr>
                <w:rFonts w:ascii="Calibri" w:hAnsi="Calibri"/>
                <w:b/>
                <w:sz w:val="18"/>
              </w:rPr>
            </w:pPr>
            <w:r>
              <w:rPr>
                <w:rFonts w:ascii="Calibri" w:hAnsi="Calibri"/>
                <w:b/>
                <w:spacing w:val="-6"/>
                <w:sz w:val="18"/>
              </w:rPr>
              <w:t>2</w:t>
            </w:r>
            <w:r>
              <w:rPr>
                <w:rFonts w:ascii="Calibri" w:hAnsi="Calibri"/>
                <w:b/>
                <w:spacing w:val="-12"/>
                <w:sz w:val="18"/>
              </w:rPr>
              <w:t> </w:t>
            </w:r>
            <w:r>
              <w:rPr>
                <w:rFonts w:ascii="Calibri" w:hAnsi="Calibri"/>
                <w:b/>
                <w:spacing w:val="-6"/>
                <w:sz w:val="18"/>
              </w:rPr>
              <w:t>742</w:t>
            </w:r>
            <w:r>
              <w:rPr>
                <w:rFonts w:ascii="Calibri" w:hAnsi="Calibri"/>
                <w:b/>
                <w:spacing w:val="-12"/>
                <w:sz w:val="18"/>
              </w:rPr>
              <w:t> </w:t>
            </w:r>
            <w:r>
              <w:rPr>
                <w:rFonts w:ascii="Calibri" w:hAnsi="Calibri"/>
                <w:b/>
                <w:spacing w:val="-6"/>
                <w:sz w:val="18"/>
              </w:rPr>
              <w:t>095,00</w:t>
            </w:r>
            <w:r>
              <w:rPr>
                <w:rFonts w:ascii="Calibri" w:hAnsi="Calibri"/>
                <w:b/>
                <w:spacing w:val="-11"/>
                <w:sz w:val="18"/>
              </w:rPr>
              <w:t> </w:t>
            </w:r>
            <w:r>
              <w:rPr>
                <w:rFonts w:ascii="Calibri" w:hAnsi="Calibri"/>
                <w:b/>
                <w:spacing w:val="-10"/>
                <w:sz w:val="18"/>
              </w:rPr>
              <w:t>€</w:t>
            </w:r>
          </w:p>
        </w:tc>
        <w:tc>
          <w:tcPr>
            <w:tcW w:w="761" w:type="dxa"/>
            <w:tcBorders>
              <w:top w:val="single" w:sz="12" w:space="0" w:color="000000"/>
              <w:bottom w:val="single" w:sz="12" w:space="0" w:color="000000"/>
            </w:tcBorders>
          </w:tcPr>
          <w:p>
            <w:pPr>
              <w:pStyle w:val="TableParagraph"/>
              <w:spacing w:line="196" w:lineRule="exact" w:before="5"/>
              <w:ind w:right="9"/>
              <w:jc w:val="right"/>
              <w:rPr>
                <w:rFonts w:ascii="Calibri"/>
                <w:b/>
                <w:sz w:val="18"/>
              </w:rPr>
            </w:pPr>
            <w:r>
              <w:rPr>
                <w:rFonts w:ascii="Calibri"/>
                <w:b/>
                <w:spacing w:val="-2"/>
                <w:sz w:val="18"/>
              </w:rPr>
              <w:t>100,00%</w:t>
            </w:r>
          </w:p>
        </w:tc>
        <w:tc>
          <w:tcPr>
            <w:tcW w:w="1071" w:type="dxa"/>
            <w:tcBorders>
              <w:top w:val="single" w:sz="12" w:space="0" w:color="000000"/>
              <w:bottom w:val="single" w:sz="12" w:space="0" w:color="000000"/>
            </w:tcBorders>
          </w:tcPr>
          <w:p>
            <w:pPr>
              <w:pStyle w:val="TableParagraph"/>
              <w:spacing w:line="196" w:lineRule="exact" w:before="5"/>
              <w:ind w:right="2"/>
              <w:jc w:val="right"/>
              <w:rPr>
                <w:rFonts w:ascii="Calibri" w:hAnsi="Calibri"/>
                <w:b/>
                <w:sz w:val="18"/>
              </w:rPr>
            </w:pPr>
            <w:r>
              <w:rPr>
                <w:rFonts w:ascii="Calibri" w:hAnsi="Calibri"/>
                <w:b/>
                <w:spacing w:val="-6"/>
                <w:sz w:val="18"/>
              </w:rPr>
              <w:t>2</w:t>
            </w:r>
            <w:r>
              <w:rPr>
                <w:rFonts w:ascii="Calibri" w:hAnsi="Calibri"/>
                <w:b/>
                <w:spacing w:val="-12"/>
                <w:sz w:val="18"/>
              </w:rPr>
              <w:t> </w:t>
            </w:r>
            <w:r>
              <w:rPr>
                <w:rFonts w:ascii="Calibri" w:hAnsi="Calibri"/>
                <w:b/>
                <w:spacing w:val="-6"/>
                <w:sz w:val="18"/>
              </w:rPr>
              <w:t>520</w:t>
            </w:r>
            <w:r>
              <w:rPr>
                <w:rFonts w:ascii="Calibri" w:hAnsi="Calibri"/>
                <w:b/>
                <w:spacing w:val="-12"/>
                <w:sz w:val="18"/>
              </w:rPr>
              <w:t> </w:t>
            </w:r>
            <w:r>
              <w:rPr>
                <w:rFonts w:ascii="Calibri" w:hAnsi="Calibri"/>
                <w:b/>
                <w:spacing w:val="-6"/>
                <w:sz w:val="18"/>
              </w:rPr>
              <w:t>166,00</w:t>
            </w:r>
            <w:r>
              <w:rPr>
                <w:rFonts w:ascii="Calibri" w:hAnsi="Calibri"/>
                <w:b/>
                <w:spacing w:val="-11"/>
                <w:sz w:val="18"/>
              </w:rPr>
              <w:t> </w:t>
            </w:r>
            <w:r>
              <w:rPr>
                <w:rFonts w:ascii="Calibri" w:hAnsi="Calibri"/>
                <w:b/>
                <w:spacing w:val="-10"/>
                <w:sz w:val="18"/>
              </w:rPr>
              <w:t>€</w:t>
            </w:r>
          </w:p>
        </w:tc>
        <w:tc>
          <w:tcPr>
            <w:tcW w:w="762" w:type="dxa"/>
            <w:tcBorders>
              <w:top w:val="single" w:sz="12" w:space="0" w:color="000000"/>
              <w:bottom w:val="single" w:sz="12" w:space="0" w:color="000000"/>
            </w:tcBorders>
          </w:tcPr>
          <w:p>
            <w:pPr>
              <w:pStyle w:val="TableParagraph"/>
              <w:spacing w:line="196" w:lineRule="exact" w:before="5"/>
              <w:ind w:right="10"/>
              <w:jc w:val="right"/>
              <w:rPr>
                <w:rFonts w:ascii="Calibri"/>
                <w:b/>
                <w:sz w:val="18"/>
              </w:rPr>
            </w:pPr>
            <w:r>
              <w:rPr>
                <w:rFonts w:ascii="Calibri"/>
                <w:b/>
                <w:spacing w:val="-2"/>
                <w:sz w:val="18"/>
              </w:rPr>
              <w:t>100,00%</w:t>
            </w:r>
          </w:p>
        </w:tc>
        <w:tc>
          <w:tcPr>
            <w:tcW w:w="1131" w:type="dxa"/>
            <w:tcBorders>
              <w:top w:val="single" w:sz="12" w:space="0" w:color="000000"/>
              <w:bottom w:val="single" w:sz="12" w:space="0" w:color="000000"/>
            </w:tcBorders>
          </w:tcPr>
          <w:p>
            <w:pPr>
              <w:pStyle w:val="TableParagraph"/>
              <w:spacing w:line="196" w:lineRule="exact" w:before="5"/>
              <w:ind w:right="4"/>
              <w:jc w:val="right"/>
              <w:rPr>
                <w:rFonts w:ascii="Calibri" w:hAnsi="Calibri"/>
                <w:b/>
                <w:sz w:val="18"/>
              </w:rPr>
            </w:pPr>
            <w:r>
              <w:rPr>
                <w:rFonts w:ascii="Calibri" w:hAnsi="Calibri"/>
                <w:b/>
                <w:spacing w:val="-6"/>
                <w:sz w:val="18"/>
              </w:rPr>
              <w:t>2</w:t>
            </w:r>
            <w:r>
              <w:rPr>
                <w:rFonts w:ascii="Calibri" w:hAnsi="Calibri"/>
                <w:b/>
                <w:spacing w:val="-12"/>
                <w:sz w:val="18"/>
              </w:rPr>
              <w:t> </w:t>
            </w:r>
            <w:r>
              <w:rPr>
                <w:rFonts w:ascii="Calibri" w:hAnsi="Calibri"/>
                <w:b/>
                <w:spacing w:val="-6"/>
                <w:sz w:val="18"/>
              </w:rPr>
              <w:t>759</w:t>
            </w:r>
            <w:r>
              <w:rPr>
                <w:rFonts w:ascii="Calibri" w:hAnsi="Calibri"/>
                <w:b/>
                <w:spacing w:val="-12"/>
                <w:sz w:val="18"/>
              </w:rPr>
              <w:t> </w:t>
            </w:r>
            <w:r>
              <w:rPr>
                <w:rFonts w:ascii="Calibri" w:hAnsi="Calibri"/>
                <w:b/>
                <w:spacing w:val="-6"/>
                <w:sz w:val="18"/>
              </w:rPr>
              <w:t>758,00</w:t>
            </w:r>
            <w:r>
              <w:rPr>
                <w:rFonts w:ascii="Calibri" w:hAnsi="Calibri"/>
                <w:b/>
                <w:spacing w:val="-11"/>
                <w:sz w:val="18"/>
              </w:rPr>
              <w:t> </w:t>
            </w:r>
            <w:r>
              <w:rPr>
                <w:rFonts w:ascii="Calibri" w:hAnsi="Calibri"/>
                <w:b/>
                <w:spacing w:val="-10"/>
                <w:sz w:val="18"/>
              </w:rPr>
              <w:t>€</w:t>
            </w:r>
          </w:p>
        </w:tc>
        <w:tc>
          <w:tcPr>
            <w:tcW w:w="762" w:type="dxa"/>
            <w:tcBorders>
              <w:top w:val="single" w:sz="12" w:space="0" w:color="000000"/>
              <w:bottom w:val="single" w:sz="12" w:space="0" w:color="000000"/>
            </w:tcBorders>
          </w:tcPr>
          <w:p>
            <w:pPr>
              <w:pStyle w:val="TableParagraph"/>
              <w:spacing w:line="196" w:lineRule="exact" w:before="5"/>
              <w:ind w:right="12"/>
              <w:jc w:val="right"/>
              <w:rPr>
                <w:rFonts w:ascii="Calibri"/>
                <w:b/>
                <w:sz w:val="18"/>
              </w:rPr>
            </w:pPr>
            <w:r>
              <w:rPr>
                <w:rFonts w:ascii="Calibri"/>
                <w:b/>
                <w:spacing w:val="-2"/>
                <w:sz w:val="18"/>
              </w:rPr>
              <w:t>100,00%</w:t>
            </w:r>
          </w:p>
        </w:tc>
        <w:tc>
          <w:tcPr>
            <w:tcW w:w="1095" w:type="dxa"/>
            <w:tcBorders>
              <w:top w:val="single" w:sz="12" w:space="0" w:color="000000"/>
              <w:bottom w:val="single" w:sz="12" w:space="0" w:color="000000"/>
            </w:tcBorders>
          </w:tcPr>
          <w:p>
            <w:pPr>
              <w:pStyle w:val="TableParagraph"/>
              <w:spacing w:line="196" w:lineRule="exact" w:before="5"/>
              <w:ind w:right="5"/>
              <w:jc w:val="right"/>
              <w:rPr>
                <w:rFonts w:ascii="Calibri" w:hAnsi="Calibri"/>
                <w:b/>
                <w:sz w:val="18"/>
              </w:rPr>
            </w:pPr>
            <w:r>
              <w:rPr>
                <w:rFonts w:ascii="Calibri" w:hAnsi="Calibri"/>
                <w:b/>
                <w:spacing w:val="-6"/>
                <w:sz w:val="18"/>
              </w:rPr>
              <w:t>3</w:t>
            </w:r>
            <w:r>
              <w:rPr>
                <w:rFonts w:ascii="Calibri" w:hAnsi="Calibri"/>
                <w:b/>
                <w:spacing w:val="-12"/>
                <w:sz w:val="18"/>
              </w:rPr>
              <w:t> </w:t>
            </w:r>
            <w:r>
              <w:rPr>
                <w:rFonts w:ascii="Calibri" w:hAnsi="Calibri"/>
                <w:b/>
                <w:spacing w:val="-6"/>
                <w:sz w:val="18"/>
              </w:rPr>
              <w:t>349</w:t>
            </w:r>
            <w:r>
              <w:rPr>
                <w:rFonts w:ascii="Calibri" w:hAnsi="Calibri"/>
                <w:b/>
                <w:spacing w:val="-12"/>
                <w:sz w:val="18"/>
              </w:rPr>
              <w:t> </w:t>
            </w:r>
            <w:r>
              <w:rPr>
                <w:rFonts w:ascii="Calibri" w:hAnsi="Calibri"/>
                <w:b/>
                <w:spacing w:val="-6"/>
                <w:sz w:val="18"/>
              </w:rPr>
              <w:t>714,65</w:t>
            </w:r>
            <w:r>
              <w:rPr>
                <w:rFonts w:ascii="Calibri" w:hAnsi="Calibri"/>
                <w:b/>
                <w:spacing w:val="-11"/>
                <w:sz w:val="18"/>
              </w:rPr>
              <w:t> </w:t>
            </w:r>
            <w:r>
              <w:rPr>
                <w:rFonts w:ascii="Calibri" w:hAnsi="Calibri"/>
                <w:b/>
                <w:spacing w:val="-10"/>
                <w:sz w:val="18"/>
              </w:rPr>
              <w:t>€</w:t>
            </w:r>
          </w:p>
        </w:tc>
        <w:tc>
          <w:tcPr>
            <w:tcW w:w="762" w:type="dxa"/>
            <w:tcBorders>
              <w:top w:val="single" w:sz="12" w:space="0" w:color="000000"/>
              <w:bottom w:val="single" w:sz="12" w:space="0" w:color="000000"/>
              <w:right w:val="single" w:sz="12" w:space="0" w:color="000000"/>
            </w:tcBorders>
          </w:tcPr>
          <w:p>
            <w:pPr>
              <w:pStyle w:val="TableParagraph"/>
              <w:spacing w:line="196" w:lineRule="exact" w:before="5"/>
              <w:ind w:right="6"/>
              <w:jc w:val="right"/>
              <w:rPr>
                <w:rFonts w:ascii="Calibri"/>
                <w:b/>
                <w:sz w:val="18"/>
              </w:rPr>
            </w:pPr>
            <w:r>
              <w:rPr>
                <w:rFonts w:ascii="Calibri"/>
                <w:b/>
                <w:spacing w:val="-2"/>
                <w:sz w:val="18"/>
              </w:rPr>
              <w:t>100,00%</w:t>
            </w:r>
          </w:p>
        </w:tc>
      </w:tr>
    </w:tbl>
    <w:p>
      <w:pPr>
        <w:spacing w:before="90"/>
        <w:ind w:left="3776" w:right="0" w:firstLine="0"/>
        <w:jc w:val="left"/>
        <w:rPr>
          <w:sz w:val="24"/>
        </w:rPr>
      </w:pPr>
      <w:r>
        <w:rPr>
          <w:b/>
          <w:sz w:val="24"/>
        </w:rPr>
        <w:t>Tabela</w:t>
      </w:r>
      <w:r>
        <w:rPr>
          <w:b/>
          <w:spacing w:val="-9"/>
          <w:sz w:val="24"/>
        </w:rPr>
        <w:t> </w:t>
      </w:r>
      <w:r>
        <w:rPr>
          <w:b/>
          <w:sz w:val="24"/>
        </w:rPr>
        <w:t>25:</w:t>
      </w:r>
      <w:r>
        <w:rPr>
          <w:b/>
          <w:spacing w:val="-8"/>
          <w:sz w:val="24"/>
        </w:rPr>
        <w:t> </w:t>
      </w:r>
      <w:r>
        <w:rPr>
          <w:sz w:val="24"/>
        </w:rPr>
        <w:t>Shpenzimet</w:t>
      </w:r>
      <w:r>
        <w:rPr>
          <w:spacing w:val="-9"/>
          <w:sz w:val="24"/>
        </w:rPr>
        <w:t> </w:t>
      </w:r>
      <w:r>
        <w:rPr>
          <w:spacing w:val="-2"/>
          <w:sz w:val="24"/>
        </w:rPr>
        <w:t>komunale</w:t>
      </w:r>
    </w:p>
    <w:p>
      <w:pPr>
        <w:spacing w:after="0"/>
        <w:jc w:val="left"/>
        <w:rPr>
          <w:sz w:val="24"/>
        </w:rPr>
        <w:sectPr>
          <w:pgSz w:w="12240" w:h="15840"/>
          <w:pgMar w:header="0" w:footer="990" w:top="1420" w:bottom="1180" w:left="700" w:right="0"/>
        </w:sectPr>
      </w:pPr>
    </w:p>
    <w:p>
      <w:pPr>
        <w:pStyle w:val="Heading1"/>
        <w:spacing w:before="20"/>
        <w:ind w:left="0" w:right="697"/>
        <w:jc w:val="center"/>
        <w:rPr>
          <w:rFonts w:ascii="Calibri"/>
        </w:rPr>
      </w:pPr>
      <w:r>
        <w:rPr>
          <w:rFonts w:ascii="Calibri"/>
        </w:rPr>
        <w:t>Analiza </w:t>
      </w:r>
      <w:r>
        <w:rPr>
          <w:rFonts w:ascii="Calibri"/>
          <w:spacing w:val="-4"/>
        </w:rPr>
        <w:t>SWOT</w:t>
      </w:r>
    </w:p>
    <w:p>
      <w:pPr>
        <w:pStyle w:val="BodyText"/>
        <w:rPr>
          <w:rFonts w:ascii="Calibri"/>
          <w:b/>
          <w:sz w:val="20"/>
        </w:rPr>
      </w:pPr>
    </w:p>
    <w:p>
      <w:pPr>
        <w:pStyle w:val="BodyText"/>
        <w:rPr>
          <w:rFonts w:ascii="Calibri"/>
          <w:b/>
          <w:sz w:val="20"/>
        </w:rPr>
      </w:pPr>
    </w:p>
    <w:p>
      <w:pPr>
        <w:pStyle w:val="BodyText"/>
        <w:spacing w:before="2"/>
        <w:rPr>
          <w:rFonts w:ascii="Calibri"/>
          <w:b/>
          <w:sz w:val="19"/>
        </w:rPr>
      </w:pPr>
      <w:r>
        <w:rPr/>
        <w:drawing>
          <wp:anchor distT="0" distB="0" distL="0" distR="0" allowOverlap="1" layoutInCell="1" locked="0" behindDoc="0" simplePos="0" relativeHeight="75">
            <wp:simplePos x="0" y="0"/>
            <wp:positionH relativeFrom="page">
              <wp:posOffset>914400</wp:posOffset>
            </wp:positionH>
            <wp:positionV relativeFrom="paragraph">
              <wp:posOffset>169858</wp:posOffset>
            </wp:positionV>
            <wp:extent cx="2771139" cy="3209925"/>
            <wp:effectExtent l="0" t="0" r="0" b="0"/>
            <wp:wrapTopAndBottom/>
            <wp:docPr id="33" name="image54.png"/>
            <wp:cNvGraphicFramePr>
              <a:graphicFrameLocks noChangeAspect="1"/>
            </wp:cNvGraphicFramePr>
            <a:graphic>
              <a:graphicData uri="http://schemas.openxmlformats.org/drawingml/2006/picture">
                <pic:pic>
                  <pic:nvPicPr>
                    <pic:cNvPr id="34" name="image54.png"/>
                    <pic:cNvPicPr/>
                  </pic:nvPicPr>
                  <pic:blipFill>
                    <a:blip r:embed="rId77" cstate="print"/>
                    <a:stretch>
                      <a:fillRect/>
                    </a:stretch>
                  </pic:blipFill>
                  <pic:spPr>
                    <a:xfrm>
                      <a:off x="0" y="0"/>
                      <a:ext cx="2771139" cy="3209925"/>
                    </a:xfrm>
                    <a:prstGeom prst="rect">
                      <a:avLst/>
                    </a:prstGeom>
                  </pic:spPr>
                </pic:pic>
              </a:graphicData>
            </a:graphic>
          </wp:anchor>
        </w:drawing>
      </w:r>
      <w:r>
        <w:rPr/>
        <w:pict>
          <v:shape style="position:absolute;margin-left:299.200012pt;margin-top:12.924687pt;width:233.2pt;height:251.25pt;mso-position-horizontal-relative:page;mso-position-vertical-relative:paragraph;z-index:-15689728;mso-wrap-distance-left:0;mso-wrap-distance-right:0" type="#_x0000_t202" id="docshape331" filled="true" fillcolor="#ffc000" stroked="false">
            <v:textbox inset="0,0,0,0">
              <w:txbxContent>
                <w:p>
                  <w:pPr>
                    <w:spacing w:before="71"/>
                    <w:ind w:left="104" w:right="0" w:firstLine="0"/>
                    <w:jc w:val="left"/>
                    <w:rPr>
                      <w:rFonts w:ascii="Calibri" w:hAnsi="Calibri"/>
                      <w:color w:val="000000"/>
                      <w:sz w:val="12"/>
                    </w:rPr>
                  </w:pPr>
                  <w:r>
                    <w:rPr>
                      <w:rFonts w:ascii="Calibri" w:hAnsi="Calibri"/>
                      <w:color w:val="000000"/>
                      <w:spacing w:val="-2"/>
                      <w:w w:val="145"/>
                      <w:sz w:val="12"/>
                    </w:rPr>
                    <w:t>DOBËSITË</w:t>
                  </w:r>
                </w:p>
                <w:p>
                  <w:pPr>
                    <w:numPr>
                      <w:ilvl w:val="0"/>
                      <w:numId w:val="14"/>
                    </w:numPr>
                    <w:tabs>
                      <w:tab w:pos="232" w:val="left" w:leader="none"/>
                    </w:tabs>
                    <w:spacing w:line="352" w:lineRule="auto" w:before="69"/>
                    <w:ind w:left="104" w:right="646" w:firstLine="0"/>
                    <w:jc w:val="left"/>
                    <w:rPr>
                      <w:rFonts w:ascii="Calibri" w:hAnsi="Calibri"/>
                      <w:color w:val="000000"/>
                      <w:sz w:val="12"/>
                    </w:rPr>
                  </w:pPr>
                  <w:r>
                    <w:rPr>
                      <w:rFonts w:ascii="Calibri" w:hAnsi="Calibri"/>
                      <w:color w:val="000000"/>
                      <w:w w:val="145"/>
                      <w:sz w:val="12"/>
                    </w:rPr>
                    <w:t>Buxheti</w:t>
                  </w:r>
                  <w:r>
                    <w:rPr>
                      <w:rFonts w:ascii="Calibri" w:hAnsi="Calibri"/>
                      <w:color w:val="000000"/>
                      <w:spacing w:val="-7"/>
                      <w:w w:val="145"/>
                      <w:sz w:val="12"/>
                    </w:rPr>
                    <w:t> </w:t>
                  </w:r>
                  <w:r>
                    <w:rPr>
                      <w:rFonts w:ascii="Calibri" w:hAnsi="Calibri"/>
                      <w:color w:val="000000"/>
                      <w:w w:val="145"/>
                      <w:sz w:val="12"/>
                    </w:rPr>
                    <w:t>i</w:t>
                  </w:r>
                  <w:r>
                    <w:rPr>
                      <w:rFonts w:ascii="Calibri" w:hAnsi="Calibri"/>
                      <w:color w:val="000000"/>
                      <w:spacing w:val="-6"/>
                      <w:w w:val="145"/>
                      <w:sz w:val="12"/>
                    </w:rPr>
                    <w:t> </w:t>
                  </w:r>
                  <w:r>
                    <w:rPr>
                      <w:rFonts w:ascii="Calibri" w:hAnsi="Calibri"/>
                      <w:color w:val="000000"/>
                      <w:w w:val="145"/>
                      <w:sz w:val="12"/>
                    </w:rPr>
                    <w:t>ulët</w:t>
                  </w:r>
                  <w:r>
                    <w:rPr>
                      <w:rFonts w:ascii="Calibri" w:hAnsi="Calibri"/>
                      <w:color w:val="000000"/>
                      <w:spacing w:val="-6"/>
                      <w:w w:val="145"/>
                      <w:sz w:val="12"/>
                    </w:rPr>
                    <w:t> </w:t>
                  </w:r>
                  <w:r>
                    <w:rPr>
                      <w:rFonts w:ascii="Calibri" w:hAnsi="Calibri"/>
                      <w:color w:val="000000"/>
                      <w:w w:val="145"/>
                      <w:sz w:val="12"/>
                    </w:rPr>
                    <w:t>(mundësi</w:t>
                  </w:r>
                  <w:r>
                    <w:rPr>
                      <w:rFonts w:ascii="Calibri" w:hAnsi="Calibri"/>
                      <w:color w:val="000000"/>
                      <w:spacing w:val="-5"/>
                      <w:w w:val="145"/>
                      <w:sz w:val="12"/>
                    </w:rPr>
                    <w:t> </w:t>
                  </w:r>
                  <w:r>
                    <w:rPr>
                      <w:rFonts w:ascii="Calibri" w:hAnsi="Calibri"/>
                      <w:color w:val="000000"/>
                      <w:w w:val="145"/>
                      <w:sz w:val="12"/>
                    </w:rPr>
                    <w:t>të</w:t>
                  </w:r>
                  <w:r>
                    <w:rPr>
                      <w:rFonts w:ascii="Calibri" w:hAnsi="Calibri"/>
                      <w:color w:val="000000"/>
                      <w:spacing w:val="-6"/>
                      <w:w w:val="145"/>
                      <w:sz w:val="12"/>
                    </w:rPr>
                    <w:t> </w:t>
                  </w:r>
                  <w:r>
                    <w:rPr>
                      <w:rFonts w:ascii="Calibri" w:hAnsi="Calibri"/>
                      <w:color w:val="000000"/>
                      <w:w w:val="145"/>
                      <w:sz w:val="12"/>
                    </w:rPr>
                    <w:t>ulëta</w:t>
                  </w:r>
                  <w:r>
                    <w:rPr>
                      <w:rFonts w:ascii="Calibri" w:hAnsi="Calibri"/>
                      <w:color w:val="000000"/>
                      <w:spacing w:val="-5"/>
                      <w:w w:val="145"/>
                      <w:sz w:val="12"/>
                    </w:rPr>
                    <w:t> </w:t>
                  </w:r>
                  <w:r>
                    <w:rPr>
                      <w:rFonts w:ascii="Calibri" w:hAnsi="Calibri"/>
                      <w:color w:val="000000"/>
                      <w:w w:val="145"/>
                      <w:sz w:val="12"/>
                    </w:rPr>
                    <w:t>për</w:t>
                  </w:r>
                  <w:r>
                    <w:rPr>
                      <w:rFonts w:ascii="Calibri" w:hAnsi="Calibri"/>
                      <w:color w:val="000000"/>
                      <w:spacing w:val="-6"/>
                      <w:w w:val="145"/>
                      <w:sz w:val="12"/>
                    </w:rPr>
                    <w:t> </w:t>
                  </w:r>
                  <w:r>
                    <w:rPr>
                      <w:rFonts w:ascii="Calibri" w:hAnsi="Calibri"/>
                      <w:color w:val="000000"/>
                      <w:w w:val="145"/>
                      <w:sz w:val="12"/>
                    </w:rPr>
                    <w:t>rritjen</w:t>
                  </w:r>
                  <w:r>
                    <w:rPr>
                      <w:rFonts w:ascii="Calibri" w:hAnsi="Calibri"/>
                      <w:color w:val="000000"/>
                      <w:spacing w:val="-6"/>
                      <w:w w:val="145"/>
                      <w:sz w:val="12"/>
                    </w:rPr>
                    <w:t> </w:t>
                  </w:r>
                  <w:r>
                    <w:rPr>
                      <w:rFonts w:ascii="Calibri" w:hAnsi="Calibri"/>
                      <w:color w:val="000000"/>
                      <w:w w:val="145"/>
                      <w:sz w:val="12"/>
                    </w:rPr>
                    <w:t>e</w:t>
                  </w:r>
                  <w:r>
                    <w:rPr>
                      <w:rFonts w:ascii="Calibri" w:hAnsi="Calibri"/>
                      <w:color w:val="000000"/>
                      <w:spacing w:val="-6"/>
                      <w:w w:val="145"/>
                      <w:sz w:val="12"/>
                    </w:rPr>
                    <w:t> </w:t>
                  </w:r>
                  <w:r>
                    <w:rPr>
                      <w:rFonts w:ascii="Calibri" w:hAnsi="Calibri"/>
                      <w:color w:val="000000"/>
                      <w:w w:val="145"/>
                      <w:sz w:val="12"/>
                    </w:rPr>
                    <w:t>të</w:t>
                  </w:r>
                  <w:r>
                    <w:rPr>
                      <w:rFonts w:ascii="Calibri" w:hAnsi="Calibri"/>
                      <w:color w:val="000000"/>
                      <w:spacing w:val="-6"/>
                      <w:w w:val="145"/>
                      <w:sz w:val="12"/>
                    </w:rPr>
                    <w:t> </w:t>
                  </w:r>
                  <w:r>
                    <w:rPr>
                      <w:rFonts w:ascii="Calibri" w:hAnsi="Calibri"/>
                      <w:color w:val="000000"/>
                      <w:w w:val="145"/>
                      <w:sz w:val="12"/>
                    </w:rPr>
                    <w:t>hyrave</w:t>
                  </w:r>
                  <w:r>
                    <w:rPr>
                      <w:rFonts w:ascii="Calibri" w:hAnsi="Calibri"/>
                      <w:color w:val="000000"/>
                      <w:spacing w:val="40"/>
                      <w:w w:val="145"/>
                      <w:sz w:val="12"/>
                    </w:rPr>
                    <w:t> </w:t>
                  </w:r>
                  <w:r>
                    <w:rPr>
                      <w:rFonts w:ascii="Calibri" w:hAnsi="Calibri"/>
                      <w:color w:val="000000"/>
                      <w:spacing w:val="-2"/>
                      <w:w w:val="145"/>
                      <w:sz w:val="12"/>
                    </w:rPr>
                    <w:t>vetanake.</w:t>
                  </w:r>
                </w:p>
                <w:p>
                  <w:pPr>
                    <w:numPr>
                      <w:ilvl w:val="0"/>
                      <w:numId w:val="14"/>
                    </w:numPr>
                    <w:tabs>
                      <w:tab w:pos="231" w:val="left" w:leader="none"/>
                    </w:tabs>
                    <w:spacing w:before="0"/>
                    <w:ind w:left="230" w:right="0" w:hanging="127"/>
                    <w:jc w:val="left"/>
                    <w:rPr>
                      <w:rFonts w:ascii="Calibri" w:hAnsi="Calibri"/>
                      <w:color w:val="000000"/>
                      <w:sz w:val="12"/>
                    </w:rPr>
                  </w:pPr>
                  <w:r>
                    <w:rPr>
                      <w:rFonts w:ascii="Calibri" w:hAnsi="Calibri"/>
                      <w:color w:val="000000"/>
                      <w:w w:val="145"/>
                      <w:sz w:val="12"/>
                    </w:rPr>
                    <w:t>Migrimi</w:t>
                  </w:r>
                  <w:r>
                    <w:rPr>
                      <w:rFonts w:ascii="Calibri" w:hAnsi="Calibri"/>
                      <w:color w:val="000000"/>
                      <w:spacing w:val="-9"/>
                      <w:w w:val="145"/>
                      <w:sz w:val="12"/>
                    </w:rPr>
                    <w:t> </w:t>
                  </w:r>
                  <w:r>
                    <w:rPr>
                      <w:rFonts w:ascii="Calibri" w:hAnsi="Calibri"/>
                      <w:color w:val="000000"/>
                      <w:w w:val="145"/>
                      <w:sz w:val="12"/>
                    </w:rPr>
                    <w:t>kombëtar</w:t>
                  </w:r>
                  <w:r>
                    <w:rPr>
                      <w:rFonts w:ascii="Calibri" w:hAnsi="Calibri"/>
                      <w:color w:val="000000"/>
                      <w:spacing w:val="-10"/>
                      <w:w w:val="145"/>
                      <w:sz w:val="12"/>
                    </w:rPr>
                    <w:t> </w:t>
                  </w:r>
                  <w:r>
                    <w:rPr>
                      <w:rFonts w:ascii="Calibri" w:hAnsi="Calibri"/>
                      <w:color w:val="000000"/>
                      <w:w w:val="145"/>
                      <w:sz w:val="12"/>
                    </w:rPr>
                    <w:t>dhe</w:t>
                  </w:r>
                  <w:r>
                    <w:rPr>
                      <w:rFonts w:ascii="Calibri" w:hAnsi="Calibri"/>
                      <w:color w:val="000000"/>
                      <w:spacing w:val="-9"/>
                      <w:w w:val="145"/>
                      <w:sz w:val="12"/>
                    </w:rPr>
                    <w:t> </w:t>
                  </w:r>
                  <w:r>
                    <w:rPr>
                      <w:rFonts w:ascii="Calibri" w:hAnsi="Calibri"/>
                      <w:color w:val="000000"/>
                      <w:spacing w:val="-2"/>
                      <w:w w:val="145"/>
                      <w:sz w:val="12"/>
                    </w:rPr>
                    <w:t>ndërkombëtar.</w:t>
                  </w:r>
                </w:p>
                <w:p>
                  <w:pPr>
                    <w:numPr>
                      <w:ilvl w:val="0"/>
                      <w:numId w:val="14"/>
                    </w:numPr>
                    <w:tabs>
                      <w:tab w:pos="232" w:val="left" w:leader="none"/>
                    </w:tabs>
                    <w:spacing w:line="352" w:lineRule="auto" w:before="69"/>
                    <w:ind w:left="104" w:right="489" w:firstLine="0"/>
                    <w:jc w:val="left"/>
                    <w:rPr>
                      <w:rFonts w:ascii="Calibri" w:hAnsi="Calibri"/>
                      <w:color w:val="000000"/>
                      <w:sz w:val="12"/>
                    </w:rPr>
                  </w:pPr>
                  <w:r>
                    <w:rPr>
                      <w:rFonts w:ascii="Calibri" w:hAnsi="Calibri"/>
                      <w:color w:val="000000"/>
                      <w:w w:val="145"/>
                      <w:sz w:val="12"/>
                    </w:rPr>
                    <w:t>Ekzistenca</w:t>
                  </w:r>
                  <w:r>
                    <w:rPr>
                      <w:rFonts w:ascii="Calibri" w:hAnsi="Calibri"/>
                      <w:color w:val="000000"/>
                      <w:spacing w:val="-7"/>
                      <w:w w:val="145"/>
                      <w:sz w:val="12"/>
                    </w:rPr>
                    <w:t> </w:t>
                  </w:r>
                  <w:r>
                    <w:rPr>
                      <w:rFonts w:ascii="Calibri" w:hAnsi="Calibri"/>
                      <w:color w:val="000000"/>
                      <w:w w:val="145"/>
                      <w:sz w:val="12"/>
                    </w:rPr>
                    <w:t>e</w:t>
                  </w:r>
                  <w:r>
                    <w:rPr>
                      <w:rFonts w:ascii="Calibri" w:hAnsi="Calibri"/>
                      <w:color w:val="000000"/>
                      <w:spacing w:val="-7"/>
                      <w:w w:val="145"/>
                      <w:sz w:val="12"/>
                    </w:rPr>
                    <w:t> </w:t>
                  </w:r>
                  <w:r>
                    <w:rPr>
                      <w:rFonts w:ascii="Calibri" w:hAnsi="Calibri"/>
                      <w:color w:val="000000"/>
                      <w:w w:val="145"/>
                      <w:sz w:val="12"/>
                    </w:rPr>
                    <w:t>industris</w:t>
                  </w:r>
                  <w:r>
                    <w:rPr>
                      <w:rFonts w:ascii="Calibri" w:hAnsi="Calibri"/>
                      <w:color w:val="000000"/>
                      <w:spacing w:val="-6"/>
                      <w:w w:val="145"/>
                      <w:sz w:val="12"/>
                    </w:rPr>
                    <w:t> </w:t>
                  </w:r>
                  <w:r>
                    <w:rPr>
                      <w:rFonts w:ascii="Calibri" w:hAnsi="Calibri"/>
                      <w:color w:val="000000"/>
                      <w:w w:val="145"/>
                      <w:sz w:val="12"/>
                    </w:rPr>
                    <w:t>ndotëse</w:t>
                  </w:r>
                  <w:r>
                    <w:rPr>
                      <w:rFonts w:ascii="Calibri" w:hAnsi="Calibri"/>
                      <w:color w:val="000000"/>
                      <w:spacing w:val="-7"/>
                      <w:w w:val="145"/>
                      <w:sz w:val="12"/>
                    </w:rPr>
                    <w:t> </w:t>
                  </w:r>
                  <w:r>
                    <w:rPr>
                      <w:rFonts w:ascii="Calibri" w:hAnsi="Calibri"/>
                      <w:color w:val="000000"/>
                      <w:w w:val="145"/>
                      <w:sz w:val="12"/>
                    </w:rPr>
                    <w:t>(edhe</w:t>
                  </w:r>
                  <w:r>
                    <w:rPr>
                      <w:rFonts w:ascii="Calibri" w:hAnsi="Calibri"/>
                      <w:color w:val="000000"/>
                      <w:spacing w:val="-7"/>
                      <w:w w:val="145"/>
                      <w:sz w:val="12"/>
                    </w:rPr>
                    <w:t> </w:t>
                  </w:r>
                  <w:r>
                    <w:rPr>
                      <w:rFonts w:ascii="Calibri" w:hAnsi="Calibri"/>
                      <w:color w:val="000000"/>
                      <w:w w:val="145"/>
                      <w:sz w:val="12"/>
                    </w:rPr>
                    <w:t>pse</w:t>
                  </w:r>
                  <w:r>
                    <w:rPr>
                      <w:rFonts w:ascii="Calibri" w:hAnsi="Calibri"/>
                      <w:color w:val="000000"/>
                      <w:spacing w:val="-7"/>
                      <w:w w:val="145"/>
                      <w:sz w:val="12"/>
                    </w:rPr>
                    <w:t> </w:t>
                  </w:r>
                  <w:r>
                    <w:rPr>
                      <w:rFonts w:ascii="Calibri" w:hAnsi="Calibri"/>
                      <w:color w:val="000000"/>
                      <w:w w:val="145"/>
                      <w:sz w:val="12"/>
                    </w:rPr>
                    <w:t>janë</w:t>
                  </w:r>
                  <w:r>
                    <w:rPr>
                      <w:rFonts w:ascii="Calibri" w:hAnsi="Calibri"/>
                      <w:color w:val="000000"/>
                      <w:spacing w:val="-7"/>
                      <w:w w:val="145"/>
                      <w:sz w:val="12"/>
                    </w:rPr>
                    <w:t> </w:t>
                  </w:r>
                  <w:r>
                    <w:rPr>
                      <w:rFonts w:ascii="Calibri" w:hAnsi="Calibri"/>
                      <w:color w:val="000000"/>
                      <w:w w:val="145"/>
                      <w:sz w:val="12"/>
                    </w:rPr>
                    <w:t>bërë</w:t>
                  </w:r>
                  <w:r>
                    <w:rPr>
                      <w:rFonts w:ascii="Calibri" w:hAnsi="Calibri"/>
                      <w:color w:val="000000"/>
                      <w:spacing w:val="-7"/>
                      <w:w w:val="145"/>
                      <w:sz w:val="12"/>
                    </w:rPr>
                    <w:t> </w:t>
                  </w:r>
                  <w:r>
                    <w:rPr>
                      <w:rFonts w:ascii="Calibri" w:hAnsi="Calibri"/>
                      <w:color w:val="000000"/>
                      <w:w w:val="145"/>
                      <w:sz w:val="12"/>
                    </w:rPr>
                    <w:t>hapa</w:t>
                  </w:r>
                  <w:r>
                    <w:rPr>
                      <w:rFonts w:ascii="Calibri" w:hAnsi="Calibri"/>
                      <w:color w:val="000000"/>
                      <w:spacing w:val="40"/>
                      <w:w w:val="145"/>
                      <w:sz w:val="12"/>
                    </w:rPr>
                    <w:t> </w:t>
                  </w:r>
                  <w:r>
                    <w:rPr>
                      <w:rFonts w:ascii="Calibri" w:hAnsi="Calibri"/>
                      <w:color w:val="000000"/>
                      <w:w w:val="145"/>
                      <w:sz w:val="12"/>
                    </w:rPr>
                    <w:t>pozitiv</w:t>
                  </w:r>
                  <w:r>
                    <w:rPr>
                      <w:rFonts w:ascii="Calibri" w:hAnsi="Calibri"/>
                      <w:color w:val="000000"/>
                      <w:w w:val="145"/>
                      <w:sz w:val="12"/>
                    </w:rPr>
                    <w:t> në këtë</w:t>
                  </w:r>
                  <w:r>
                    <w:rPr>
                      <w:rFonts w:ascii="Calibri" w:hAnsi="Calibri"/>
                      <w:color w:val="000000"/>
                      <w:w w:val="145"/>
                      <w:sz w:val="12"/>
                    </w:rPr>
                    <w:t> derjtim)</w:t>
                  </w:r>
                </w:p>
                <w:p>
                  <w:pPr>
                    <w:numPr>
                      <w:ilvl w:val="0"/>
                      <w:numId w:val="14"/>
                    </w:numPr>
                    <w:tabs>
                      <w:tab w:pos="232" w:val="left" w:leader="none"/>
                    </w:tabs>
                    <w:spacing w:line="146" w:lineRule="exact" w:before="0"/>
                    <w:ind w:left="231" w:right="0" w:hanging="128"/>
                    <w:jc w:val="left"/>
                    <w:rPr>
                      <w:rFonts w:ascii="Calibri" w:hAnsi="Calibri"/>
                      <w:color w:val="000000"/>
                      <w:sz w:val="12"/>
                    </w:rPr>
                  </w:pPr>
                  <w:r>
                    <w:rPr>
                      <w:rFonts w:ascii="Calibri" w:hAnsi="Calibri"/>
                      <w:color w:val="000000"/>
                      <w:w w:val="145"/>
                      <w:sz w:val="12"/>
                    </w:rPr>
                    <w:t>Ndërtime</w:t>
                  </w:r>
                  <w:r>
                    <w:rPr>
                      <w:rFonts w:ascii="Calibri" w:hAnsi="Calibri"/>
                      <w:color w:val="000000"/>
                      <w:spacing w:val="-6"/>
                      <w:w w:val="145"/>
                      <w:sz w:val="12"/>
                    </w:rPr>
                    <w:t> </w:t>
                  </w:r>
                  <w:r>
                    <w:rPr>
                      <w:rFonts w:ascii="Calibri" w:hAnsi="Calibri"/>
                      <w:color w:val="000000"/>
                      <w:w w:val="145"/>
                      <w:sz w:val="12"/>
                    </w:rPr>
                    <w:t>në</w:t>
                  </w:r>
                  <w:r>
                    <w:rPr>
                      <w:rFonts w:ascii="Calibri" w:hAnsi="Calibri"/>
                      <w:color w:val="000000"/>
                      <w:spacing w:val="-4"/>
                      <w:w w:val="145"/>
                      <w:sz w:val="12"/>
                    </w:rPr>
                    <w:t> </w:t>
                  </w:r>
                  <w:r>
                    <w:rPr>
                      <w:rFonts w:ascii="Calibri" w:hAnsi="Calibri"/>
                      <w:color w:val="000000"/>
                      <w:w w:val="145"/>
                      <w:sz w:val="12"/>
                    </w:rPr>
                    <w:t>toka</w:t>
                  </w:r>
                  <w:r>
                    <w:rPr>
                      <w:rFonts w:ascii="Calibri" w:hAnsi="Calibri"/>
                      <w:color w:val="000000"/>
                      <w:spacing w:val="-6"/>
                      <w:w w:val="145"/>
                      <w:sz w:val="12"/>
                    </w:rPr>
                    <w:t> </w:t>
                  </w:r>
                  <w:r>
                    <w:rPr>
                      <w:rFonts w:ascii="Calibri" w:hAnsi="Calibri"/>
                      <w:color w:val="000000"/>
                      <w:spacing w:val="-2"/>
                      <w:w w:val="145"/>
                      <w:sz w:val="12"/>
                    </w:rPr>
                    <w:t>bujqësore</w:t>
                  </w:r>
                </w:p>
                <w:p>
                  <w:pPr>
                    <w:numPr>
                      <w:ilvl w:val="0"/>
                      <w:numId w:val="14"/>
                    </w:numPr>
                    <w:tabs>
                      <w:tab w:pos="232" w:val="left" w:leader="none"/>
                    </w:tabs>
                    <w:spacing w:line="352" w:lineRule="auto" w:before="69"/>
                    <w:ind w:left="104" w:right="1119" w:firstLine="0"/>
                    <w:jc w:val="left"/>
                    <w:rPr>
                      <w:rFonts w:ascii="Calibri" w:hAnsi="Calibri"/>
                      <w:color w:val="000000"/>
                      <w:sz w:val="12"/>
                    </w:rPr>
                  </w:pPr>
                  <w:r>
                    <w:rPr>
                      <w:rFonts w:ascii="Calibri" w:hAnsi="Calibri"/>
                      <w:color w:val="000000"/>
                      <w:w w:val="145"/>
                      <w:sz w:val="12"/>
                    </w:rPr>
                    <w:t>Qasje</w:t>
                  </w:r>
                  <w:r>
                    <w:rPr>
                      <w:rFonts w:ascii="Calibri" w:hAnsi="Calibri"/>
                      <w:color w:val="000000"/>
                      <w:spacing w:val="-10"/>
                      <w:w w:val="145"/>
                      <w:sz w:val="12"/>
                    </w:rPr>
                    <w:t> </w:t>
                  </w:r>
                  <w:r>
                    <w:rPr>
                      <w:rFonts w:ascii="Calibri" w:hAnsi="Calibri"/>
                      <w:color w:val="000000"/>
                      <w:w w:val="145"/>
                      <w:sz w:val="12"/>
                    </w:rPr>
                    <w:t>e</w:t>
                  </w:r>
                  <w:r>
                    <w:rPr>
                      <w:rFonts w:ascii="Calibri" w:hAnsi="Calibri"/>
                      <w:color w:val="000000"/>
                      <w:spacing w:val="-8"/>
                      <w:w w:val="145"/>
                      <w:sz w:val="12"/>
                    </w:rPr>
                    <w:t> </w:t>
                  </w:r>
                  <w:r>
                    <w:rPr>
                      <w:rFonts w:ascii="Calibri" w:hAnsi="Calibri"/>
                      <w:color w:val="000000"/>
                      <w:w w:val="145"/>
                      <w:sz w:val="12"/>
                    </w:rPr>
                    <w:t>pamjaftueshme</w:t>
                  </w:r>
                  <w:r>
                    <w:rPr>
                      <w:rFonts w:ascii="Calibri" w:hAnsi="Calibri"/>
                      <w:color w:val="000000"/>
                      <w:spacing w:val="-10"/>
                      <w:w w:val="145"/>
                      <w:sz w:val="12"/>
                    </w:rPr>
                    <w:t> </w:t>
                  </w:r>
                  <w:r>
                    <w:rPr>
                      <w:rFonts w:ascii="Calibri" w:hAnsi="Calibri"/>
                      <w:color w:val="000000"/>
                      <w:w w:val="145"/>
                      <w:sz w:val="12"/>
                    </w:rPr>
                    <w:t>në</w:t>
                  </w:r>
                  <w:r>
                    <w:rPr>
                      <w:rFonts w:ascii="Calibri" w:hAnsi="Calibri"/>
                      <w:color w:val="000000"/>
                      <w:spacing w:val="-9"/>
                      <w:w w:val="145"/>
                      <w:sz w:val="12"/>
                    </w:rPr>
                    <w:t> </w:t>
                  </w:r>
                  <w:r>
                    <w:rPr>
                      <w:rFonts w:ascii="Calibri" w:hAnsi="Calibri"/>
                      <w:color w:val="000000"/>
                      <w:w w:val="145"/>
                      <w:sz w:val="12"/>
                    </w:rPr>
                    <w:t>fonde</w:t>
                  </w:r>
                  <w:r>
                    <w:rPr>
                      <w:rFonts w:ascii="Calibri" w:hAnsi="Calibri"/>
                      <w:color w:val="000000"/>
                      <w:spacing w:val="-6"/>
                      <w:w w:val="145"/>
                      <w:sz w:val="12"/>
                    </w:rPr>
                    <w:t> </w:t>
                  </w:r>
                  <w:r>
                    <w:rPr>
                      <w:rFonts w:ascii="Calibri" w:hAnsi="Calibri"/>
                      <w:color w:val="000000"/>
                      <w:w w:val="145"/>
                      <w:sz w:val="12"/>
                    </w:rPr>
                    <w:t>investive</w:t>
                  </w:r>
                  <w:r>
                    <w:rPr>
                      <w:rFonts w:ascii="Calibri" w:hAnsi="Calibri"/>
                      <w:color w:val="000000"/>
                      <w:spacing w:val="-10"/>
                      <w:w w:val="145"/>
                      <w:sz w:val="12"/>
                    </w:rPr>
                    <w:t> </w:t>
                  </w:r>
                  <w:r>
                    <w:rPr>
                      <w:rFonts w:ascii="Calibri" w:hAnsi="Calibri"/>
                      <w:color w:val="000000"/>
                      <w:w w:val="145"/>
                      <w:sz w:val="12"/>
                    </w:rPr>
                    <w:t>dhe</w:t>
                  </w:r>
                  <w:r>
                    <w:rPr>
                      <w:rFonts w:ascii="Calibri" w:hAnsi="Calibri"/>
                      <w:color w:val="000000"/>
                      <w:spacing w:val="40"/>
                      <w:w w:val="145"/>
                      <w:sz w:val="12"/>
                    </w:rPr>
                    <w:t> </w:t>
                  </w:r>
                  <w:r>
                    <w:rPr>
                      <w:rFonts w:ascii="Calibri" w:hAnsi="Calibri"/>
                      <w:color w:val="000000"/>
                      <w:spacing w:val="-2"/>
                      <w:w w:val="145"/>
                      <w:sz w:val="12"/>
                    </w:rPr>
                    <w:t>Zhvillimore.</w:t>
                  </w:r>
                </w:p>
                <w:p>
                  <w:pPr>
                    <w:numPr>
                      <w:ilvl w:val="0"/>
                      <w:numId w:val="14"/>
                    </w:numPr>
                    <w:tabs>
                      <w:tab w:pos="231" w:val="left" w:leader="none"/>
                    </w:tabs>
                    <w:spacing w:line="146" w:lineRule="exact" w:before="0"/>
                    <w:ind w:left="230" w:right="0" w:hanging="127"/>
                    <w:jc w:val="left"/>
                    <w:rPr>
                      <w:rFonts w:ascii="Calibri" w:hAnsi="Calibri"/>
                      <w:color w:val="000000"/>
                      <w:sz w:val="12"/>
                    </w:rPr>
                  </w:pPr>
                  <w:r>
                    <w:rPr>
                      <w:rFonts w:ascii="Calibri" w:hAnsi="Calibri"/>
                      <w:color w:val="000000"/>
                      <w:w w:val="145"/>
                      <w:sz w:val="12"/>
                    </w:rPr>
                    <w:t>Subvencionim</w:t>
                  </w:r>
                  <w:r>
                    <w:rPr>
                      <w:rFonts w:ascii="Calibri" w:hAnsi="Calibri"/>
                      <w:color w:val="000000"/>
                      <w:spacing w:val="-8"/>
                      <w:w w:val="145"/>
                      <w:sz w:val="12"/>
                    </w:rPr>
                    <w:t> </w:t>
                  </w:r>
                  <w:r>
                    <w:rPr>
                      <w:rFonts w:ascii="Calibri" w:hAnsi="Calibri"/>
                      <w:color w:val="000000"/>
                      <w:w w:val="145"/>
                      <w:sz w:val="12"/>
                    </w:rPr>
                    <w:t>i</w:t>
                  </w:r>
                  <w:r>
                    <w:rPr>
                      <w:rFonts w:ascii="Calibri" w:hAnsi="Calibri"/>
                      <w:color w:val="000000"/>
                      <w:spacing w:val="-8"/>
                      <w:w w:val="145"/>
                      <w:sz w:val="12"/>
                    </w:rPr>
                    <w:t> </w:t>
                  </w:r>
                  <w:r>
                    <w:rPr>
                      <w:rFonts w:ascii="Calibri" w:hAnsi="Calibri"/>
                      <w:color w:val="000000"/>
                      <w:w w:val="145"/>
                      <w:sz w:val="12"/>
                    </w:rPr>
                    <w:t>pamjaftueshëm</w:t>
                  </w:r>
                  <w:r>
                    <w:rPr>
                      <w:rFonts w:ascii="Calibri" w:hAnsi="Calibri"/>
                      <w:color w:val="000000"/>
                      <w:spacing w:val="-8"/>
                      <w:w w:val="145"/>
                      <w:sz w:val="12"/>
                    </w:rPr>
                    <w:t> </w:t>
                  </w:r>
                  <w:r>
                    <w:rPr>
                      <w:rFonts w:ascii="Calibri" w:hAnsi="Calibri"/>
                      <w:color w:val="000000"/>
                      <w:w w:val="145"/>
                      <w:sz w:val="12"/>
                    </w:rPr>
                    <w:t>i</w:t>
                  </w:r>
                  <w:r>
                    <w:rPr>
                      <w:rFonts w:ascii="Calibri" w:hAnsi="Calibri"/>
                      <w:color w:val="000000"/>
                      <w:spacing w:val="-7"/>
                      <w:w w:val="145"/>
                      <w:sz w:val="12"/>
                    </w:rPr>
                    <w:t> </w:t>
                  </w:r>
                  <w:r>
                    <w:rPr>
                      <w:rFonts w:ascii="Calibri" w:hAnsi="Calibri"/>
                      <w:color w:val="000000"/>
                      <w:spacing w:val="-2"/>
                      <w:w w:val="145"/>
                      <w:sz w:val="12"/>
                    </w:rPr>
                    <w:t>fermerëve.</w:t>
                  </w:r>
                </w:p>
                <w:p>
                  <w:pPr>
                    <w:numPr>
                      <w:ilvl w:val="0"/>
                      <w:numId w:val="14"/>
                    </w:numPr>
                    <w:tabs>
                      <w:tab w:pos="231" w:val="left" w:leader="none"/>
                    </w:tabs>
                    <w:spacing w:before="68"/>
                    <w:ind w:left="230" w:right="0" w:hanging="127"/>
                    <w:jc w:val="left"/>
                    <w:rPr>
                      <w:rFonts w:ascii="Calibri" w:hAnsi="Calibri"/>
                      <w:color w:val="000000"/>
                      <w:sz w:val="12"/>
                    </w:rPr>
                  </w:pPr>
                  <w:r>
                    <w:rPr>
                      <w:rFonts w:ascii="Calibri" w:hAnsi="Calibri"/>
                      <w:color w:val="000000"/>
                      <w:w w:val="145"/>
                      <w:sz w:val="12"/>
                    </w:rPr>
                    <w:t>Informim</w:t>
                  </w:r>
                  <w:r>
                    <w:rPr>
                      <w:rFonts w:ascii="Calibri" w:hAnsi="Calibri"/>
                      <w:color w:val="000000"/>
                      <w:spacing w:val="-7"/>
                      <w:w w:val="145"/>
                      <w:sz w:val="12"/>
                    </w:rPr>
                    <w:t> </w:t>
                  </w:r>
                  <w:r>
                    <w:rPr>
                      <w:rFonts w:ascii="Calibri" w:hAnsi="Calibri"/>
                      <w:color w:val="000000"/>
                      <w:w w:val="145"/>
                      <w:sz w:val="12"/>
                    </w:rPr>
                    <w:t>jo</w:t>
                  </w:r>
                  <w:r>
                    <w:rPr>
                      <w:rFonts w:ascii="Calibri" w:hAnsi="Calibri"/>
                      <w:color w:val="000000"/>
                      <w:spacing w:val="-7"/>
                      <w:w w:val="145"/>
                      <w:sz w:val="12"/>
                    </w:rPr>
                    <w:t> </w:t>
                  </w:r>
                  <w:r>
                    <w:rPr>
                      <w:rFonts w:ascii="Calibri" w:hAnsi="Calibri"/>
                      <w:color w:val="000000"/>
                      <w:w w:val="145"/>
                      <w:sz w:val="12"/>
                    </w:rPr>
                    <w:t>i</w:t>
                  </w:r>
                  <w:r>
                    <w:rPr>
                      <w:rFonts w:ascii="Calibri" w:hAnsi="Calibri"/>
                      <w:color w:val="000000"/>
                      <w:spacing w:val="-7"/>
                      <w:w w:val="145"/>
                      <w:sz w:val="12"/>
                    </w:rPr>
                    <w:t> </w:t>
                  </w:r>
                  <w:r>
                    <w:rPr>
                      <w:rFonts w:ascii="Calibri" w:hAnsi="Calibri"/>
                      <w:color w:val="000000"/>
                      <w:w w:val="145"/>
                      <w:sz w:val="12"/>
                    </w:rPr>
                    <w:t>mjaftueshëm</w:t>
                  </w:r>
                  <w:r>
                    <w:rPr>
                      <w:rFonts w:ascii="Calibri" w:hAnsi="Calibri"/>
                      <w:color w:val="000000"/>
                      <w:spacing w:val="-8"/>
                      <w:w w:val="145"/>
                      <w:sz w:val="12"/>
                    </w:rPr>
                    <w:t> </w:t>
                  </w:r>
                  <w:r>
                    <w:rPr>
                      <w:rFonts w:ascii="Calibri" w:hAnsi="Calibri"/>
                      <w:color w:val="000000"/>
                      <w:w w:val="145"/>
                      <w:sz w:val="12"/>
                    </w:rPr>
                    <w:t>i</w:t>
                  </w:r>
                  <w:r>
                    <w:rPr>
                      <w:rFonts w:ascii="Calibri" w:hAnsi="Calibri"/>
                      <w:color w:val="000000"/>
                      <w:spacing w:val="-7"/>
                      <w:w w:val="145"/>
                      <w:sz w:val="12"/>
                    </w:rPr>
                    <w:t> </w:t>
                  </w:r>
                  <w:r>
                    <w:rPr>
                      <w:rFonts w:ascii="Calibri" w:hAnsi="Calibri"/>
                      <w:color w:val="000000"/>
                      <w:w w:val="145"/>
                      <w:sz w:val="12"/>
                    </w:rPr>
                    <w:t>bizneseve</w:t>
                  </w:r>
                  <w:r>
                    <w:rPr>
                      <w:rFonts w:ascii="Calibri" w:hAnsi="Calibri"/>
                      <w:color w:val="000000"/>
                      <w:spacing w:val="-7"/>
                      <w:w w:val="145"/>
                      <w:sz w:val="12"/>
                    </w:rPr>
                    <w:t> </w:t>
                  </w:r>
                  <w:r>
                    <w:rPr>
                      <w:rFonts w:ascii="Calibri" w:hAnsi="Calibri"/>
                      <w:color w:val="000000"/>
                      <w:spacing w:val="-5"/>
                      <w:w w:val="145"/>
                      <w:sz w:val="12"/>
                    </w:rPr>
                    <w:t>dhe</w:t>
                  </w:r>
                </w:p>
                <w:p>
                  <w:pPr>
                    <w:spacing w:before="69"/>
                    <w:ind w:left="104" w:right="0" w:firstLine="0"/>
                    <w:jc w:val="left"/>
                    <w:rPr>
                      <w:rFonts w:ascii="Calibri" w:hAnsi="Calibri"/>
                      <w:color w:val="000000"/>
                      <w:sz w:val="12"/>
                    </w:rPr>
                  </w:pPr>
                  <w:r>
                    <w:rPr>
                      <w:rFonts w:ascii="Calibri" w:hAnsi="Calibri"/>
                      <w:color w:val="000000"/>
                      <w:w w:val="145"/>
                      <w:sz w:val="12"/>
                    </w:rPr>
                    <w:t>qytetarëve</w:t>
                  </w:r>
                  <w:r>
                    <w:rPr>
                      <w:rFonts w:ascii="Calibri" w:hAnsi="Calibri"/>
                      <w:color w:val="000000"/>
                      <w:spacing w:val="-10"/>
                      <w:w w:val="145"/>
                      <w:sz w:val="12"/>
                    </w:rPr>
                    <w:t> </w:t>
                  </w:r>
                  <w:r>
                    <w:rPr>
                      <w:rFonts w:ascii="Calibri" w:hAnsi="Calibri"/>
                      <w:color w:val="000000"/>
                      <w:w w:val="145"/>
                      <w:sz w:val="12"/>
                    </w:rPr>
                    <w:t>rreth</w:t>
                  </w:r>
                  <w:r>
                    <w:rPr>
                      <w:rFonts w:ascii="Calibri" w:hAnsi="Calibri"/>
                      <w:color w:val="000000"/>
                      <w:spacing w:val="-10"/>
                      <w:w w:val="145"/>
                      <w:sz w:val="12"/>
                    </w:rPr>
                    <w:t> </w:t>
                  </w:r>
                  <w:r>
                    <w:rPr>
                      <w:rFonts w:ascii="Calibri" w:hAnsi="Calibri"/>
                      <w:color w:val="000000"/>
                      <w:w w:val="145"/>
                      <w:sz w:val="12"/>
                    </w:rPr>
                    <w:t>granteve</w:t>
                  </w:r>
                  <w:r>
                    <w:rPr>
                      <w:rFonts w:ascii="Calibri" w:hAnsi="Calibri"/>
                      <w:color w:val="000000"/>
                      <w:spacing w:val="-10"/>
                      <w:w w:val="145"/>
                      <w:sz w:val="12"/>
                    </w:rPr>
                    <w:t> </w:t>
                  </w:r>
                  <w:r>
                    <w:rPr>
                      <w:rFonts w:ascii="Calibri" w:hAnsi="Calibri"/>
                      <w:color w:val="000000"/>
                      <w:w w:val="145"/>
                      <w:sz w:val="12"/>
                    </w:rPr>
                    <w:t>nga</w:t>
                  </w:r>
                  <w:r>
                    <w:rPr>
                      <w:rFonts w:ascii="Calibri" w:hAnsi="Calibri"/>
                      <w:color w:val="000000"/>
                      <w:spacing w:val="-10"/>
                      <w:w w:val="145"/>
                      <w:sz w:val="12"/>
                    </w:rPr>
                    <w:t> </w:t>
                  </w:r>
                  <w:r>
                    <w:rPr>
                      <w:rFonts w:ascii="Calibri" w:hAnsi="Calibri"/>
                      <w:color w:val="000000"/>
                      <w:w w:val="145"/>
                      <w:sz w:val="12"/>
                    </w:rPr>
                    <w:t>donatorët</w:t>
                  </w:r>
                  <w:r>
                    <w:rPr>
                      <w:rFonts w:ascii="Calibri" w:hAnsi="Calibri"/>
                      <w:color w:val="000000"/>
                      <w:spacing w:val="-9"/>
                      <w:w w:val="145"/>
                      <w:sz w:val="12"/>
                    </w:rPr>
                    <w:t> </w:t>
                  </w:r>
                  <w:r>
                    <w:rPr>
                      <w:rFonts w:ascii="Calibri" w:hAnsi="Calibri"/>
                      <w:color w:val="000000"/>
                      <w:w w:val="145"/>
                      <w:sz w:val="12"/>
                    </w:rPr>
                    <w:t>e</w:t>
                  </w:r>
                  <w:r>
                    <w:rPr>
                      <w:rFonts w:ascii="Calibri" w:hAnsi="Calibri"/>
                      <w:color w:val="000000"/>
                      <w:spacing w:val="-9"/>
                      <w:w w:val="145"/>
                      <w:sz w:val="12"/>
                    </w:rPr>
                    <w:t> </w:t>
                  </w:r>
                  <w:r>
                    <w:rPr>
                      <w:rFonts w:ascii="Calibri" w:hAnsi="Calibri"/>
                      <w:color w:val="000000"/>
                      <w:spacing w:val="-2"/>
                      <w:w w:val="145"/>
                      <w:sz w:val="12"/>
                    </w:rPr>
                    <w:t>ndryshëm.</w:t>
                  </w:r>
                </w:p>
                <w:p>
                  <w:pPr>
                    <w:numPr>
                      <w:ilvl w:val="0"/>
                      <w:numId w:val="14"/>
                    </w:numPr>
                    <w:tabs>
                      <w:tab w:pos="232" w:val="left" w:leader="none"/>
                    </w:tabs>
                    <w:spacing w:line="352" w:lineRule="auto" w:before="69"/>
                    <w:ind w:left="104" w:right="784" w:firstLine="0"/>
                    <w:jc w:val="left"/>
                    <w:rPr>
                      <w:rFonts w:ascii="Calibri" w:hAnsi="Calibri"/>
                      <w:color w:val="000000"/>
                      <w:sz w:val="12"/>
                    </w:rPr>
                  </w:pPr>
                  <w:r>
                    <w:rPr>
                      <w:rFonts w:ascii="Calibri" w:hAnsi="Calibri"/>
                      <w:color w:val="000000"/>
                      <w:w w:val="145"/>
                      <w:sz w:val="12"/>
                    </w:rPr>
                    <w:t>Mungesë</w:t>
                  </w:r>
                  <w:r>
                    <w:rPr>
                      <w:rFonts w:ascii="Calibri" w:hAnsi="Calibri"/>
                      <w:color w:val="000000"/>
                      <w:spacing w:val="-9"/>
                      <w:w w:val="145"/>
                      <w:sz w:val="12"/>
                    </w:rPr>
                    <w:t> </w:t>
                  </w:r>
                  <w:r>
                    <w:rPr>
                      <w:rFonts w:ascii="Calibri" w:hAnsi="Calibri"/>
                      <w:color w:val="000000"/>
                      <w:w w:val="145"/>
                      <w:sz w:val="12"/>
                    </w:rPr>
                    <w:t>e</w:t>
                  </w:r>
                  <w:r>
                    <w:rPr>
                      <w:rFonts w:ascii="Calibri" w:hAnsi="Calibri"/>
                      <w:color w:val="000000"/>
                      <w:spacing w:val="-9"/>
                      <w:w w:val="145"/>
                      <w:sz w:val="12"/>
                    </w:rPr>
                    <w:t> </w:t>
                  </w:r>
                  <w:r>
                    <w:rPr>
                      <w:rFonts w:ascii="Calibri" w:hAnsi="Calibri"/>
                      <w:color w:val="000000"/>
                      <w:w w:val="145"/>
                      <w:sz w:val="12"/>
                    </w:rPr>
                    <w:t>resurseve</w:t>
                  </w:r>
                  <w:r>
                    <w:rPr>
                      <w:rFonts w:ascii="Calibri" w:hAnsi="Calibri"/>
                      <w:color w:val="000000"/>
                      <w:spacing w:val="-9"/>
                      <w:w w:val="145"/>
                      <w:sz w:val="12"/>
                    </w:rPr>
                    <w:t> </w:t>
                  </w:r>
                  <w:r>
                    <w:rPr>
                      <w:rFonts w:ascii="Calibri" w:hAnsi="Calibri"/>
                      <w:color w:val="000000"/>
                      <w:w w:val="145"/>
                      <w:sz w:val="12"/>
                    </w:rPr>
                    <w:t>njerëzore</w:t>
                  </w:r>
                  <w:r>
                    <w:rPr>
                      <w:rFonts w:ascii="Calibri" w:hAnsi="Calibri"/>
                      <w:color w:val="000000"/>
                      <w:spacing w:val="-9"/>
                      <w:w w:val="145"/>
                      <w:sz w:val="12"/>
                    </w:rPr>
                    <w:t> </w:t>
                  </w:r>
                  <w:r>
                    <w:rPr>
                      <w:rFonts w:ascii="Calibri" w:hAnsi="Calibri"/>
                      <w:color w:val="000000"/>
                      <w:w w:val="145"/>
                      <w:sz w:val="12"/>
                    </w:rPr>
                    <w:t>me</w:t>
                  </w:r>
                  <w:r>
                    <w:rPr>
                      <w:rFonts w:ascii="Calibri" w:hAnsi="Calibri"/>
                      <w:color w:val="000000"/>
                      <w:spacing w:val="-9"/>
                      <w:w w:val="145"/>
                      <w:sz w:val="12"/>
                    </w:rPr>
                    <w:t> </w:t>
                  </w:r>
                  <w:r>
                    <w:rPr>
                      <w:rFonts w:ascii="Calibri" w:hAnsi="Calibri"/>
                      <w:color w:val="000000"/>
                      <w:w w:val="145"/>
                      <w:sz w:val="12"/>
                    </w:rPr>
                    <w:t>profil</w:t>
                  </w:r>
                  <w:r>
                    <w:rPr>
                      <w:rFonts w:ascii="Calibri" w:hAnsi="Calibri"/>
                      <w:color w:val="000000"/>
                      <w:spacing w:val="-9"/>
                      <w:w w:val="145"/>
                      <w:sz w:val="12"/>
                    </w:rPr>
                    <w:t> </w:t>
                  </w:r>
                  <w:r>
                    <w:rPr>
                      <w:rFonts w:ascii="Calibri" w:hAnsi="Calibri"/>
                      <w:color w:val="000000"/>
                      <w:w w:val="145"/>
                      <w:sz w:val="12"/>
                    </w:rPr>
                    <w:t>në</w:t>
                  </w:r>
                  <w:r>
                    <w:rPr>
                      <w:rFonts w:ascii="Calibri" w:hAnsi="Calibri"/>
                      <w:color w:val="000000"/>
                      <w:spacing w:val="-9"/>
                      <w:w w:val="145"/>
                      <w:sz w:val="12"/>
                    </w:rPr>
                    <w:t> </w:t>
                  </w:r>
                  <w:r>
                    <w:rPr>
                      <w:rFonts w:ascii="Calibri" w:hAnsi="Calibri"/>
                      <w:color w:val="000000"/>
                      <w:w w:val="145"/>
                      <w:sz w:val="12"/>
                    </w:rPr>
                    <w:t>bujqësi</w:t>
                  </w:r>
                  <w:r>
                    <w:rPr>
                      <w:rFonts w:ascii="Calibri" w:hAnsi="Calibri"/>
                      <w:color w:val="000000"/>
                      <w:spacing w:val="40"/>
                      <w:w w:val="145"/>
                      <w:sz w:val="12"/>
                    </w:rPr>
                    <w:t> </w:t>
                  </w:r>
                  <w:r>
                    <w:rPr>
                      <w:rFonts w:ascii="Calibri" w:hAnsi="Calibri"/>
                      <w:color w:val="000000"/>
                      <w:w w:val="145"/>
                      <w:sz w:val="12"/>
                    </w:rPr>
                    <w:t>dhe</w:t>
                  </w:r>
                  <w:r>
                    <w:rPr>
                      <w:rFonts w:ascii="Calibri" w:hAnsi="Calibri"/>
                      <w:color w:val="000000"/>
                      <w:w w:val="145"/>
                      <w:sz w:val="12"/>
                    </w:rPr>
                    <w:t> turizëm.</w:t>
                  </w:r>
                </w:p>
                <w:p>
                  <w:pPr>
                    <w:numPr>
                      <w:ilvl w:val="0"/>
                      <w:numId w:val="14"/>
                    </w:numPr>
                    <w:tabs>
                      <w:tab w:pos="231" w:val="left" w:leader="none"/>
                    </w:tabs>
                    <w:spacing w:line="146" w:lineRule="exact" w:before="0"/>
                    <w:ind w:left="230" w:right="0" w:hanging="127"/>
                    <w:jc w:val="left"/>
                    <w:rPr>
                      <w:rFonts w:ascii="Calibri" w:hAnsi="Calibri"/>
                      <w:color w:val="000000"/>
                      <w:sz w:val="12"/>
                    </w:rPr>
                  </w:pPr>
                  <w:r>
                    <w:rPr>
                      <w:rFonts w:ascii="Calibri" w:hAnsi="Calibri"/>
                      <w:color w:val="000000"/>
                      <w:w w:val="145"/>
                      <w:sz w:val="12"/>
                    </w:rPr>
                    <w:t>Buxhet</w:t>
                  </w:r>
                  <w:r>
                    <w:rPr>
                      <w:rFonts w:ascii="Calibri" w:hAnsi="Calibri"/>
                      <w:color w:val="000000"/>
                      <w:spacing w:val="-9"/>
                      <w:w w:val="145"/>
                      <w:sz w:val="12"/>
                    </w:rPr>
                    <w:t> </w:t>
                  </w:r>
                  <w:r>
                    <w:rPr>
                      <w:rFonts w:ascii="Calibri" w:hAnsi="Calibri"/>
                      <w:color w:val="000000"/>
                      <w:w w:val="145"/>
                      <w:sz w:val="12"/>
                    </w:rPr>
                    <w:t>i</w:t>
                  </w:r>
                  <w:r>
                    <w:rPr>
                      <w:rFonts w:ascii="Calibri" w:hAnsi="Calibri"/>
                      <w:color w:val="000000"/>
                      <w:spacing w:val="-9"/>
                      <w:w w:val="145"/>
                      <w:sz w:val="12"/>
                    </w:rPr>
                    <w:t> </w:t>
                  </w:r>
                  <w:r>
                    <w:rPr>
                      <w:rFonts w:ascii="Calibri" w:hAnsi="Calibri"/>
                      <w:color w:val="000000"/>
                      <w:w w:val="145"/>
                      <w:sz w:val="12"/>
                    </w:rPr>
                    <w:t>pamjaftueshëm</w:t>
                  </w:r>
                  <w:r>
                    <w:rPr>
                      <w:rFonts w:ascii="Calibri" w:hAnsi="Calibri"/>
                      <w:color w:val="000000"/>
                      <w:spacing w:val="-10"/>
                      <w:w w:val="145"/>
                      <w:sz w:val="12"/>
                    </w:rPr>
                    <w:t> </w:t>
                  </w:r>
                  <w:r>
                    <w:rPr>
                      <w:rFonts w:ascii="Calibri" w:hAnsi="Calibri"/>
                      <w:color w:val="000000"/>
                      <w:w w:val="145"/>
                      <w:sz w:val="12"/>
                    </w:rPr>
                    <w:t>komunal</w:t>
                  </w:r>
                  <w:r>
                    <w:rPr>
                      <w:rFonts w:ascii="Calibri" w:hAnsi="Calibri"/>
                      <w:color w:val="000000"/>
                      <w:spacing w:val="-9"/>
                      <w:w w:val="145"/>
                      <w:sz w:val="12"/>
                    </w:rPr>
                    <w:t> </w:t>
                  </w:r>
                  <w:r>
                    <w:rPr>
                      <w:rFonts w:ascii="Calibri" w:hAnsi="Calibri"/>
                      <w:color w:val="000000"/>
                      <w:w w:val="145"/>
                      <w:sz w:val="12"/>
                    </w:rPr>
                    <w:t>për</w:t>
                  </w:r>
                  <w:r>
                    <w:rPr>
                      <w:rFonts w:ascii="Calibri" w:hAnsi="Calibri"/>
                      <w:color w:val="000000"/>
                      <w:spacing w:val="-8"/>
                      <w:w w:val="145"/>
                      <w:sz w:val="12"/>
                    </w:rPr>
                    <w:t> </w:t>
                  </w:r>
                  <w:r>
                    <w:rPr>
                      <w:rFonts w:ascii="Calibri" w:hAnsi="Calibri"/>
                      <w:color w:val="000000"/>
                      <w:w w:val="145"/>
                      <w:sz w:val="12"/>
                    </w:rPr>
                    <w:t>mbështetje</w:t>
                  </w:r>
                  <w:r>
                    <w:rPr>
                      <w:rFonts w:ascii="Calibri" w:hAnsi="Calibri"/>
                      <w:color w:val="000000"/>
                      <w:spacing w:val="-10"/>
                      <w:w w:val="145"/>
                      <w:sz w:val="12"/>
                    </w:rPr>
                    <w:t> </w:t>
                  </w:r>
                  <w:r>
                    <w:rPr>
                      <w:rFonts w:ascii="Calibri" w:hAnsi="Calibri"/>
                      <w:color w:val="000000"/>
                      <w:spacing w:val="-5"/>
                      <w:w w:val="145"/>
                      <w:sz w:val="12"/>
                    </w:rPr>
                    <w:t>më</w:t>
                  </w:r>
                </w:p>
                <w:p>
                  <w:pPr>
                    <w:spacing w:before="69"/>
                    <w:ind w:left="104" w:right="0" w:firstLine="0"/>
                    <w:jc w:val="left"/>
                    <w:rPr>
                      <w:rFonts w:ascii="Calibri" w:hAnsi="Calibri"/>
                      <w:color w:val="000000"/>
                      <w:sz w:val="12"/>
                    </w:rPr>
                  </w:pPr>
                  <w:r>
                    <w:rPr>
                      <w:rFonts w:ascii="Calibri" w:hAnsi="Calibri"/>
                      <w:color w:val="000000"/>
                      <w:w w:val="145"/>
                      <w:sz w:val="12"/>
                    </w:rPr>
                    <w:t>të</w:t>
                  </w:r>
                  <w:r>
                    <w:rPr>
                      <w:rFonts w:ascii="Calibri" w:hAnsi="Calibri"/>
                      <w:color w:val="000000"/>
                      <w:spacing w:val="-7"/>
                      <w:w w:val="145"/>
                      <w:sz w:val="12"/>
                    </w:rPr>
                    <w:t> </w:t>
                  </w:r>
                  <w:r>
                    <w:rPr>
                      <w:rFonts w:ascii="Calibri" w:hAnsi="Calibri"/>
                      <w:color w:val="000000"/>
                      <w:w w:val="145"/>
                      <w:sz w:val="12"/>
                    </w:rPr>
                    <w:t>theksuar</w:t>
                  </w:r>
                  <w:r>
                    <w:rPr>
                      <w:rFonts w:ascii="Calibri" w:hAnsi="Calibri"/>
                      <w:color w:val="000000"/>
                      <w:spacing w:val="-9"/>
                      <w:w w:val="145"/>
                      <w:sz w:val="12"/>
                    </w:rPr>
                    <w:t> </w:t>
                  </w:r>
                  <w:r>
                    <w:rPr>
                      <w:rFonts w:ascii="Calibri" w:hAnsi="Calibri"/>
                      <w:color w:val="000000"/>
                      <w:w w:val="145"/>
                      <w:sz w:val="12"/>
                    </w:rPr>
                    <w:t>të</w:t>
                  </w:r>
                  <w:r>
                    <w:rPr>
                      <w:rFonts w:ascii="Calibri" w:hAnsi="Calibri"/>
                      <w:color w:val="000000"/>
                      <w:spacing w:val="-6"/>
                      <w:w w:val="145"/>
                      <w:sz w:val="12"/>
                    </w:rPr>
                    <w:t> </w:t>
                  </w:r>
                  <w:r>
                    <w:rPr>
                      <w:rFonts w:ascii="Calibri" w:hAnsi="Calibri"/>
                      <w:color w:val="000000"/>
                      <w:w w:val="145"/>
                      <w:sz w:val="12"/>
                    </w:rPr>
                    <w:t>bizneseve</w:t>
                  </w:r>
                  <w:r>
                    <w:rPr>
                      <w:rFonts w:ascii="Calibri" w:hAnsi="Calibri"/>
                      <w:color w:val="000000"/>
                      <w:spacing w:val="-5"/>
                      <w:w w:val="145"/>
                      <w:sz w:val="12"/>
                    </w:rPr>
                    <w:t> </w:t>
                  </w:r>
                  <w:r>
                    <w:rPr>
                      <w:rFonts w:ascii="Calibri" w:hAnsi="Calibri"/>
                      <w:color w:val="000000"/>
                      <w:spacing w:val="-2"/>
                      <w:w w:val="145"/>
                      <w:sz w:val="12"/>
                    </w:rPr>
                    <w:t>vendore.</w:t>
                  </w:r>
                </w:p>
                <w:p>
                  <w:pPr>
                    <w:numPr>
                      <w:ilvl w:val="0"/>
                      <w:numId w:val="14"/>
                    </w:numPr>
                    <w:tabs>
                      <w:tab w:pos="231" w:val="left" w:leader="none"/>
                    </w:tabs>
                    <w:spacing w:line="352" w:lineRule="auto" w:before="68"/>
                    <w:ind w:left="104" w:right="904" w:firstLine="0"/>
                    <w:jc w:val="left"/>
                    <w:rPr>
                      <w:rFonts w:ascii="Calibri" w:hAnsi="Calibri"/>
                      <w:color w:val="000000"/>
                      <w:sz w:val="12"/>
                    </w:rPr>
                  </w:pPr>
                  <w:r>
                    <w:rPr>
                      <w:rFonts w:ascii="Calibri" w:hAnsi="Calibri"/>
                      <w:color w:val="000000"/>
                      <w:w w:val="145"/>
                      <w:sz w:val="12"/>
                    </w:rPr>
                    <w:t>Dallim</w:t>
                  </w:r>
                  <w:r>
                    <w:rPr>
                      <w:rFonts w:ascii="Calibri" w:hAnsi="Calibri"/>
                      <w:color w:val="000000"/>
                      <w:w w:val="145"/>
                      <w:sz w:val="12"/>
                    </w:rPr>
                    <w:t> i madh ndërmjet kapacitetit</w:t>
                  </w:r>
                  <w:r>
                    <w:rPr>
                      <w:rFonts w:ascii="Calibri" w:hAnsi="Calibri"/>
                      <w:color w:val="000000"/>
                      <w:w w:val="145"/>
                      <w:sz w:val="12"/>
                    </w:rPr>
                    <w:t> ekonomik të</w:t>
                  </w:r>
                  <w:r>
                    <w:rPr>
                      <w:rFonts w:ascii="Calibri" w:hAnsi="Calibri"/>
                      <w:color w:val="000000"/>
                      <w:spacing w:val="40"/>
                      <w:w w:val="145"/>
                      <w:sz w:val="12"/>
                    </w:rPr>
                    <w:t> </w:t>
                  </w:r>
                  <w:r>
                    <w:rPr>
                      <w:rFonts w:ascii="Calibri" w:hAnsi="Calibri"/>
                      <w:color w:val="000000"/>
                      <w:w w:val="145"/>
                      <w:sz w:val="12"/>
                    </w:rPr>
                    <w:t>komunave,</w:t>
                  </w:r>
                  <w:r>
                    <w:rPr>
                      <w:rFonts w:ascii="Calibri" w:hAnsi="Calibri"/>
                      <w:color w:val="000000"/>
                      <w:spacing w:val="-10"/>
                      <w:w w:val="145"/>
                      <w:sz w:val="12"/>
                    </w:rPr>
                    <w:t> </w:t>
                  </w:r>
                  <w:r>
                    <w:rPr>
                      <w:rFonts w:ascii="Calibri" w:hAnsi="Calibri"/>
                      <w:color w:val="000000"/>
                      <w:w w:val="145"/>
                      <w:sz w:val="12"/>
                    </w:rPr>
                    <w:t>për</w:t>
                  </w:r>
                  <w:r>
                    <w:rPr>
                      <w:rFonts w:ascii="Calibri" w:hAnsi="Calibri"/>
                      <w:color w:val="000000"/>
                      <w:spacing w:val="-10"/>
                      <w:w w:val="145"/>
                      <w:sz w:val="12"/>
                    </w:rPr>
                    <w:t> </w:t>
                  </w:r>
                  <w:r>
                    <w:rPr>
                      <w:rFonts w:ascii="Calibri" w:hAnsi="Calibri"/>
                      <w:color w:val="000000"/>
                      <w:w w:val="145"/>
                      <w:sz w:val="12"/>
                    </w:rPr>
                    <w:t>gjenerimin</w:t>
                  </w:r>
                  <w:r>
                    <w:rPr>
                      <w:rFonts w:ascii="Calibri" w:hAnsi="Calibri"/>
                      <w:color w:val="000000"/>
                      <w:spacing w:val="-10"/>
                      <w:w w:val="145"/>
                      <w:sz w:val="12"/>
                    </w:rPr>
                    <w:t> </w:t>
                  </w:r>
                  <w:r>
                    <w:rPr>
                      <w:rFonts w:ascii="Calibri" w:hAnsi="Calibri"/>
                      <w:color w:val="000000"/>
                      <w:w w:val="145"/>
                      <w:sz w:val="12"/>
                    </w:rPr>
                    <w:t>e</w:t>
                  </w:r>
                  <w:r>
                    <w:rPr>
                      <w:rFonts w:ascii="Calibri" w:hAnsi="Calibri"/>
                      <w:color w:val="000000"/>
                      <w:spacing w:val="-10"/>
                      <w:w w:val="145"/>
                      <w:sz w:val="12"/>
                    </w:rPr>
                    <w:t> </w:t>
                  </w:r>
                  <w:r>
                    <w:rPr>
                      <w:rFonts w:ascii="Calibri" w:hAnsi="Calibri"/>
                      <w:color w:val="000000"/>
                      <w:w w:val="145"/>
                      <w:sz w:val="12"/>
                    </w:rPr>
                    <w:t>të</w:t>
                  </w:r>
                  <w:r>
                    <w:rPr>
                      <w:rFonts w:ascii="Calibri" w:hAnsi="Calibri"/>
                      <w:color w:val="000000"/>
                      <w:spacing w:val="-10"/>
                      <w:w w:val="145"/>
                      <w:sz w:val="12"/>
                    </w:rPr>
                    <w:t> </w:t>
                  </w:r>
                  <w:r>
                    <w:rPr>
                      <w:rFonts w:ascii="Calibri" w:hAnsi="Calibri"/>
                      <w:color w:val="000000"/>
                      <w:w w:val="145"/>
                      <w:sz w:val="12"/>
                    </w:rPr>
                    <w:t>hyrave</w:t>
                  </w:r>
                  <w:r>
                    <w:rPr>
                      <w:rFonts w:ascii="Calibri" w:hAnsi="Calibri"/>
                      <w:color w:val="000000"/>
                      <w:spacing w:val="-9"/>
                      <w:w w:val="145"/>
                      <w:sz w:val="12"/>
                    </w:rPr>
                    <w:t> </w:t>
                  </w:r>
                  <w:r>
                    <w:rPr>
                      <w:rFonts w:ascii="Calibri" w:hAnsi="Calibri"/>
                      <w:color w:val="000000"/>
                      <w:w w:val="145"/>
                      <w:sz w:val="12"/>
                    </w:rPr>
                    <w:t>vetanake</w:t>
                  </w:r>
                  <w:r>
                    <w:rPr>
                      <w:rFonts w:ascii="Calibri" w:hAnsi="Calibri"/>
                      <w:color w:val="000000"/>
                      <w:spacing w:val="-10"/>
                      <w:w w:val="145"/>
                      <w:sz w:val="12"/>
                    </w:rPr>
                    <w:t> </w:t>
                  </w:r>
                  <w:r>
                    <w:rPr>
                      <w:rFonts w:ascii="Calibri" w:hAnsi="Calibri"/>
                      <w:color w:val="000000"/>
                      <w:w w:val="145"/>
                      <w:sz w:val="12"/>
                    </w:rPr>
                    <w:t>dhe</w:t>
                  </w:r>
                  <w:r>
                    <w:rPr>
                      <w:rFonts w:ascii="Calibri" w:hAnsi="Calibri"/>
                      <w:color w:val="000000"/>
                      <w:spacing w:val="40"/>
                      <w:w w:val="145"/>
                      <w:sz w:val="12"/>
                    </w:rPr>
                    <w:t> </w:t>
                  </w:r>
                  <w:r>
                    <w:rPr>
                      <w:rFonts w:ascii="Calibri" w:hAnsi="Calibri"/>
                      <w:color w:val="000000"/>
                      <w:w w:val="145"/>
                      <w:sz w:val="12"/>
                    </w:rPr>
                    <w:t>i grantit nga Buxheti i Kosovës.</w:t>
                  </w:r>
                </w:p>
                <w:p>
                  <w:pPr>
                    <w:numPr>
                      <w:ilvl w:val="0"/>
                      <w:numId w:val="14"/>
                    </w:numPr>
                    <w:tabs>
                      <w:tab w:pos="231" w:val="left" w:leader="none"/>
                    </w:tabs>
                    <w:spacing w:before="0"/>
                    <w:ind w:left="230" w:right="0" w:hanging="127"/>
                    <w:jc w:val="left"/>
                    <w:rPr>
                      <w:rFonts w:ascii="Calibri" w:hAnsi="Calibri"/>
                      <w:color w:val="000000"/>
                      <w:sz w:val="12"/>
                    </w:rPr>
                  </w:pPr>
                  <w:r>
                    <w:rPr>
                      <w:rFonts w:ascii="Calibri" w:hAnsi="Calibri"/>
                      <w:color w:val="000000"/>
                      <w:w w:val="145"/>
                      <w:sz w:val="12"/>
                    </w:rPr>
                    <w:t>Mungesë</w:t>
                  </w:r>
                  <w:r>
                    <w:rPr>
                      <w:rFonts w:ascii="Calibri" w:hAnsi="Calibri"/>
                      <w:color w:val="000000"/>
                      <w:spacing w:val="-7"/>
                      <w:w w:val="145"/>
                      <w:sz w:val="12"/>
                    </w:rPr>
                    <w:t> </w:t>
                  </w:r>
                  <w:r>
                    <w:rPr>
                      <w:rFonts w:ascii="Calibri" w:hAnsi="Calibri"/>
                      <w:color w:val="000000"/>
                      <w:w w:val="145"/>
                      <w:sz w:val="12"/>
                    </w:rPr>
                    <w:t>e</w:t>
                  </w:r>
                  <w:r>
                    <w:rPr>
                      <w:rFonts w:ascii="Calibri" w:hAnsi="Calibri"/>
                      <w:color w:val="000000"/>
                      <w:spacing w:val="-7"/>
                      <w:w w:val="145"/>
                      <w:sz w:val="12"/>
                    </w:rPr>
                    <w:t> </w:t>
                  </w:r>
                  <w:r>
                    <w:rPr>
                      <w:rFonts w:ascii="Calibri" w:hAnsi="Calibri"/>
                      <w:color w:val="000000"/>
                      <w:w w:val="145"/>
                      <w:sz w:val="12"/>
                    </w:rPr>
                    <w:t>kulturës</w:t>
                  </w:r>
                  <w:r>
                    <w:rPr>
                      <w:rFonts w:ascii="Calibri" w:hAnsi="Calibri"/>
                      <w:color w:val="000000"/>
                      <w:spacing w:val="-6"/>
                      <w:w w:val="145"/>
                      <w:sz w:val="12"/>
                    </w:rPr>
                    <w:t> </w:t>
                  </w:r>
                  <w:r>
                    <w:rPr>
                      <w:rFonts w:ascii="Calibri" w:hAnsi="Calibri"/>
                      <w:color w:val="000000"/>
                      <w:w w:val="145"/>
                      <w:sz w:val="12"/>
                    </w:rPr>
                    <w:t>së</w:t>
                  </w:r>
                  <w:r>
                    <w:rPr>
                      <w:rFonts w:ascii="Calibri" w:hAnsi="Calibri"/>
                      <w:color w:val="000000"/>
                      <w:spacing w:val="-7"/>
                      <w:w w:val="145"/>
                      <w:sz w:val="12"/>
                    </w:rPr>
                    <w:t> </w:t>
                  </w:r>
                  <w:r>
                    <w:rPr>
                      <w:rFonts w:ascii="Calibri" w:hAnsi="Calibri"/>
                      <w:color w:val="000000"/>
                      <w:w w:val="145"/>
                      <w:sz w:val="12"/>
                    </w:rPr>
                    <w:t>promovimit</w:t>
                  </w:r>
                  <w:r>
                    <w:rPr>
                      <w:rFonts w:ascii="Calibri" w:hAnsi="Calibri"/>
                      <w:color w:val="000000"/>
                      <w:spacing w:val="-7"/>
                      <w:w w:val="145"/>
                      <w:sz w:val="12"/>
                    </w:rPr>
                    <w:t> </w:t>
                  </w:r>
                  <w:r>
                    <w:rPr>
                      <w:rFonts w:ascii="Calibri" w:hAnsi="Calibri"/>
                      <w:color w:val="000000"/>
                      <w:w w:val="145"/>
                      <w:sz w:val="12"/>
                    </w:rPr>
                    <w:t>dhe</w:t>
                  </w:r>
                  <w:r>
                    <w:rPr>
                      <w:rFonts w:ascii="Calibri" w:hAnsi="Calibri"/>
                      <w:color w:val="000000"/>
                      <w:spacing w:val="-6"/>
                      <w:w w:val="145"/>
                      <w:sz w:val="12"/>
                    </w:rPr>
                    <w:t> </w:t>
                  </w:r>
                  <w:r>
                    <w:rPr>
                      <w:rFonts w:ascii="Calibri" w:hAnsi="Calibri"/>
                      <w:color w:val="000000"/>
                      <w:spacing w:val="-2"/>
                      <w:w w:val="145"/>
                      <w:sz w:val="12"/>
                    </w:rPr>
                    <w:t>konsumimit</w:t>
                  </w:r>
                </w:p>
                <w:p>
                  <w:pPr>
                    <w:spacing w:before="69"/>
                    <w:ind w:left="104" w:right="0" w:firstLine="0"/>
                    <w:jc w:val="left"/>
                    <w:rPr>
                      <w:rFonts w:ascii="Calibri" w:hAnsi="Calibri"/>
                      <w:color w:val="000000"/>
                      <w:sz w:val="12"/>
                    </w:rPr>
                  </w:pPr>
                  <w:r>
                    <w:rPr>
                      <w:rFonts w:ascii="Calibri" w:hAnsi="Calibri"/>
                      <w:color w:val="000000"/>
                      <w:spacing w:val="-2"/>
                      <w:w w:val="145"/>
                      <w:sz w:val="12"/>
                    </w:rPr>
                    <w:t>të</w:t>
                  </w:r>
                  <w:r>
                    <w:rPr>
                      <w:rFonts w:ascii="Calibri" w:hAnsi="Calibri"/>
                      <w:color w:val="000000"/>
                      <w:spacing w:val="1"/>
                      <w:w w:val="145"/>
                      <w:sz w:val="12"/>
                    </w:rPr>
                    <w:t> </w:t>
                  </w:r>
                  <w:r>
                    <w:rPr>
                      <w:rFonts w:ascii="Calibri" w:hAnsi="Calibri"/>
                      <w:color w:val="000000"/>
                      <w:spacing w:val="-2"/>
                      <w:w w:val="145"/>
                      <w:sz w:val="12"/>
                    </w:rPr>
                    <w:t>produkteve</w:t>
                  </w:r>
                  <w:r>
                    <w:rPr>
                      <w:rFonts w:ascii="Calibri" w:hAnsi="Calibri"/>
                      <w:color w:val="000000"/>
                      <w:spacing w:val="1"/>
                      <w:w w:val="145"/>
                      <w:sz w:val="12"/>
                    </w:rPr>
                    <w:t> </w:t>
                  </w:r>
                  <w:r>
                    <w:rPr>
                      <w:rFonts w:ascii="Calibri" w:hAnsi="Calibri"/>
                      <w:color w:val="000000"/>
                      <w:spacing w:val="-2"/>
                      <w:w w:val="145"/>
                      <w:sz w:val="12"/>
                    </w:rPr>
                    <w:t>vendore.</w:t>
                  </w:r>
                </w:p>
                <w:p>
                  <w:pPr>
                    <w:numPr>
                      <w:ilvl w:val="0"/>
                      <w:numId w:val="14"/>
                    </w:numPr>
                    <w:tabs>
                      <w:tab w:pos="231" w:val="left" w:leader="none"/>
                    </w:tabs>
                    <w:spacing w:line="352" w:lineRule="auto" w:before="68"/>
                    <w:ind w:left="104" w:right="285" w:firstLine="0"/>
                    <w:jc w:val="left"/>
                    <w:rPr>
                      <w:rFonts w:ascii="Calibri" w:hAnsi="Calibri"/>
                      <w:color w:val="000000"/>
                      <w:sz w:val="12"/>
                    </w:rPr>
                  </w:pPr>
                  <w:r>
                    <w:rPr>
                      <w:rFonts w:ascii="Calibri" w:hAnsi="Calibri"/>
                      <w:color w:val="000000"/>
                      <w:w w:val="145"/>
                      <w:sz w:val="12"/>
                    </w:rPr>
                    <w:t>Mos</w:t>
                  </w:r>
                  <w:r>
                    <w:rPr>
                      <w:rFonts w:ascii="Calibri" w:hAnsi="Calibri"/>
                      <w:color w:val="000000"/>
                      <w:spacing w:val="-7"/>
                      <w:w w:val="145"/>
                      <w:sz w:val="12"/>
                    </w:rPr>
                    <w:t> </w:t>
                  </w:r>
                  <w:r>
                    <w:rPr>
                      <w:rFonts w:ascii="Calibri" w:hAnsi="Calibri"/>
                      <w:color w:val="000000"/>
                      <w:w w:val="145"/>
                      <w:sz w:val="12"/>
                    </w:rPr>
                    <w:t>shtrirja</w:t>
                  </w:r>
                  <w:r>
                    <w:rPr>
                      <w:rFonts w:ascii="Calibri" w:hAnsi="Calibri"/>
                      <w:color w:val="000000"/>
                      <w:spacing w:val="-7"/>
                      <w:w w:val="145"/>
                      <w:sz w:val="12"/>
                    </w:rPr>
                    <w:t> </w:t>
                  </w:r>
                  <w:r>
                    <w:rPr>
                      <w:rFonts w:ascii="Calibri" w:hAnsi="Calibri"/>
                      <w:color w:val="000000"/>
                      <w:w w:val="145"/>
                      <w:sz w:val="12"/>
                    </w:rPr>
                    <w:t>e</w:t>
                  </w:r>
                  <w:r>
                    <w:rPr>
                      <w:rFonts w:ascii="Calibri" w:hAnsi="Calibri"/>
                      <w:color w:val="000000"/>
                      <w:spacing w:val="-7"/>
                      <w:w w:val="145"/>
                      <w:sz w:val="12"/>
                    </w:rPr>
                    <w:t> </w:t>
                  </w:r>
                  <w:r>
                    <w:rPr>
                      <w:rFonts w:ascii="Calibri" w:hAnsi="Calibri"/>
                      <w:color w:val="000000"/>
                      <w:w w:val="145"/>
                      <w:sz w:val="12"/>
                    </w:rPr>
                    <w:t>rrjetit</w:t>
                  </w:r>
                  <w:r>
                    <w:rPr>
                      <w:rFonts w:ascii="Calibri" w:hAnsi="Calibri"/>
                      <w:color w:val="000000"/>
                      <w:spacing w:val="-6"/>
                      <w:w w:val="145"/>
                      <w:sz w:val="12"/>
                    </w:rPr>
                    <w:t> </w:t>
                  </w:r>
                  <w:r>
                    <w:rPr>
                      <w:rFonts w:ascii="Calibri" w:hAnsi="Calibri"/>
                      <w:color w:val="000000"/>
                      <w:w w:val="145"/>
                      <w:sz w:val="12"/>
                    </w:rPr>
                    <w:t>të</w:t>
                  </w:r>
                  <w:r>
                    <w:rPr>
                      <w:rFonts w:ascii="Calibri" w:hAnsi="Calibri"/>
                      <w:color w:val="000000"/>
                      <w:spacing w:val="-7"/>
                      <w:w w:val="145"/>
                      <w:sz w:val="12"/>
                    </w:rPr>
                    <w:t> </w:t>
                  </w:r>
                  <w:r>
                    <w:rPr>
                      <w:rFonts w:ascii="Calibri" w:hAnsi="Calibri"/>
                      <w:color w:val="000000"/>
                      <w:w w:val="145"/>
                      <w:sz w:val="12"/>
                    </w:rPr>
                    <w:t>ujësjellësit</w:t>
                  </w:r>
                  <w:r>
                    <w:rPr>
                      <w:rFonts w:ascii="Calibri" w:hAnsi="Calibri"/>
                      <w:color w:val="000000"/>
                      <w:spacing w:val="-7"/>
                      <w:w w:val="145"/>
                      <w:sz w:val="12"/>
                    </w:rPr>
                    <w:t> </w:t>
                  </w:r>
                  <w:r>
                    <w:rPr>
                      <w:rFonts w:ascii="Calibri" w:hAnsi="Calibri"/>
                      <w:color w:val="000000"/>
                      <w:w w:val="145"/>
                      <w:sz w:val="12"/>
                    </w:rPr>
                    <w:t>dhe</w:t>
                  </w:r>
                  <w:r>
                    <w:rPr>
                      <w:rFonts w:ascii="Calibri" w:hAnsi="Calibri"/>
                      <w:color w:val="000000"/>
                      <w:spacing w:val="-5"/>
                      <w:w w:val="145"/>
                      <w:sz w:val="12"/>
                    </w:rPr>
                    <w:t> </w:t>
                  </w:r>
                  <w:r>
                    <w:rPr>
                      <w:rFonts w:ascii="Calibri" w:hAnsi="Calibri"/>
                      <w:color w:val="000000"/>
                      <w:w w:val="145"/>
                      <w:sz w:val="12"/>
                    </w:rPr>
                    <w:t>derdhja</w:t>
                  </w:r>
                  <w:r>
                    <w:rPr>
                      <w:rFonts w:ascii="Calibri" w:hAnsi="Calibri"/>
                      <w:color w:val="000000"/>
                      <w:spacing w:val="-6"/>
                      <w:w w:val="145"/>
                      <w:sz w:val="12"/>
                    </w:rPr>
                    <w:t> </w:t>
                  </w:r>
                  <w:r>
                    <w:rPr>
                      <w:rFonts w:ascii="Calibri" w:hAnsi="Calibri"/>
                      <w:color w:val="000000"/>
                      <w:w w:val="145"/>
                      <w:sz w:val="12"/>
                    </w:rPr>
                    <w:t>e</w:t>
                  </w:r>
                  <w:r>
                    <w:rPr>
                      <w:rFonts w:ascii="Calibri" w:hAnsi="Calibri"/>
                      <w:color w:val="000000"/>
                      <w:spacing w:val="-6"/>
                      <w:w w:val="145"/>
                      <w:sz w:val="12"/>
                    </w:rPr>
                    <w:t> </w:t>
                  </w:r>
                  <w:r>
                    <w:rPr>
                      <w:rFonts w:ascii="Calibri" w:hAnsi="Calibri"/>
                      <w:color w:val="000000"/>
                      <w:w w:val="145"/>
                      <w:sz w:val="12"/>
                    </w:rPr>
                    <w:t>ujërave</w:t>
                  </w:r>
                  <w:r>
                    <w:rPr>
                      <w:rFonts w:ascii="Calibri" w:hAnsi="Calibri"/>
                      <w:color w:val="000000"/>
                      <w:spacing w:val="-8"/>
                      <w:w w:val="145"/>
                      <w:sz w:val="12"/>
                    </w:rPr>
                    <w:t> </w:t>
                  </w:r>
                  <w:r>
                    <w:rPr>
                      <w:rFonts w:ascii="Calibri" w:hAnsi="Calibri"/>
                      <w:color w:val="000000"/>
                      <w:w w:val="145"/>
                      <w:sz w:val="12"/>
                    </w:rPr>
                    <w:t>të</w:t>
                  </w:r>
                  <w:r>
                    <w:rPr>
                      <w:rFonts w:ascii="Calibri" w:hAnsi="Calibri"/>
                      <w:color w:val="000000"/>
                      <w:spacing w:val="40"/>
                      <w:w w:val="145"/>
                      <w:sz w:val="12"/>
                    </w:rPr>
                    <w:t> </w:t>
                  </w:r>
                  <w:r>
                    <w:rPr>
                      <w:rFonts w:ascii="Calibri" w:hAnsi="Calibri"/>
                      <w:color w:val="000000"/>
                      <w:w w:val="145"/>
                      <w:sz w:val="12"/>
                    </w:rPr>
                    <w:t>zeza në lumenjë.</w:t>
                  </w:r>
                </w:p>
              </w:txbxContent>
            </v:textbox>
            <v:fill type="solid"/>
            <w10:wrap type="topAndBottom"/>
          </v:shape>
        </w:pict>
      </w:r>
    </w:p>
    <w:p>
      <w:pPr>
        <w:pStyle w:val="BodyText"/>
        <w:rPr>
          <w:rFonts w:ascii="Calibri"/>
          <w:b/>
          <w:sz w:val="20"/>
        </w:rPr>
      </w:pPr>
    </w:p>
    <w:p>
      <w:pPr>
        <w:pStyle w:val="BodyText"/>
        <w:spacing w:before="7"/>
        <w:rPr>
          <w:rFonts w:ascii="Calibri"/>
          <w:b/>
          <w:sz w:val="19"/>
        </w:rPr>
      </w:pPr>
      <w:r>
        <w:rPr/>
        <w:drawing>
          <wp:anchor distT="0" distB="0" distL="0" distR="0" allowOverlap="1" layoutInCell="1" locked="0" behindDoc="0" simplePos="0" relativeHeight="77">
            <wp:simplePos x="0" y="0"/>
            <wp:positionH relativeFrom="page">
              <wp:posOffset>914400</wp:posOffset>
            </wp:positionH>
            <wp:positionV relativeFrom="paragraph">
              <wp:posOffset>167550</wp:posOffset>
            </wp:positionV>
            <wp:extent cx="2683031" cy="3372421"/>
            <wp:effectExtent l="0" t="0" r="0" b="0"/>
            <wp:wrapTopAndBottom/>
            <wp:docPr id="35" name="image55.jpeg" descr="A green and black text  Description automatically generated"/>
            <wp:cNvGraphicFramePr>
              <a:graphicFrameLocks noChangeAspect="1"/>
            </wp:cNvGraphicFramePr>
            <a:graphic>
              <a:graphicData uri="http://schemas.openxmlformats.org/drawingml/2006/picture">
                <pic:pic>
                  <pic:nvPicPr>
                    <pic:cNvPr id="36" name="image55.jpeg"/>
                    <pic:cNvPicPr/>
                  </pic:nvPicPr>
                  <pic:blipFill>
                    <a:blip r:embed="rId78" cstate="print"/>
                    <a:stretch>
                      <a:fillRect/>
                    </a:stretch>
                  </pic:blipFill>
                  <pic:spPr>
                    <a:xfrm>
                      <a:off x="0" y="0"/>
                      <a:ext cx="2683031" cy="3372421"/>
                    </a:xfrm>
                    <a:prstGeom prst="rect">
                      <a:avLst/>
                    </a:prstGeom>
                  </pic:spPr>
                </pic:pic>
              </a:graphicData>
            </a:graphic>
          </wp:anchor>
        </w:drawing>
      </w:r>
      <w:r>
        <w:rPr/>
        <w:pict>
          <v:shape style="position:absolute;margin-left:299.25pt;margin-top:13.752969pt;width:234pt;height:268.5pt;mso-position-horizontal-relative:page;mso-position-vertical-relative:paragraph;z-index:-15688704;mso-wrap-distance-left:0;mso-wrap-distance-right:0" type="#_x0000_t202" id="docshape332" filled="true" fillcolor="#ff0000" stroked="false">
            <v:textbox inset="0,0,0,0">
              <w:txbxContent>
                <w:p>
                  <w:pPr>
                    <w:spacing w:before="107"/>
                    <w:ind w:left="106" w:right="0" w:firstLine="0"/>
                    <w:jc w:val="left"/>
                    <w:rPr>
                      <w:rFonts w:ascii="Calibri"/>
                      <w:color w:val="000000"/>
                      <w:sz w:val="17"/>
                    </w:rPr>
                  </w:pPr>
                  <w:r>
                    <w:rPr>
                      <w:rFonts w:ascii="Calibri"/>
                      <w:color w:val="000000"/>
                      <w:spacing w:val="-2"/>
                      <w:sz w:val="17"/>
                    </w:rPr>
                    <w:t>RREZIQET</w:t>
                  </w:r>
                </w:p>
                <w:p>
                  <w:pPr>
                    <w:numPr>
                      <w:ilvl w:val="0"/>
                      <w:numId w:val="15"/>
                    </w:numPr>
                    <w:tabs>
                      <w:tab w:pos="233" w:val="left" w:leader="none"/>
                    </w:tabs>
                    <w:spacing w:line="360" w:lineRule="auto" w:before="103"/>
                    <w:ind w:left="106" w:right="155" w:firstLine="0"/>
                    <w:jc w:val="left"/>
                    <w:rPr>
                      <w:rFonts w:ascii="Calibri" w:hAnsi="Calibri"/>
                      <w:color w:val="000000"/>
                      <w:sz w:val="17"/>
                    </w:rPr>
                  </w:pPr>
                  <w:r>
                    <w:rPr>
                      <w:rFonts w:ascii="Calibri" w:hAnsi="Calibri"/>
                      <w:color w:val="000000"/>
                      <w:sz w:val="17"/>
                    </w:rPr>
                    <w:t>Zbatimi I ulët i ligjeve dhe administrate e ngathtë e gjykatave</w:t>
                  </w:r>
                  <w:r>
                    <w:rPr>
                      <w:rFonts w:ascii="Calibri" w:hAnsi="Calibri"/>
                      <w:color w:val="000000"/>
                      <w:spacing w:val="40"/>
                      <w:sz w:val="17"/>
                    </w:rPr>
                    <w:t> </w:t>
                  </w:r>
                  <w:r>
                    <w:rPr>
                      <w:rFonts w:ascii="Calibri" w:hAnsi="Calibri"/>
                      <w:color w:val="000000"/>
                      <w:sz w:val="17"/>
                    </w:rPr>
                    <w:t>(proceset marrin vite).</w:t>
                  </w:r>
                </w:p>
                <w:p>
                  <w:pPr>
                    <w:numPr>
                      <w:ilvl w:val="0"/>
                      <w:numId w:val="15"/>
                    </w:numPr>
                    <w:tabs>
                      <w:tab w:pos="233" w:val="left" w:leader="none"/>
                    </w:tabs>
                    <w:spacing w:line="206" w:lineRule="exact" w:before="0"/>
                    <w:ind w:left="232" w:right="0" w:hanging="127"/>
                    <w:jc w:val="left"/>
                    <w:rPr>
                      <w:rFonts w:ascii="Calibri" w:hAnsi="Calibri"/>
                      <w:color w:val="000000"/>
                      <w:sz w:val="17"/>
                    </w:rPr>
                  </w:pPr>
                  <w:r>
                    <w:rPr>
                      <w:rFonts w:ascii="Calibri" w:hAnsi="Calibri"/>
                      <w:color w:val="000000"/>
                      <w:sz w:val="17"/>
                    </w:rPr>
                    <w:t>Migrim</w:t>
                  </w:r>
                  <w:r>
                    <w:rPr>
                      <w:rFonts w:ascii="Calibri" w:hAnsi="Calibri"/>
                      <w:color w:val="000000"/>
                      <w:spacing w:val="6"/>
                      <w:sz w:val="17"/>
                    </w:rPr>
                    <w:t> </w:t>
                  </w:r>
                  <w:r>
                    <w:rPr>
                      <w:rFonts w:ascii="Calibri" w:hAnsi="Calibri"/>
                      <w:color w:val="000000"/>
                      <w:sz w:val="17"/>
                    </w:rPr>
                    <w:t>I</w:t>
                  </w:r>
                  <w:r>
                    <w:rPr>
                      <w:rFonts w:ascii="Calibri" w:hAnsi="Calibri"/>
                      <w:color w:val="000000"/>
                      <w:spacing w:val="5"/>
                      <w:sz w:val="17"/>
                    </w:rPr>
                    <w:t> </w:t>
                  </w:r>
                  <w:r>
                    <w:rPr>
                      <w:rFonts w:ascii="Calibri" w:hAnsi="Calibri"/>
                      <w:color w:val="000000"/>
                      <w:spacing w:val="-2"/>
                      <w:sz w:val="17"/>
                    </w:rPr>
                    <w:t>rinisë.</w:t>
                  </w:r>
                </w:p>
                <w:p>
                  <w:pPr>
                    <w:numPr>
                      <w:ilvl w:val="0"/>
                      <w:numId w:val="15"/>
                    </w:numPr>
                    <w:tabs>
                      <w:tab w:pos="233" w:val="left" w:leader="none"/>
                    </w:tabs>
                    <w:spacing w:before="103"/>
                    <w:ind w:left="232" w:right="0" w:hanging="127"/>
                    <w:jc w:val="left"/>
                    <w:rPr>
                      <w:rFonts w:ascii="Calibri" w:hAnsi="Calibri"/>
                      <w:color w:val="000000"/>
                      <w:sz w:val="17"/>
                    </w:rPr>
                  </w:pPr>
                  <w:r>
                    <w:rPr>
                      <w:rFonts w:ascii="Calibri" w:hAnsi="Calibri"/>
                      <w:color w:val="000000"/>
                      <w:sz w:val="17"/>
                    </w:rPr>
                    <w:t>Zvogëlimi</w:t>
                  </w:r>
                  <w:r>
                    <w:rPr>
                      <w:rFonts w:ascii="Calibri" w:hAnsi="Calibri"/>
                      <w:color w:val="000000"/>
                      <w:spacing w:val="3"/>
                      <w:sz w:val="17"/>
                    </w:rPr>
                    <w:t> </w:t>
                  </w:r>
                  <w:r>
                    <w:rPr>
                      <w:rFonts w:ascii="Calibri" w:hAnsi="Calibri"/>
                      <w:color w:val="000000"/>
                      <w:sz w:val="17"/>
                    </w:rPr>
                    <w:t>i</w:t>
                  </w:r>
                  <w:r>
                    <w:rPr>
                      <w:rFonts w:ascii="Calibri" w:hAnsi="Calibri"/>
                      <w:color w:val="000000"/>
                      <w:spacing w:val="4"/>
                      <w:sz w:val="17"/>
                    </w:rPr>
                    <w:t> </w:t>
                  </w:r>
                  <w:r>
                    <w:rPr>
                      <w:rFonts w:ascii="Calibri" w:hAnsi="Calibri"/>
                      <w:color w:val="000000"/>
                      <w:sz w:val="17"/>
                    </w:rPr>
                    <w:t>vazhdueshëm</w:t>
                  </w:r>
                  <w:r>
                    <w:rPr>
                      <w:rFonts w:ascii="Calibri" w:hAnsi="Calibri"/>
                      <w:color w:val="000000"/>
                      <w:spacing w:val="4"/>
                      <w:sz w:val="17"/>
                    </w:rPr>
                    <w:t> </w:t>
                  </w:r>
                  <w:r>
                    <w:rPr>
                      <w:rFonts w:ascii="Calibri" w:hAnsi="Calibri"/>
                      <w:color w:val="000000"/>
                      <w:sz w:val="17"/>
                    </w:rPr>
                    <w:t>i</w:t>
                  </w:r>
                  <w:r>
                    <w:rPr>
                      <w:rFonts w:ascii="Calibri" w:hAnsi="Calibri"/>
                      <w:color w:val="000000"/>
                      <w:spacing w:val="4"/>
                      <w:sz w:val="17"/>
                    </w:rPr>
                    <w:t> </w:t>
                  </w:r>
                  <w:r>
                    <w:rPr>
                      <w:rFonts w:ascii="Calibri" w:hAnsi="Calibri"/>
                      <w:color w:val="000000"/>
                      <w:sz w:val="17"/>
                    </w:rPr>
                    <w:t>fondit</w:t>
                  </w:r>
                  <w:r>
                    <w:rPr>
                      <w:rFonts w:ascii="Calibri" w:hAnsi="Calibri"/>
                      <w:color w:val="000000"/>
                      <w:spacing w:val="3"/>
                      <w:sz w:val="17"/>
                    </w:rPr>
                    <w:t> </w:t>
                  </w:r>
                  <w:r>
                    <w:rPr>
                      <w:rFonts w:ascii="Calibri" w:hAnsi="Calibri"/>
                      <w:color w:val="000000"/>
                      <w:sz w:val="17"/>
                    </w:rPr>
                    <w:t>të</w:t>
                  </w:r>
                  <w:r>
                    <w:rPr>
                      <w:rFonts w:ascii="Calibri" w:hAnsi="Calibri"/>
                      <w:color w:val="000000"/>
                      <w:spacing w:val="4"/>
                      <w:sz w:val="17"/>
                    </w:rPr>
                    <w:t> </w:t>
                  </w:r>
                  <w:r>
                    <w:rPr>
                      <w:rFonts w:ascii="Calibri" w:hAnsi="Calibri"/>
                      <w:color w:val="000000"/>
                      <w:sz w:val="17"/>
                    </w:rPr>
                    <w:t>tokës</w:t>
                  </w:r>
                  <w:r>
                    <w:rPr>
                      <w:rFonts w:ascii="Calibri" w:hAnsi="Calibri"/>
                      <w:color w:val="000000"/>
                      <w:spacing w:val="7"/>
                      <w:sz w:val="17"/>
                    </w:rPr>
                    <w:t> </w:t>
                  </w:r>
                  <w:r>
                    <w:rPr>
                      <w:rFonts w:ascii="Calibri" w:hAnsi="Calibri"/>
                      <w:color w:val="000000"/>
                      <w:spacing w:val="-2"/>
                      <w:sz w:val="17"/>
                    </w:rPr>
                    <w:t>bujqësore.</w:t>
                  </w:r>
                </w:p>
                <w:p>
                  <w:pPr>
                    <w:numPr>
                      <w:ilvl w:val="0"/>
                      <w:numId w:val="15"/>
                    </w:numPr>
                    <w:tabs>
                      <w:tab w:pos="233" w:val="left" w:leader="none"/>
                    </w:tabs>
                    <w:spacing w:before="103"/>
                    <w:ind w:left="232" w:right="0" w:hanging="127"/>
                    <w:jc w:val="left"/>
                    <w:rPr>
                      <w:rFonts w:ascii="Calibri" w:hAnsi="Calibri"/>
                      <w:color w:val="000000"/>
                      <w:sz w:val="17"/>
                    </w:rPr>
                  </w:pPr>
                  <w:r>
                    <w:rPr>
                      <w:rFonts w:ascii="Calibri" w:hAnsi="Calibri"/>
                      <w:color w:val="000000"/>
                      <w:sz w:val="17"/>
                    </w:rPr>
                    <w:t>Teknologjia</w:t>
                  </w:r>
                  <w:r>
                    <w:rPr>
                      <w:rFonts w:ascii="Calibri" w:hAnsi="Calibri"/>
                      <w:color w:val="000000"/>
                      <w:spacing w:val="3"/>
                      <w:sz w:val="17"/>
                    </w:rPr>
                    <w:t> </w:t>
                  </w:r>
                  <w:r>
                    <w:rPr>
                      <w:rFonts w:ascii="Calibri" w:hAnsi="Calibri"/>
                      <w:color w:val="000000"/>
                      <w:sz w:val="17"/>
                    </w:rPr>
                    <w:t>e</w:t>
                  </w:r>
                  <w:r>
                    <w:rPr>
                      <w:rFonts w:ascii="Calibri" w:hAnsi="Calibri"/>
                      <w:color w:val="000000"/>
                      <w:spacing w:val="5"/>
                      <w:sz w:val="17"/>
                    </w:rPr>
                    <w:t> </w:t>
                  </w:r>
                  <w:r>
                    <w:rPr>
                      <w:rFonts w:ascii="Calibri" w:hAnsi="Calibri"/>
                      <w:color w:val="000000"/>
                      <w:sz w:val="17"/>
                    </w:rPr>
                    <w:t>vjetërsuar</w:t>
                  </w:r>
                  <w:r>
                    <w:rPr>
                      <w:rFonts w:ascii="Calibri" w:hAnsi="Calibri"/>
                      <w:color w:val="000000"/>
                      <w:spacing w:val="3"/>
                      <w:sz w:val="17"/>
                    </w:rPr>
                    <w:t> </w:t>
                  </w:r>
                  <w:r>
                    <w:rPr>
                      <w:rFonts w:ascii="Calibri" w:hAnsi="Calibri"/>
                      <w:color w:val="000000"/>
                      <w:sz w:val="17"/>
                    </w:rPr>
                    <w:t>për</w:t>
                  </w:r>
                  <w:r>
                    <w:rPr>
                      <w:rFonts w:ascii="Calibri" w:hAnsi="Calibri"/>
                      <w:color w:val="000000"/>
                      <w:spacing w:val="4"/>
                      <w:sz w:val="17"/>
                    </w:rPr>
                    <w:t> </w:t>
                  </w:r>
                  <w:r>
                    <w:rPr>
                      <w:rFonts w:ascii="Calibri" w:hAnsi="Calibri"/>
                      <w:color w:val="000000"/>
                      <w:sz w:val="17"/>
                    </w:rPr>
                    <w:t>punimin</w:t>
                  </w:r>
                  <w:r>
                    <w:rPr>
                      <w:rFonts w:ascii="Calibri" w:hAnsi="Calibri"/>
                      <w:color w:val="000000"/>
                      <w:spacing w:val="6"/>
                      <w:sz w:val="17"/>
                    </w:rPr>
                    <w:t> </w:t>
                  </w:r>
                  <w:r>
                    <w:rPr>
                      <w:rFonts w:ascii="Calibri" w:hAnsi="Calibri"/>
                      <w:color w:val="000000"/>
                      <w:sz w:val="17"/>
                    </w:rPr>
                    <w:t>e</w:t>
                  </w:r>
                  <w:r>
                    <w:rPr>
                      <w:rFonts w:ascii="Calibri" w:hAnsi="Calibri"/>
                      <w:color w:val="000000"/>
                      <w:spacing w:val="4"/>
                      <w:sz w:val="17"/>
                    </w:rPr>
                    <w:t> </w:t>
                  </w:r>
                  <w:r>
                    <w:rPr>
                      <w:rFonts w:ascii="Calibri" w:hAnsi="Calibri"/>
                      <w:color w:val="000000"/>
                      <w:sz w:val="17"/>
                    </w:rPr>
                    <w:t>tokës</w:t>
                  </w:r>
                  <w:r>
                    <w:rPr>
                      <w:rFonts w:ascii="Calibri" w:hAnsi="Calibri"/>
                      <w:color w:val="000000"/>
                      <w:spacing w:val="3"/>
                      <w:sz w:val="17"/>
                    </w:rPr>
                    <w:t> </w:t>
                  </w:r>
                  <w:r>
                    <w:rPr>
                      <w:rFonts w:ascii="Calibri" w:hAnsi="Calibri"/>
                      <w:color w:val="000000"/>
                      <w:spacing w:val="-2"/>
                      <w:sz w:val="17"/>
                    </w:rPr>
                    <w:t>bujqësore.</w:t>
                  </w:r>
                </w:p>
                <w:p>
                  <w:pPr>
                    <w:numPr>
                      <w:ilvl w:val="0"/>
                      <w:numId w:val="15"/>
                    </w:numPr>
                    <w:tabs>
                      <w:tab w:pos="233" w:val="left" w:leader="none"/>
                    </w:tabs>
                    <w:spacing w:before="103"/>
                    <w:ind w:left="232" w:right="0" w:hanging="127"/>
                    <w:jc w:val="left"/>
                    <w:rPr>
                      <w:rFonts w:ascii="Calibri"/>
                      <w:color w:val="000000"/>
                      <w:sz w:val="17"/>
                    </w:rPr>
                  </w:pPr>
                  <w:r>
                    <w:rPr>
                      <w:rFonts w:ascii="Calibri"/>
                      <w:color w:val="000000"/>
                      <w:sz w:val="17"/>
                    </w:rPr>
                    <w:t>Ekonomia</w:t>
                  </w:r>
                  <w:r>
                    <w:rPr>
                      <w:rFonts w:ascii="Calibri"/>
                      <w:color w:val="000000"/>
                      <w:spacing w:val="4"/>
                      <w:sz w:val="17"/>
                    </w:rPr>
                    <w:t> </w:t>
                  </w:r>
                  <w:r>
                    <w:rPr>
                      <w:rFonts w:ascii="Calibri"/>
                      <w:color w:val="000000"/>
                      <w:sz w:val="17"/>
                    </w:rPr>
                    <w:t>joformale</w:t>
                  </w:r>
                  <w:r>
                    <w:rPr>
                      <w:rFonts w:ascii="Calibri"/>
                      <w:color w:val="000000"/>
                      <w:spacing w:val="4"/>
                      <w:sz w:val="17"/>
                    </w:rPr>
                    <w:t> </w:t>
                  </w:r>
                  <w:r>
                    <w:rPr>
                      <w:rFonts w:ascii="Calibri"/>
                      <w:color w:val="000000"/>
                      <w:sz w:val="17"/>
                    </w:rPr>
                    <w:t>dhe</w:t>
                  </w:r>
                  <w:r>
                    <w:rPr>
                      <w:rFonts w:ascii="Calibri"/>
                      <w:color w:val="000000"/>
                      <w:spacing w:val="5"/>
                      <w:sz w:val="17"/>
                    </w:rPr>
                    <w:t> </w:t>
                  </w:r>
                  <w:r>
                    <w:rPr>
                      <w:rFonts w:ascii="Calibri"/>
                      <w:color w:val="000000"/>
                      <w:sz w:val="17"/>
                    </w:rPr>
                    <w:t>evazioni</w:t>
                  </w:r>
                  <w:r>
                    <w:rPr>
                      <w:rFonts w:ascii="Calibri"/>
                      <w:color w:val="000000"/>
                      <w:spacing w:val="8"/>
                      <w:sz w:val="17"/>
                    </w:rPr>
                    <w:t> </w:t>
                  </w:r>
                  <w:r>
                    <w:rPr>
                      <w:rFonts w:ascii="Calibri"/>
                      <w:color w:val="000000"/>
                      <w:spacing w:val="-2"/>
                      <w:sz w:val="17"/>
                    </w:rPr>
                    <w:t>fiscal.</w:t>
                  </w:r>
                </w:p>
                <w:p>
                  <w:pPr>
                    <w:numPr>
                      <w:ilvl w:val="0"/>
                      <w:numId w:val="15"/>
                    </w:numPr>
                    <w:tabs>
                      <w:tab w:pos="233" w:val="left" w:leader="none"/>
                    </w:tabs>
                    <w:spacing w:line="360" w:lineRule="auto" w:before="103"/>
                    <w:ind w:left="106" w:right="256" w:firstLine="0"/>
                    <w:jc w:val="left"/>
                    <w:rPr>
                      <w:rFonts w:ascii="Calibri" w:hAnsi="Calibri"/>
                      <w:color w:val="000000"/>
                      <w:sz w:val="17"/>
                    </w:rPr>
                  </w:pPr>
                  <w:r>
                    <w:rPr>
                      <w:rFonts w:ascii="Calibri" w:hAnsi="Calibri"/>
                      <w:color w:val="000000"/>
                      <w:sz w:val="17"/>
                    </w:rPr>
                    <w:t>Konkurrencë jo e drejtë si pasojë e prezencës së ekonomisë</w:t>
                  </w:r>
                  <w:r>
                    <w:rPr>
                      <w:rFonts w:ascii="Calibri" w:hAnsi="Calibri"/>
                      <w:color w:val="000000"/>
                      <w:spacing w:val="40"/>
                      <w:sz w:val="17"/>
                    </w:rPr>
                    <w:t> </w:t>
                  </w:r>
                  <w:r>
                    <w:rPr>
                      <w:rFonts w:ascii="Calibri" w:hAnsi="Calibri"/>
                      <w:color w:val="000000"/>
                      <w:spacing w:val="-2"/>
                      <w:sz w:val="17"/>
                    </w:rPr>
                    <w:t>joformale</w:t>
                  </w:r>
                </w:p>
                <w:p>
                  <w:pPr>
                    <w:numPr>
                      <w:ilvl w:val="0"/>
                      <w:numId w:val="15"/>
                    </w:numPr>
                    <w:tabs>
                      <w:tab w:pos="233" w:val="left" w:leader="none"/>
                    </w:tabs>
                    <w:spacing w:line="206" w:lineRule="exact" w:before="0"/>
                    <w:ind w:left="232" w:right="0" w:hanging="127"/>
                    <w:jc w:val="left"/>
                    <w:rPr>
                      <w:rFonts w:ascii="Calibri" w:hAnsi="Calibri"/>
                      <w:color w:val="000000"/>
                      <w:sz w:val="17"/>
                    </w:rPr>
                  </w:pPr>
                  <w:r>
                    <w:rPr>
                      <w:rFonts w:ascii="Calibri" w:hAnsi="Calibri"/>
                      <w:color w:val="000000"/>
                      <w:sz w:val="17"/>
                    </w:rPr>
                    <w:t>Zvogëlimi</w:t>
                  </w:r>
                  <w:r>
                    <w:rPr>
                      <w:rFonts w:ascii="Calibri" w:hAnsi="Calibri"/>
                      <w:color w:val="000000"/>
                      <w:spacing w:val="2"/>
                      <w:sz w:val="17"/>
                    </w:rPr>
                    <w:t> </w:t>
                  </w:r>
                  <w:r>
                    <w:rPr>
                      <w:rFonts w:ascii="Calibri" w:hAnsi="Calibri"/>
                      <w:color w:val="000000"/>
                      <w:sz w:val="17"/>
                    </w:rPr>
                    <w:t>i</w:t>
                  </w:r>
                  <w:r>
                    <w:rPr>
                      <w:rFonts w:ascii="Calibri" w:hAnsi="Calibri"/>
                      <w:color w:val="000000"/>
                      <w:spacing w:val="3"/>
                      <w:sz w:val="17"/>
                    </w:rPr>
                    <w:t> </w:t>
                  </w:r>
                  <w:r>
                    <w:rPr>
                      <w:rFonts w:ascii="Calibri" w:hAnsi="Calibri"/>
                      <w:color w:val="000000"/>
                      <w:sz w:val="17"/>
                    </w:rPr>
                    <w:t>interesimit</w:t>
                  </w:r>
                  <w:r>
                    <w:rPr>
                      <w:rFonts w:ascii="Calibri" w:hAnsi="Calibri"/>
                      <w:color w:val="000000"/>
                      <w:spacing w:val="4"/>
                      <w:sz w:val="17"/>
                    </w:rPr>
                    <w:t> </w:t>
                  </w:r>
                  <w:r>
                    <w:rPr>
                      <w:rFonts w:ascii="Calibri" w:hAnsi="Calibri"/>
                      <w:color w:val="000000"/>
                      <w:sz w:val="17"/>
                    </w:rPr>
                    <w:t>të</w:t>
                  </w:r>
                  <w:r>
                    <w:rPr>
                      <w:rFonts w:ascii="Calibri" w:hAnsi="Calibri"/>
                      <w:color w:val="000000"/>
                      <w:spacing w:val="4"/>
                      <w:sz w:val="17"/>
                    </w:rPr>
                    <w:t> </w:t>
                  </w:r>
                  <w:r>
                    <w:rPr>
                      <w:rFonts w:ascii="Calibri" w:hAnsi="Calibri"/>
                      <w:color w:val="000000"/>
                      <w:sz w:val="17"/>
                    </w:rPr>
                    <w:t>donatorëve</w:t>
                  </w:r>
                  <w:r>
                    <w:rPr>
                      <w:rFonts w:ascii="Calibri" w:hAnsi="Calibri"/>
                      <w:color w:val="000000"/>
                      <w:spacing w:val="3"/>
                      <w:sz w:val="17"/>
                    </w:rPr>
                    <w:t> </w:t>
                  </w:r>
                  <w:r>
                    <w:rPr>
                      <w:rFonts w:ascii="Calibri" w:hAnsi="Calibri"/>
                      <w:color w:val="000000"/>
                      <w:sz w:val="17"/>
                    </w:rPr>
                    <w:t>për</w:t>
                  </w:r>
                  <w:r>
                    <w:rPr>
                      <w:rFonts w:ascii="Calibri" w:hAnsi="Calibri"/>
                      <w:color w:val="000000"/>
                      <w:spacing w:val="3"/>
                      <w:sz w:val="17"/>
                    </w:rPr>
                    <w:t> </w:t>
                  </w:r>
                  <w:r>
                    <w:rPr>
                      <w:rFonts w:ascii="Calibri" w:hAnsi="Calibri"/>
                      <w:color w:val="000000"/>
                      <w:spacing w:val="-2"/>
                      <w:sz w:val="17"/>
                    </w:rPr>
                    <w:t>investime</w:t>
                  </w:r>
                </w:p>
                <w:p>
                  <w:pPr>
                    <w:numPr>
                      <w:ilvl w:val="0"/>
                      <w:numId w:val="15"/>
                    </w:numPr>
                    <w:tabs>
                      <w:tab w:pos="233" w:val="left" w:leader="none"/>
                    </w:tabs>
                    <w:spacing w:before="104"/>
                    <w:ind w:left="232" w:right="0" w:hanging="127"/>
                    <w:jc w:val="left"/>
                    <w:rPr>
                      <w:rFonts w:ascii="Calibri" w:hAnsi="Calibri"/>
                      <w:color w:val="000000"/>
                      <w:sz w:val="17"/>
                    </w:rPr>
                  </w:pPr>
                  <w:r>
                    <w:rPr>
                      <w:rFonts w:ascii="Calibri" w:hAnsi="Calibri"/>
                      <w:color w:val="000000"/>
                      <w:sz w:val="17"/>
                    </w:rPr>
                    <w:t>Rënie</w:t>
                  </w:r>
                  <w:r>
                    <w:rPr>
                      <w:rFonts w:ascii="Calibri" w:hAnsi="Calibri"/>
                      <w:color w:val="000000"/>
                      <w:spacing w:val="5"/>
                      <w:sz w:val="17"/>
                    </w:rPr>
                    <w:t> </w:t>
                  </w:r>
                  <w:r>
                    <w:rPr>
                      <w:rFonts w:ascii="Calibri" w:hAnsi="Calibri"/>
                      <w:color w:val="000000"/>
                      <w:sz w:val="17"/>
                    </w:rPr>
                    <w:t>e</w:t>
                  </w:r>
                  <w:r>
                    <w:rPr>
                      <w:rFonts w:ascii="Calibri" w:hAnsi="Calibri"/>
                      <w:color w:val="000000"/>
                      <w:spacing w:val="4"/>
                      <w:sz w:val="17"/>
                    </w:rPr>
                    <w:t> </w:t>
                  </w:r>
                  <w:r>
                    <w:rPr>
                      <w:rFonts w:ascii="Calibri" w:hAnsi="Calibri"/>
                      <w:color w:val="000000"/>
                      <w:sz w:val="17"/>
                    </w:rPr>
                    <w:t>nivelit</w:t>
                  </w:r>
                  <w:r>
                    <w:rPr>
                      <w:rFonts w:ascii="Calibri" w:hAnsi="Calibri"/>
                      <w:color w:val="000000"/>
                      <w:spacing w:val="4"/>
                      <w:sz w:val="17"/>
                    </w:rPr>
                    <w:t> </w:t>
                  </w:r>
                  <w:r>
                    <w:rPr>
                      <w:rFonts w:ascii="Calibri" w:hAnsi="Calibri"/>
                      <w:color w:val="000000"/>
                      <w:sz w:val="17"/>
                    </w:rPr>
                    <w:t>të</w:t>
                  </w:r>
                  <w:r>
                    <w:rPr>
                      <w:rFonts w:ascii="Calibri" w:hAnsi="Calibri"/>
                      <w:color w:val="000000"/>
                      <w:spacing w:val="5"/>
                      <w:sz w:val="17"/>
                    </w:rPr>
                    <w:t> </w:t>
                  </w:r>
                  <w:r>
                    <w:rPr>
                      <w:rFonts w:ascii="Calibri" w:hAnsi="Calibri"/>
                      <w:color w:val="000000"/>
                      <w:sz w:val="17"/>
                    </w:rPr>
                    <w:t>arsimimit</w:t>
                  </w:r>
                  <w:r>
                    <w:rPr>
                      <w:rFonts w:ascii="Calibri" w:hAnsi="Calibri"/>
                      <w:color w:val="000000"/>
                      <w:spacing w:val="4"/>
                      <w:sz w:val="17"/>
                    </w:rPr>
                    <w:t> </w:t>
                  </w:r>
                  <w:r>
                    <w:rPr>
                      <w:rFonts w:ascii="Calibri" w:hAnsi="Calibri"/>
                      <w:color w:val="000000"/>
                      <w:sz w:val="17"/>
                    </w:rPr>
                    <w:t>nga</w:t>
                  </w:r>
                  <w:r>
                    <w:rPr>
                      <w:rFonts w:ascii="Calibri" w:hAnsi="Calibri"/>
                      <w:color w:val="000000"/>
                      <w:spacing w:val="2"/>
                      <w:sz w:val="17"/>
                    </w:rPr>
                    <w:t> </w:t>
                  </w:r>
                  <w:r>
                    <w:rPr>
                      <w:rFonts w:ascii="Calibri" w:hAnsi="Calibri"/>
                      <w:color w:val="000000"/>
                      <w:sz w:val="17"/>
                    </w:rPr>
                    <w:t>viti</w:t>
                  </w:r>
                  <w:r>
                    <w:rPr>
                      <w:rFonts w:ascii="Calibri" w:hAnsi="Calibri"/>
                      <w:color w:val="000000"/>
                      <w:spacing w:val="4"/>
                      <w:sz w:val="17"/>
                    </w:rPr>
                    <w:t> </w:t>
                  </w:r>
                  <w:r>
                    <w:rPr>
                      <w:rFonts w:ascii="Calibri" w:hAnsi="Calibri"/>
                      <w:color w:val="000000"/>
                      <w:sz w:val="17"/>
                    </w:rPr>
                    <w:t>në</w:t>
                  </w:r>
                  <w:r>
                    <w:rPr>
                      <w:rFonts w:ascii="Calibri" w:hAnsi="Calibri"/>
                      <w:color w:val="000000"/>
                      <w:spacing w:val="7"/>
                      <w:sz w:val="17"/>
                    </w:rPr>
                    <w:t> </w:t>
                  </w:r>
                  <w:r>
                    <w:rPr>
                      <w:rFonts w:ascii="Calibri" w:hAnsi="Calibri"/>
                      <w:color w:val="000000"/>
                      <w:spacing w:val="-4"/>
                      <w:sz w:val="17"/>
                    </w:rPr>
                    <w:t>vit.</w:t>
                  </w:r>
                </w:p>
                <w:p>
                  <w:pPr>
                    <w:numPr>
                      <w:ilvl w:val="0"/>
                      <w:numId w:val="15"/>
                    </w:numPr>
                    <w:tabs>
                      <w:tab w:pos="233" w:val="left" w:leader="none"/>
                    </w:tabs>
                    <w:spacing w:before="103"/>
                    <w:ind w:left="232" w:right="0" w:hanging="127"/>
                    <w:jc w:val="left"/>
                    <w:rPr>
                      <w:rFonts w:ascii="Calibri"/>
                      <w:color w:val="000000"/>
                      <w:sz w:val="17"/>
                    </w:rPr>
                  </w:pPr>
                  <w:r>
                    <w:rPr>
                      <w:rFonts w:ascii="Calibri"/>
                      <w:color w:val="000000"/>
                      <w:sz w:val="17"/>
                    </w:rPr>
                    <w:t>Emigrimi</w:t>
                  </w:r>
                  <w:r>
                    <w:rPr>
                      <w:rFonts w:ascii="Calibri"/>
                      <w:color w:val="000000"/>
                      <w:spacing w:val="3"/>
                      <w:sz w:val="17"/>
                    </w:rPr>
                    <w:t> </w:t>
                  </w:r>
                  <w:r>
                    <w:rPr>
                      <w:rFonts w:ascii="Calibri"/>
                      <w:color w:val="000000"/>
                      <w:sz w:val="17"/>
                    </w:rPr>
                    <w:t>i</w:t>
                  </w:r>
                  <w:r>
                    <w:rPr>
                      <w:rFonts w:ascii="Calibri"/>
                      <w:color w:val="000000"/>
                      <w:spacing w:val="4"/>
                      <w:sz w:val="17"/>
                    </w:rPr>
                    <w:t> </w:t>
                  </w:r>
                  <w:r>
                    <w:rPr>
                      <w:rFonts w:ascii="Calibri"/>
                      <w:color w:val="000000"/>
                      <w:sz w:val="17"/>
                    </w:rPr>
                    <w:t>kuadrove</w:t>
                  </w:r>
                  <w:r>
                    <w:rPr>
                      <w:rFonts w:ascii="Calibri"/>
                      <w:color w:val="000000"/>
                      <w:spacing w:val="6"/>
                      <w:sz w:val="17"/>
                    </w:rPr>
                    <w:t> </w:t>
                  </w:r>
                  <w:r>
                    <w:rPr>
                      <w:rFonts w:ascii="Calibri"/>
                      <w:color w:val="000000"/>
                      <w:spacing w:val="-2"/>
                      <w:sz w:val="17"/>
                    </w:rPr>
                    <w:t>profesionale.</w:t>
                  </w:r>
                </w:p>
              </w:txbxContent>
            </v:textbox>
            <v:fill type="solid"/>
            <w10:wrap type="topAndBottom"/>
          </v:shape>
        </w:pict>
      </w:r>
    </w:p>
    <w:p>
      <w:pPr>
        <w:spacing w:after="0"/>
        <w:rPr>
          <w:rFonts w:ascii="Calibri"/>
          <w:sz w:val="19"/>
        </w:rPr>
        <w:sectPr>
          <w:pgSz w:w="12240" w:h="15840"/>
          <w:pgMar w:header="0" w:footer="990" w:top="1420" w:bottom="1180" w:left="700" w:right="0"/>
        </w:sectPr>
      </w:pPr>
    </w:p>
    <w:p>
      <w:pPr>
        <w:tabs>
          <w:tab w:pos="10131" w:val="left" w:leader="none"/>
        </w:tabs>
        <w:spacing w:before="89"/>
        <w:ind w:left="710" w:right="0" w:firstLine="0"/>
        <w:jc w:val="left"/>
        <w:rPr>
          <w:rFonts w:ascii="Cambria"/>
          <w:b/>
          <w:sz w:val="21"/>
        </w:rPr>
      </w:pPr>
      <w:r>
        <w:rPr>
          <w:color w:val="000000"/>
          <w:spacing w:val="-23"/>
          <w:sz w:val="21"/>
          <w:shd w:fill="EAB8A3" w:color="auto" w:val="clear"/>
        </w:rPr>
        <w:t> </w:t>
      </w:r>
      <w:r>
        <w:rPr>
          <w:rFonts w:ascii="Cambria"/>
          <w:b/>
          <w:color w:val="000000"/>
          <w:sz w:val="21"/>
          <w:shd w:fill="EAB8A3" w:color="auto" w:val="clear"/>
        </w:rPr>
        <w:t>Vizioni</w:t>
      </w:r>
      <w:r>
        <w:rPr>
          <w:rFonts w:ascii="Cambria"/>
          <w:b/>
          <w:color w:val="000000"/>
          <w:spacing w:val="-4"/>
          <w:sz w:val="21"/>
          <w:shd w:fill="EAB8A3" w:color="auto" w:val="clear"/>
        </w:rPr>
        <w:t> </w:t>
      </w:r>
      <w:r>
        <w:rPr>
          <w:rFonts w:ascii="Cambria"/>
          <w:b/>
          <w:color w:val="000000"/>
          <w:sz w:val="21"/>
          <w:shd w:fill="EAB8A3" w:color="auto" w:val="clear"/>
        </w:rPr>
        <w:t>dhe</w:t>
      </w:r>
      <w:r>
        <w:rPr>
          <w:rFonts w:ascii="Cambria"/>
          <w:b/>
          <w:color w:val="000000"/>
          <w:spacing w:val="-3"/>
          <w:sz w:val="21"/>
          <w:shd w:fill="EAB8A3" w:color="auto" w:val="clear"/>
        </w:rPr>
        <w:t> </w:t>
      </w:r>
      <w:r>
        <w:rPr>
          <w:rFonts w:ascii="Cambria"/>
          <w:b/>
          <w:color w:val="000000"/>
          <w:spacing w:val="-2"/>
          <w:sz w:val="21"/>
          <w:shd w:fill="EAB8A3" w:color="auto" w:val="clear"/>
        </w:rPr>
        <w:t>Misioni</w:t>
      </w:r>
      <w:r>
        <w:rPr>
          <w:rFonts w:ascii="Cambria"/>
          <w:b/>
          <w:color w:val="000000"/>
          <w:sz w:val="21"/>
          <w:shd w:fill="EAB8A3" w:color="auto" w:val="clear"/>
        </w:rPr>
        <w:tab/>
      </w:r>
    </w:p>
    <w:p>
      <w:pPr>
        <w:pStyle w:val="BodyText"/>
        <w:rPr>
          <w:rFonts w:ascii="Cambria"/>
          <w:b/>
          <w:sz w:val="21"/>
        </w:rPr>
      </w:pPr>
    </w:p>
    <w:p>
      <w:pPr>
        <w:pStyle w:val="BodyText"/>
        <w:ind w:left="740"/>
      </w:pPr>
      <w:r>
        <w:rPr/>
        <w:t>Hani</w:t>
      </w:r>
      <w:r>
        <w:rPr>
          <w:spacing w:val="-3"/>
        </w:rPr>
        <w:t> </w:t>
      </w:r>
      <w:r>
        <w:rPr/>
        <w:t>i</w:t>
      </w:r>
      <w:r>
        <w:rPr>
          <w:spacing w:val="-1"/>
        </w:rPr>
        <w:t> </w:t>
      </w:r>
      <w:r>
        <w:rPr/>
        <w:t>Elezit</w:t>
      </w:r>
      <w:r>
        <w:rPr>
          <w:spacing w:val="-1"/>
        </w:rPr>
        <w:t> </w:t>
      </w:r>
      <w:r>
        <w:rPr/>
        <w:t>do</w:t>
      </w:r>
      <w:r>
        <w:rPr>
          <w:spacing w:val="-1"/>
        </w:rPr>
        <w:t> </w:t>
      </w:r>
      <w:r>
        <w:rPr/>
        <w:t>të</w:t>
      </w:r>
      <w:r>
        <w:rPr>
          <w:spacing w:val="-1"/>
        </w:rPr>
        <w:t> </w:t>
      </w:r>
      <w:r>
        <w:rPr/>
        <w:t>formsohet</w:t>
      </w:r>
      <w:r>
        <w:rPr>
          <w:spacing w:val="-1"/>
        </w:rPr>
        <w:t> </w:t>
      </w:r>
      <w:r>
        <w:rPr/>
        <w:t>në</w:t>
      </w:r>
      <w:r>
        <w:rPr>
          <w:spacing w:val="-1"/>
        </w:rPr>
        <w:t> </w:t>
      </w:r>
      <w:r>
        <w:rPr/>
        <w:t>rajon</w:t>
      </w:r>
      <w:r>
        <w:rPr>
          <w:spacing w:val="-1"/>
        </w:rPr>
        <w:t> </w:t>
      </w:r>
      <w:r>
        <w:rPr/>
        <w:t>si</w:t>
      </w:r>
      <w:r>
        <w:rPr>
          <w:spacing w:val="-1"/>
        </w:rPr>
        <w:t> </w:t>
      </w:r>
      <w:r>
        <w:rPr/>
        <w:t>nyje</w:t>
      </w:r>
      <w:r>
        <w:rPr>
          <w:spacing w:val="-1"/>
        </w:rPr>
        <w:t> </w:t>
      </w:r>
      <w:r>
        <w:rPr/>
        <w:t>ekonomike,</w:t>
      </w:r>
      <w:r>
        <w:rPr>
          <w:spacing w:val="-1"/>
        </w:rPr>
        <w:t> </w:t>
      </w:r>
      <w:r>
        <w:rPr/>
        <w:t>duke</w:t>
      </w:r>
      <w:r>
        <w:rPr>
          <w:spacing w:val="-1"/>
        </w:rPr>
        <w:t> </w:t>
      </w:r>
      <w:r>
        <w:rPr/>
        <w:t>ndërtuar</w:t>
      </w:r>
      <w:r>
        <w:rPr>
          <w:spacing w:val="-1"/>
        </w:rPr>
        <w:t> </w:t>
      </w:r>
      <w:r>
        <w:rPr/>
        <w:t>zhvillimin</w:t>
      </w:r>
      <w:r>
        <w:rPr>
          <w:spacing w:val="-1"/>
        </w:rPr>
        <w:t> </w:t>
      </w:r>
      <w:r>
        <w:rPr/>
        <w:t>e</w:t>
      </w:r>
      <w:r>
        <w:rPr>
          <w:spacing w:val="-1"/>
        </w:rPr>
        <w:t> </w:t>
      </w:r>
      <w:r>
        <w:rPr/>
        <w:t>saj</w:t>
      </w:r>
      <w:r>
        <w:rPr>
          <w:spacing w:val="-2"/>
        </w:rPr>
        <w:t> </w:t>
      </w:r>
      <w:r>
        <w:rPr>
          <w:spacing w:val="-5"/>
        </w:rPr>
        <w:t>mbi</w:t>
      </w:r>
    </w:p>
    <w:p>
      <w:pPr>
        <w:pStyle w:val="BodyText"/>
        <w:ind w:left="740" w:right="1435"/>
      </w:pPr>
      <w:r>
        <w:rPr/>
        <w:t>industrin</w:t>
      </w:r>
      <w:r>
        <w:rPr>
          <w:spacing w:val="-3"/>
        </w:rPr>
        <w:t> </w:t>
      </w:r>
      <w:r>
        <w:rPr/>
        <w:t>prodhuese,</w:t>
      </w:r>
      <w:r>
        <w:rPr>
          <w:spacing w:val="-3"/>
        </w:rPr>
        <w:t> </w:t>
      </w:r>
      <w:r>
        <w:rPr/>
        <w:t>bujqësinë,</w:t>
      </w:r>
      <w:r>
        <w:rPr>
          <w:spacing w:val="-5"/>
        </w:rPr>
        <w:t> </w:t>
      </w:r>
      <w:r>
        <w:rPr/>
        <w:t>trashëgiminë</w:t>
      </w:r>
      <w:r>
        <w:rPr>
          <w:spacing w:val="-3"/>
        </w:rPr>
        <w:t> </w:t>
      </w:r>
      <w:r>
        <w:rPr/>
        <w:t>dhe</w:t>
      </w:r>
      <w:r>
        <w:rPr>
          <w:spacing w:val="-4"/>
        </w:rPr>
        <w:t> </w:t>
      </w:r>
      <w:r>
        <w:rPr/>
        <w:t>duke</w:t>
      </w:r>
      <w:r>
        <w:rPr>
          <w:spacing w:val="-3"/>
        </w:rPr>
        <w:t> </w:t>
      </w:r>
      <w:r>
        <w:rPr/>
        <w:t>shfrytzuar</w:t>
      </w:r>
      <w:r>
        <w:rPr>
          <w:spacing w:val="-3"/>
        </w:rPr>
        <w:t> </w:t>
      </w:r>
      <w:r>
        <w:rPr/>
        <w:t>pozitën</w:t>
      </w:r>
      <w:r>
        <w:rPr>
          <w:spacing w:val="-4"/>
        </w:rPr>
        <w:t> </w:t>
      </w:r>
      <w:r>
        <w:rPr/>
        <w:t>gjeografike</w:t>
      </w:r>
      <w:r>
        <w:rPr>
          <w:spacing w:val="-4"/>
        </w:rPr>
        <w:t> </w:t>
      </w:r>
      <w:r>
        <w:rPr/>
        <w:t>të</w:t>
      </w:r>
      <w:r>
        <w:rPr>
          <w:spacing w:val="-3"/>
        </w:rPr>
        <w:t> </w:t>
      </w:r>
      <w:r>
        <w:rPr/>
        <w:t>saj</w:t>
      </w:r>
      <w:r>
        <w:rPr>
          <w:spacing w:val="-3"/>
        </w:rPr>
        <w:t> </w:t>
      </w:r>
      <w:r>
        <w:rPr/>
        <w:t>rreth potencialeve natyrore për një</w:t>
      </w:r>
      <w:r>
        <w:rPr>
          <w:spacing w:val="40"/>
        </w:rPr>
        <w:t> </w:t>
      </w:r>
      <w:r>
        <w:rPr/>
        <w:t>shtrirje të horizontit në shumë sektor.</w:t>
      </w:r>
    </w:p>
    <w:p>
      <w:pPr>
        <w:pStyle w:val="BodyText"/>
        <w:rPr>
          <w:sz w:val="20"/>
        </w:rPr>
      </w:pPr>
    </w:p>
    <w:p>
      <w:pPr>
        <w:pStyle w:val="BodyText"/>
        <w:spacing w:before="2"/>
        <w:rPr>
          <w:sz w:val="20"/>
        </w:rPr>
      </w:pPr>
    </w:p>
    <w:p>
      <w:pPr>
        <w:pStyle w:val="Heading2"/>
        <w:spacing w:before="90"/>
      </w:pPr>
      <w:r>
        <w:rPr>
          <w:color w:val="000000"/>
          <w:spacing w:val="-30"/>
          <w:shd w:fill="EAB8A3" w:color="auto" w:val="clear"/>
        </w:rPr>
        <w:t> </w:t>
      </w:r>
      <w:r>
        <w:rPr>
          <w:color w:val="000000"/>
          <w:shd w:fill="EAB8A3" w:color="auto" w:val="clear"/>
        </w:rPr>
        <w:t>Monitorimi</w:t>
      </w:r>
      <w:r>
        <w:rPr>
          <w:color w:val="000000"/>
          <w:spacing w:val="-7"/>
          <w:shd w:fill="EAB8A3" w:color="auto" w:val="clear"/>
        </w:rPr>
        <w:t> </w:t>
      </w:r>
      <w:r>
        <w:rPr>
          <w:color w:val="000000"/>
          <w:shd w:fill="EAB8A3" w:color="auto" w:val="clear"/>
        </w:rPr>
        <w:t>dhe</w:t>
      </w:r>
      <w:r>
        <w:rPr>
          <w:color w:val="000000"/>
          <w:spacing w:val="-4"/>
          <w:shd w:fill="EAB8A3" w:color="auto" w:val="clear"/>
        </w:rPr>
        <w:t> </w:t>
      </w:r>
      <w:r>
        <w:rPr>
          <w:color w:val="000000"/>
          <w:shd w:fill="EAB8A3" w:color="auto" w:val="clear"/>
        </w:rPr>
        <w:t>vlerësimi</w:t>
      </w:r>
      <w:r>
        <w:rPr>
          <w:color w:val="000000"/>
          <w:spacing w:val="-4"/>
          <w:shd w:fill="EAB8A3" w:color="auto" w:val="clear"/>
        </w:rPr>
        <w:t> </w:t>
      </w:r>
      <w:r>
        <w:rPr>
          <w:color w:val="000000"/>
          <w:shd w:fill="EAB8A3" w:color="auto" w:val="clear"/>
        </w:rPr>
        <w:t>i</w:t>
      </w:r>
      <w:r>
        <w:rPr>
          <w:color w:val="000000"/>
          <w:spacing w:val="-5"/>
          <w:shd w:fill="EAB8A3" w:color="auto" w:val="clear"/>
        </w:rPr>
        <w:t> </w:t>
      </w:r>
      <w:r>
        <w:rPr>
          <w:color w:val="000000"/>
          <w:shd w:fill="EAB8A3" w:color="auto" w:val="clear"/>
        </w:rPr>
        <w:t>zbatimit</w:t>
      </w:r>
      <w:r>
        <w:rPr>
          <w:color w:val="000000"/>
          <w:spacing w:val="-4"/>
          <w:shd w:fill="EAB8A3" w:color="auto" w:val="clear"/>
        </w:rPr>
        <w:t> </w:t>
      </w:r>
      <w:r>
        <w:rPr>
          <w:color w:val="000000"/>
          <w:shd w:fill="EAB8A3" w:color="auto" w:val="clear"/>
        </w:rPr>
        <w:t>të</w:t>
      </w:r>
      <w:r>
        <w:rPr>
          <w:color w:val="000000"/>
          <w:spacing w:val="-5"/>
          <w:shd w:fill="EAB8A3" w:color="auto" w:val="clear"/>
        </w:rPr>
        <w:t> </w:t>
      </w:r>
      <w:r>
        <w:rPr>
          <w:color w:val="000000"/>
          <w:shd w:fill="EAB8A3" w:color="auto" w:val="clear"/>
        </w:rPr>
        <w:t>Strategjisë</w:t>
      </w:r>
      <w:r>
        <w:rPr>
          <w:color w:val="000000"/>
          <w:spacing w:val="-4"/>
          <w:shd w:fill="EAB8A3" w:color="auto" w:val="clear"/>
        </w:rPr>
        <w:t> </w:t>
      </w:r>
      <w:r>
        <w:rPr>
          <w:color w:val="000000"/>
          <w:shd w:fill="EAB8A3" w:color="auto" w:val="clear"/>
        </w:rPr>
        <w:t>së</w:t>
      </w:r>
      <w:r>
        <w:rPr>
          <w:color w:val="000000"/>
          <w:spacing w:val="-3"/>
          <w:shd w:fill="EAB8A3" w:color="auto" w:val="clear"/>
        </w:rPr>
        <w:t> </w:t>
      </w:r>
      <w:r>
        <w:rPr>
          <w:color w:val="000000"/>
          <w:shd w:fill="EAB8A3" w:color="auto" w:val="clear"/>
        </w:rPr>
        <w:t>Zhvillimit</w:t>
      </w:r>
      <w:r>
        <w:rPr>
          <w:color w:val="000000"/>
          <w:spacing w:val="-4"/>
          <w:shd w:fill="EAB8A3" w:color="auto" w:val="clear"/>
        </w:rPr>
        <w:t> </w:t>
      </w:r>
      <w:r>
        <w:rPr>
          <w:color w:val="000000"/>
          <w:shd w:fill="EAB8A3" w:color="auto" w:val="clear"/>
        </w:rPr>
        <w:t>Ekonomik</w:t>
      </w:r>
      <w:r>
        <w:rPr>
          <w:color w:val="000000"/>
          <w:spacing w:val="-4"/>
          <w:shd w:fill="EAB8A3" w:color="auto" w:val="clear"/>
        </w:rPr>
        <w:t> </w:t>
      </w:r>
      <w:r>
        <w:rPr>
          <w:color w:val="000000"/>
          <w:shd w:fill="EAB8A3" w:color="auto" w:val="clear"/>
        </w:rPr>
        <w:t>Lokal</w:t>
      </w:r>
      <w:r>
        <w:rPr>
          <w:color w:val="000000"/>
          <w:spacing w:val="-4"/>
          <w:shd w:fill="EAB8A3" w:color="auto" w:val="clear"/>
        </w:rPr>
        <w:t> </w:t>
      </w:r>
      <w:r>
        <w:rPr>
          <w:color w:val="000000"/>
          <w:shd w:fill="EAB8A3" w:color="auto" w:val="clear"/>
        </w:rPr>
        <w:t>2023-</w:t>
      </w:r>
      <w:r>
        <w:rPr>
          <w:color w:val="000000"/>
          <w:spacing w:val="-4"/>
          <w:shd w:fill="EAB8A3" w:color="auto" w:val="clear"/>
        </w:rPr>
        <w:t>2027</w:t>
      </w:r>
      <w:r>
        <w:rPr>
          <w:color w:val="000000"/>
          <w:spacing w:val="80"/>
          <w:shd w:fill="EAB8A3" w:color="auto" w:val="clear"/>
        </w:rPr>
        <w:t> </w:t>
      </w:r>
    </w:p>
    <w:p>
      <w:pPr>
        <w:pStyle w:val="BodyText"/>
        <w:spacing w:before="2"/>
        <w:rPr>
          <w:b/>
          <w:sz w:val="22"/>
        </w:rPr>
      </w:pPr>
    </w:p>
    <w:p>
      <w:pPr>
        <w:pStyle w:val="BodyText"/>
        <w:spacing w:line="288" w:lineRule="auto"/>
        <w:ind w:left="740" w:right="1449"/>
      </w:pPr>
      <w:r>
        <w:rPr/>
        <w:t>Monitorimi dhe vlerësimi i zbatimit të Strategjisë së Zhvillimit Ekonomik Lokal 2023-2027 për komunën e Hani I Elezit ka edhe planin e vet të zbatimit</w:t>
      </w:r>
      <w:r>
        <w:rPr>
          <w:spacing w:val="40"/>
        </w:rPr>
        <w:t> </w:t>
      </w:r>
      <w:r>
        <w:rPr/>
        <w:t>që mbulon periudhën 2023-2027, i cili përbëhet nga aktivitetet, afati i zbatimit të tyre, kostoja totale, burimi i financimit dhe institucionet udhëheqëse që do realizojnë. Plani i zbatimit të strategjisë do të rishikohet në baza vjetore në kuadër të planifikimit të monitorimit që përcaktohet në strategji. Struktura për monitorimin</w:t>
      </w:r>
      <w:r>
        <w:rPr>
          <w:spacing w:val="-6"/>
        </w:rPr>
        <w:t> </w:t>
      </w:r>
      <w:r>
        <w:rPr/>
        <w:t>e</w:t>
      </w:r>
      <w:r>
        <w:rPr>
          <w:spacing w:val="-4"/>
        </w:rPr>
        <w:t> </w:t>
      </w:r>
      <w:r>
        <w:rPr/>
        <w:t>zbatimit</w:t>
      </w:r>
      <w:r>
        <w:rPr>
          <w:spacing w:val="-4"/>
        </w:rPr>
        <w:t> </w:t>
      </w:r>
      <w:r>
        <w:rPr/>
        <w:t>të</w:t>
      </w:r>
      <w:r>
        <w:rPr>
          <w:spacing w:val="-4"/>
        </w:rPr>
        <w:t> </w:t>
      </w:r>
      <w:r>
        <w:rPr/>
        <w:t>strategjisë</w:t>
      </w:r>
      <w:r>
        <w:rPr>
          <w:spacing w:val="-2"/>
        </w:rPr>
        <w:t> </w:t>
      </w:r>
      <w:r>
        <w:rPr/>
        <w:t>për</w:t>
      </w:r>
      <w:r>
        <w:rPr>
          <w:spacing w:val="-3"/>
        </w:rPr>
        <w:t> </w:t>
      </w:r>
      <w:r>
        <w:rPr/>
        <w:t>zhvillim</w:t>
      </w:r>
      <w:r>
        <w:rPr>
          <w:spacing w:val="-4"/>
        </w:rPr>
        <w:t> </w:t>
      </w:r>
      <w:r>
        <w:rPr/>
        <w:t>ekonomik</w:t>
      </w:r>
      <w:r>
        <w:rPr>
          <w:spacing w:val="-5"/>
        </w:rPr>
        <w:t> </w:t>
      </w:r>
      <w:r>
        <w:rPr/>
        <w:t>lokal</w:t>
      </w:r>
      <w:r>
        <w:rPr>
          <w:spacing w:val="-3"/>
        </w:rPr>
        <w:t> </w:t>
      </w:r>
      <w:r>
        <w:rPr/>
        <w:t>përbëhet</w:t>
      </w:r>
      <w:r>
        <w:rPr>
          <w:spacing w:val="-4"/>
        </w:rPr>
        <w:t> </w:t>
      </w:r>
      <w:r>
        <w:rPr/>
        <w:t>nga</w:t>
      </w:r>
      <w:r>
        <w:rPr>
          <w:spacing w:val="-3"/>
        </w:rPr>
        <w:t> </w:t>
      </w:r>
      <w:r>
        <w:rPr/>
        <w:t>indikatorët</w:t>
      </w:r>
      <w:r>
        <w:rPr>
          <w:spacing w:val="-4"/>
        </w:rPr>
        <w:t> </w:t>
      </w:r>
      <w:r>
        <w:rPr/>
        <w:t>matës, të cilët janë të vendosur në nivel të objektivave specifike në strategji. Megjithëse komuna do të monitorojë</w:t>
      </w:r>
      <w:r>
        <w:rPr>
          <w:spacing w:val="-3"/>
        </w:rPr>
        <w:t> </w:t>
      </w:r>
      <w:r>
        <w:rPr/>
        <w:t>dhe</w:t>
      </w:r>
      <w:r>
        <w:rPr>
          <w:spacing w:val="-2"/>
        </w:rPr>
        <w:t> </w:t>
      </w:r>
      <w:r>
        <w:rPr/>
        <w:t>paraqesë</w:t>
      </w:r>
      <w:r>
        <w:rPr>
          <w:spacing w:val="-2"/>
        </w:rPr>
        <w:t> </w:t>
      </w:r>
      <w:r>
        <w:rPr/>
        <w:t>raporte</w:t>
      </w:r>
      <w:r>
        <w:rPr>
          <w:spacing w:val="-2"/>
        </w:rPr>
        <w:t> </w:t>
      </w:r>
      <w:r>
        <w:rPr/>
        <w:t>të</w:t>
      </w:r>
      <w:r>
        <w:rPr>
          <w:spacing w:val="-2"/>
        </w:rPr>
        <w:t> </w:t>
      </w:r>
      <w:r>
        <w:rPr/>
        <w:t>rregullta,</w:t>
      </w:r>
      <w:r>
        <w:rPr>
          <w:spacing w:val="-2"/>
        </w:rPr>
        <w:t> </w:t>
      </w:r>
      <w:r>
        <w:rPr/>
        <w:t>është</w:t>
      </w:r>
      <w:r>
        <w:rPr>
          <w:spacing w:val="-2"/>
        </w:rPr>
        <w:t> </w:t>
      </w:r>
      <w:r>
        <w:rPr/>
        <w:t>e</w:t>
      </w:r>
      <w:r>
        <w:rPr>
          <w:spacing w:val="-2"/>
        </w:rPr>
        <w:t> </w:t>
      </w:r>
      <w:r>
        <w:rPr/>
        <w:t>domosdoshme</w:t>
      </w:r>
      <w:r>
        <w:rPr>
          <w:spacing w:val="-2"/>
        </w:rPr>
        <w:t> </w:t>
      </w:r>
      <w:r>
        <w:rPr/>
        <w:t>të</w:t>
      </w:r>
      <w:r>
        <w:rPr>
          <w:spacing w:val="-2"/>
        </w:rPr>
        <w:t> </w:t>
      </w:r>
      <w:r>
        <w:rPr/>
        <w:t>vlerësohet</w:t>
      </w:r>
      <w:r>
        <w:rPr>
          <w:spacing w:val="-2"/>
        </w:rPr>
        <w:t> </w:t>
      </w:r>
      <w:r>
        <w:rPr/>
        <w:t>nëse</w:t>
      </w:r>
      <w:r>
        <w:rPr>
          <w:spacing w:val="-2"/>
        </w:rPr>
        <w:t> </w:t>
      </w:r>
      <w:r>
        <w:rPr/>
        <w:t>janë</w:t>
      </w:r>
      <w:r>
        <w:rPr>
          <w:spacing w:val="-2"/>
        </w:rPr>
        <w:t> </w:t>
      </w:r>
      <w:r>
        <w:rPr/>
        <w:t>arritur rezultatet e synuara. Komuna do ti monitoroj gjatë gjithë kohës së implementimit.</w:t>
      </w:r>
    </w:p>
    <w:p>
      <w:pPr>
        <w:spacing w:after="0" w:line="288" w:lineRule="auto"/>
        <w:sectPr>
          <w:pgSz w:w="12240" w:h="15840"/>
          <w:pgMar w:header="0" w:footer="990" w:top="1820" w:bottom="1180" w:left="700" w:right="0"/>
        </w:sectPr>
      </w:pPr>
    </w:p>
    <w:p>
      <w:pPr>
        <w:pStyle w:val="BodyText"/>
        <w:rPr>
          <w:sz w:val="20"/>
        </w:rPr>
      </w:pPr>
    </w:p>
    <w:p>
      <w:pPr>
        <w:pStyle w:val="BodyText"/>
        <w:rPr>
          <w:sz w:val="20"/>
        </w:rPr>
      </w:pPr>
    </w:p>
    <w:p>
      <w:pPr>
        <w:pStyle w:val="BodyText"/>
        <w:spacing w:before="8"/>
        <w:rPr>
          <w:sz w:val="27"/>
        </w:rPr>
      </w:pPr>
    </w:p>
    <w:p>
      <w:pPr>
        <w:pStyle w:val="BodyText"/>
        <w:spacing w:before="90"/>
        <w:ind w:left="2489" w:right="2746"/>
        <w:jc w:val="center"/>
      </w:pPr>
      <w:r>
        <w:rPr/>
        <w:t>Tabela</w:t>
      </w:r>
      <w:r>
        <w:rPr>
          <w:spacing w:val="-1"/>
        </w:rPr>
        <w:t> </w:t>
      </w:r>
      <w:r>
        <w:rPr/>
        <w:t>1:</w:t>
      </w:r>
      <w:r>
        <w:rPr>
          <w:spacing w:val="-1"/>
        </w:rPr>
        <w:t> </w:t>
      </w:r>
      <w:r>
        <w:rPr/>
        <w:t>Plani</w:t>
      </w:r>
      <w:r>
        <w:rPr>
          <w:spacing w:val="-1"/>
        </w:rPr>
        <w:t> </w:t>
      </w:r>
      <w:r>
        <w:rPr/>
        <w:t>i</w:t>
      </w:r>
      <w:r>
        <w:rPr>
          <w:spacing w:val="-1"/>
        </w:rPr>
        <w:t> </w:t>
      </w:r>
      <w:r>
        <w:rPr/>
        <w:t>aktiviteteve dhe</w:t>
      </w:r>
      <w:r>
        <w:rPr>
          <w:spacing w:val="-1"/>
        </w:rPr>
        <w:t> </w:t>
      </w:r>
      <w:r>
        <w:rPr/>
        <w:t>veprimeve</w:t>
      </w:r>
      <w:r>
        <w:rPr>
          <w:spacing w:val="-1"/>
        </w:rPr>
        <w:t> </w:t>
      </w:r>
      <w:r>
        <w:rPr/>
        <w:t>për</w:t>
      </w:r>
      <w:r>
        <w:rPr>
          <w:spacing w:val="-1"/>
        </w:rPr>
        <w:t> </w:t>
      </w:r>
      <w:r>
        <w:rPr/>
        <w:t>periudhën 2023-2027</w:t>
      </w:r>
      <w:r>
        <w:rPr>
          <w:spacing w:val="-1"/>
        </w:rPr>
        <w:t> </w:t>
      </w:r>
      <w:r>
        <w:rPr/>
        <w:t>dhe</w:t>
      </w:r>
      <w:r>
        <w:rPr>
          <w:spacing w:val="-2"/>
        </w:rPr>
        <w:t> </w:t>
      </w:r>
      <w:r>
        <w:rPr/>
        <w:t>përgjegjësit</w:t>
      </w:r>
      <w:r>
        <w:rPr>
          <w:spacing w:val="-1"/>
        </w:rPr>
        <w:t> </w:t>
      </w:r>
      <w:r>
        <w:rPr/>
        <w:t>për </w:t>
      </w:r>
      <w:r>
        <w:rPr>
          <w:spacing w:val="-2"/>
        </w:rPr>
        <w:t>implementim</w:t>
      </w:r>
    </w:p>
    <w:p>
      <w:pPr>
        <w:pStyle w:val="BodyText"/>
        <w:spacing w:before="11"/>
        <w:rPr>
          <w:sz w:val="20"/>
        </w:rPr>
      </w:pPr>
    </w:p>
    <w:p>
      <w:pPr>
        <w:spacing w:before="0"/>
        <w:ind w:left="2485" w:right="2746" w:firstLine="0"/>
        <w:jc w:val="center"/>
        <w:rPr>
          <w:b/>
          <w:sz w:val="28"/>
        </w:rPr>
      </w:pPr>
      <w:r>
        <w:rPr>
          <w:b/>
          <w:sz w:val="28"/>
        </w:rPr>
        <w:t>ZHVILLIMI</w:t>
      </w:r>
      <w:r>
        <w:rPr>
          <w:b/>
          <w:spacing w:val="-16"/>
          <w:sz w:val="28"/>
        </w:rPr>
        <w:t> </w:t>
      </w:r>
      <w:r>
        <w:rPr>
          <w:b/>
          <w:sz w:val="28"/>
        </w:rPr>
        <w:t>EKONOMIK</w:t>
      </w:r>
      <w:r>
        <w:rPr>
          <w:b/>
          <w:spacing w:val="-13"/>
          <w:sz w:val="28"/>
        </w:rPr>
        <w:t> </w:t>
      </w:r>
      <w:r>
        <w:rPr>
          <w:b/>
          <w:sz w:val="28"/>
        </w:rPr>
        <w:t>DHE</w:t>
      </w:r>
      <w:r>
        <w:rPr>
          <w:b/>
          <w:spacing w:val="-15"/>
          <w:sz w:val="28"/>
        </w:rPr>
        <w:t> </w:t>
      </w:r>
      <w:r>
        <w:rPr>
          <w:b/>
          <w:spacing w:val="-2"/>
          <w:sz w:val="28"/>
        </w:rPr>
        <w:t>TURIZMI</w:t>
      </w:r>
    </w:p>
    <w:p>
      <w:pPr>
        <w:pStyle w:val="BodyText"/>
        <w:spacing w:before="10"/>
        <w:rPr>
          <w:b/>
          <w:sz w:val="20"/>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1261"/>
        <w:gridCol w:w="2611"/>
        <w:gridCol w:w="3419"/>
        <w:gridCol w:w="1799"/>
        <w:gridCol w:w="1889"/>
        <w:gridCol w:w="1829"/>
        <w:gridCol w:w="2023"/>
      </w:tblGrid>
      <w:tr>
        <w:trPr>
          <w:trHeight w:val="729" w:hRule="atLeast"/>
        </w:trPr>
        <w:tc>
          <w:tcPr>
            <w:tcW w:w="1261" w:type="dxa"/>
            <w:tcBorders>
              <w:bottom w:val="single" w:sz="12" w:space="0" w:color="DAD5B1"/>
            </w:tcBorders>
            <w:shd w:val="clear" w:color="auto" w:fill="F9DFC2"/>
          </w:tcPr>
          <w:p>
            <w:pPr>
              <w:pStyle w:val="TableParagraph"/>
              <w:spacing w:before="1"/>
              <w:ind w:left="224"/>
              <w:rPr>
                <w:b/>
                <w:sz w:val="20"/>
              </w:rPr>
            </w:pPr>
            <w:r>
              <w:rPr>
                <w:b/>
                <w:spacing w:val="-2"/>
                <w:sz w:val="20"/>
              </w:rPr>
              <w:t>Objektivi</w:t>
            </w:r>
          </w:p>
        </w:tc>
        <w:tc>
          <w:tcPr>
            <w:tcW w:w="2611" w:type="dxa"/>
            <w:tcBorders>
              <w:bottom w:val="single" w:sz="12" w:space="0" w:color="DAD5B1"/>
            </w:tcBorders>
            <w:shd w:val="clear" w:color="auto" w:fill="F9DFC2"/>
          </w:tcPr>
          <w:p>
            <w:pPr>
              <w:pStyle w:val="TableParagraph"/>
              <w:spacing w:before="1"/>
              <w:ind w:left="766"/>
              <w:rPr>
                <w:b/>
                <w:sz w:val="20"/>
              </w:rPr>
            </w:pPr>
            <w:r>
              <w:rPr>
                <w:b/>
                <w:spacing w:val="-2"/>
                <w:sz w:val="20"/>
              </w:rPr>
              <w:t>Pritshmëritë</w:t>
            </w:r>
          </w:p>
        </w:tc>
        <w:tc>
          <w:tcPr>
            <w:tcW w:w="3419" w:type="dxa"/>
            <w:tcBorders>
              <w:bottom w:val="single" w:sz="12" w:space="0" w:color="DAD5B1"/>
            </w:tcBorders>
            <w:shd w:val="clear" w:color="auto" w:fill="F9DFC2"/>
          </w:tcPr>
          <w:p>
            <w:pPr>
              <w:pStyle w:val="TableParagraph"/>
              <w:spacing w:before="1"/>
              <w:ind w:left="926"/>
              <w:rPr>
                <w:b/>
                <w:sz w:val="20"/>
              </w:rPr>
            </w:pPr>
            <w:r>
              <w:rPr>
                <w:b/>
                <w:spacing w:val="-2"/>
                <w:sz w:val="20"/>
              </w:rPr>
              <w:t>Aktiviteti/Projekti</w:t>
            </w:r>
          </w:p>
        </w:tc>
        <w:tc>
          <w:tcPr>
            <w:tcW w:w="1799" w:type="dxa"/>
            <w:tcBorders>
              <w:bottom w:val="single" w:sz="12" w:space="0" w:color="DAD5B1"/>
            </w:tcBorders>
            <w:shd w:val="clear" w:color="auto" w:fill="F9DFC2"/>
          </w:tcPr>
          <w:p>
            <w:pPr>
              <w:pStyle w:val="TableParagraph"/>
              <w:spacing w:line="276" w:lineRule="auto" w:before="1"/>
              <w:ind w:left="323" w:right="240" w:hanging="64"/>
              <w:rPr>
                <w:b/>
                <w:sz w:val="20"/>
              </w:rPr>
            </w:pPr>
            <w:r>
              <w:rPr>
                <w:b/>
                <w:sz w:val="20"/>
              </w:rPr>
              <w:t>Përgjegjësi</w:t>
            </w:r>
            <w:r>
              <w:rPr>
                <w:b/>
                <w:spacing w:val="-13"/>
                <w:sz w:val="20"/>
              </w:rPr>
              <w:t> </w:t>
            </w:r>
            <w:r>
              <w:rPr>
                <w:b/>
                <w:sz w:val="20"/>
              </w:rPr>
              <w:t>për </w:t>
            </w:r>
            <w:r>
              <w:rPr>
                <w:b/>
                <w:spacing w:val="-2"/>
                <w:sz w:val="20"/>
              </w:rPr>
              <w:t>Implementim</w:t>
            </w:r>
          </w:p>
        </w:tc>
        <w:tc>
          <w:tcPr>
            <w:tcW w:w="1889" w:type="dxa"/>
            <w:tcBorders>
              <w:bottom w:val="single" w:sz="12" w:space="0" w:color="DAD5B1"/>
            </w:tcBorders>
            <w:shd w:val="clear" w:color="auto" w:fill="F9DFC2"/>
          </w:tcPr>
          <w:p>
            <w:pPr>
              <w:pStyle w:val="TableParagraph"/>
              <w:spacing w:before="1"/>
              <w:ind w:left="275"/>
              <w:rPr>
                <w:b/>
                <w:sz w:val="20"/>
              </w:rPr>
            </w:pPr>
            <w:r>
              <w:rPr>
                <w:b/>
                <w:sz w:val="20"/>
              </w:rPr>
              <w:t>Afati i</w:t>
            </w:r>
            <w:r>
              <w:rPr>
                <w:b/>
                <w:spacing w:val="-1"/>
                <w:sz w:val="20"/>
              </w:rPr>
              <w:t> </w:t>
            </w:r>
            <w:r>
              <w:rPr>
                <w:b/>
                <w:spacing w:val="-2"/>
                <w:sz w:val="20"/>
              </w:rPr>
              <w:t>Zbatimit</w:t>
            </w:r>
          </w:p>
        </w:tc>
        <w:tc>
          <w:tcPr>
            <w:tcW w:w="1829" w:type="dxa"/>
            <w:tcBorders>
              <w:bottom w:val="single" w:sz="12" w:space="0" w:color="DAD5B1"/>
            </w:tcBorders>
            <w:shd w:val="clear" w:color="auto" w:fill="F9DFC2"/>
          </w:tcPr>
          <w:p>
            <w:pPr>
              <w:pStyle w:val="TableParagraph"/>
              <w:spacing w:line="276" w:lineRule="auto" w:before="1"/>
              <w:ind w:left="390" w:firstLine="219"/>
              <w:rPr>
                <w:b/>
                <w:sz w:val="20"/>
              </w:rPr>
            </w:pPr>
            <w:r>
              <w:rPr>
                <w:b/>
                <w:sz w:val="20"/>
              </w:rPr>
              <w:t>Vlera e </w:t>
            </w:r>
            <w:r>
              <w:rPr>
                <w:b/>
                <w:spacing w:val="-2"/>
                <w:sz w:val="20"/>
              </w:rPr>
              <w:t>parashikuar</w:t>
            </w:r>
          </w:p>
        </w:tc>
        <w:tc>
          <w:tcPr>
            <w:tcW w:w="2023" w:type="dxa"/>
            <w:tcBorders>
              <w:bottom w:val="single" w:sz="12" w:space="0" w:color="DAD5B1"/>
            </w:tcBorders>
            <w:shd w:val="clear" w:color="auto" w:fill="F9DFC2"/>
          </w:tcPr>
          <w:p>
            <w:pPr>
              <w:pStyle w:val="TableParagraph"/>
              <w:spacing w:before="1"/>
              <w:ind w:left="165"/>
              <w:rPr>
                <w:b/>
                <w:sz w:val="20"/>
              </w:rPr>
            </w:pPr>
            <w:r>
              <w:rPr>
                <w:b/>
                <w:sz w:val="20"/>
              </w:rPr>
              <w:t>Burimi</w:t>
            </w:r>
            <w:r>
              <w:rPr>
                <w:b/>
                <w:spacing w:val="-2"/>
                <w:sz w:val="20"/>
              </w:rPr>
              <w:t> </w:t>
            </w:r>
            <w:r>
              <w:rPr>
                <w:b/>
                <w:sz w:val="20"/>
              </w:rPr>
              <w:t>i </w:t>
            </w:r>
            <w:r>
              <w:rPr>
                <w:b/>
                <w:spacing w:val="-2"/>
                <w:sz w:val="20"/>
              </w:rPr>
              <w:t>Financimit</w:t>
            </w:r>
          </w:p>
        </w:tc>
      </w:tr>
      <w:tr>
        <w:trPr>
          <w:trHeight w:val="725" w:hRule="atLeast"/>
        </w:trPr>
        <w:tc>
          <w:tcPr>
            <w:tcW w:w="1261" w:type="dxa"/>
            <w:vMerge w:val="restart"/>
            <w:tcBorders>
              <w:top w:val="single" w:sz="12" w:space="0" w:color="DAD5B1"/>
            </w:tcBorders>
            <w:textDirection w:val="btLr"/>
          </w:tcPr>
          <w:p>
            <w:pPr>
              <w:pStyle w:val="TableParagraph"/>
              <w:rPr>
                <w:b/>
                <w:sz w:val="22"/>
              </w:rPr>
            </w:pPr>
          </w:p>
          <w:p>
            <w:pPr>
              <w:pStyle w:val="TableParagraph"/>
              <w:tabs>
                <w:tab w:pos="1342" w:val="left" w:leader="none"/>
              </w:tabs>
              <w:spacing w:before="129"/>
              <w:ind w:left="982"/>
              <w:rPr>
                <w:b/>
                <w:sz w:val="20"/>
              </w:rPr>
            </w:pPr>
            <w:r>
              <w:rPr>
                <w:b/>
                <w:spacing w:val="-5"/>
                <w:sz w:val="20"/>
              </w:rPr>
              <w:t>1.</w:t>
            </w:r>
            <w:r>
              <w:rPr>
                <w:b/>
                <w:sz w:val="20"/>
              </w:rPr>
              <w:tab/>
              <w:t>Promovimi</w:t>
            </w:r>
            <w:r>
              <w:rPr>
                <w:b/>
                <w:spacing w:val="-4"/>
                <w:sz w:val="20"/>
              </w:rPr>
              <w:t> </w:t>
            </w:r>
            <w:r>
              <w:rPr>
                <w:b/>
                <w:sz w:val="20"/>
              </w:rPr>
              <w:t>i</w:t>
            </w:r>
            <w:r>
              <w:rPr>
                <w:b/>
                <w:spacing w:val="-2"/>
                <w:sz w:val="20"/>
              </w:rPr>
              <w:t> </w:t>
            </w:r>
            <w:r>
              <w:rPr>
                <w:b/>
                <w:sz w:val="20"/>
              </w:rPr>
              <w:t>Komunës</w:t>
            </w:r>
            <w:r>
              <w:rPr>
                <w:b/>
                <w:spacing w:val="-1"/>
                <w:sz w:val="20"/>
              </w:rPr>
              <w:t> </w:t>
            </w:r>
            <w:r>
              <w:rPr>
                <w:b/>
                <w:sz w:val="20"/>
              </w:rPr>
              <w:t>së</w:t>
            </w:r>
            <w:r>
              <w:rPr>
                <w:b/>
                <w:spacing w:val="-2"/>
                <w:sz w:val="20"/>
              </w:rPr>
              <w:t> </w:t>
            </w:r>
            <w:r>
              <w:rPr>
                <w:b/>
                <w:sz w:val="20"/>
              </w:rPr>
              <w:t>Hanit</w:t>
            </w:r>
            <w:r>
              <w:rPr>
                <w:b/>
                <w:spacing w:val="-2"/>
                <w:sz w:val="20"/>
              </w:rPr>
              <w:t> </w:t>
            </w:r>
            <w:r>
              <w:rPr>
                <w:b/>
                <w:sz w:val="20"/>
              </w:rPr>
              <w:t>të</w:t>
            </w:r>
            <w:r>
              <w:rPr>
                <w:b/>
                <w:spacing w:val="-2"/>
                <w:sz w:val="20"/>
              </w:rPr>
              <w:t> </w:t>
            </w:r>
            <w:r>
              <w:rPr>
                <w:b/>
                <w:sz w:val="20"/>
              </w:rPr>
              <w:t>Elezit</w:t>
            </w:r>
            <w:r>
              <w:rPr>
                <w:b/>
                <w:spacing w:val="-1"/>
                <w:sz w:val="20"/>
              </w:rPr>
              <w:t> </w:t>
            </w:r>
            <w:r>
              <w:rPr>
                <w:b/>
                <w:sz w:val="20"/>
              </w:rPr>
              <w:t>në</w:t>
            </w:r>
            <w:r>
              <w:rPr>
                <w:b/>
                <w:spacing w:val="-2"/>
                <w:sz w:val="20"/>
              </w:rPr>
              <w:t> rajon</w:t>
            </w:r>
          </w:p>
        </w:tc>
        <w:tc>
          <w:tcPr>
            <w:tcW w:w="2611" w:type="dxa"/>
            <w:vMerge w:val="restart"/>
            <w:tcBorders>
              <w:top w:val="single" w:sz="12" w:space="0" w:color="DAD5B1"/>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numPr>
                <w:ilvl w:val="0"/>
                <w:numId w:val="16"/>
              </w:numPr>
              <w:tabs>
                <w:tab w:pos="828" w:val="left" w:leader="none"/>
              </w:tabs>
              <w:spacing w:line="232" w:lineRule="auto" w:before="0" w:after="0"/>
              <w:ind w:left="828" w:right="759" w:hanging="360"/>
              <w:jc w:val="both"/>
              <w:rPr>
                <w:sz w:val="20"/>
              </w:rPr>
            </w:pPr>
            <w:r>
              <w:rPr>
                <w:sz w:val="20"/>
              </w:rPr>
              <w:t>Promovimi</w:t>
            </w:r>
            <w:r>
              <w:rPr>
                <w:spacing w:val="-13"/>
                <w:sz w:val="20"/>
              </w:rPr>
              <w:t> </w:t>
            </w:r>
            <w:r>
              <w:rPr>
                <w:sz w:val="20"/>
              </w:rPr>
              <w:t>i </w:t>
            </w:r>
            <w:r>
              <w:rPr>
                <w:spacing w:val="-2"/>
                <w:sz w:val="20"/>
              </w:rPr>
              <w:t>potencialeve zhvillimore</w:t>
            </w:r>
          </w:p>
          <w:p>
            <w:pPr>
              <w:pStyle w:val="TableParagraph"/>
              <w:numPr>
                <w:ilvl w:val="0"/>
                <w:numId w:val="16"/>
              </w:numPr>
              <w:tabs>
                <w:tab w:pos="828" w:val="left" w:leader="none"/>
              </w:tabs>
              <w:spacing w:line="232" w:lineRule="auto" w:before="4" w:after="0"/>
              <w:ind w:left="828" w:right="126" w:hanging="360"/>
              <w:jc w:val="left"/>
              <w:rPr>
                <w:sz w:val="20"/>
              </w:rPr>
            </w:pPr>
            <w:r>
              <w:rPr>
                <w:sz w:val="20"/>
              </w:rPr>
              <w:t>Tërheqje e investimeve</w:t>
            </w:r>
            <w:r>
              <w:rPr>
                <w:spacing w:val="-13"/>
                <w:sz w:val="20"/>
              </w:rPr>
              <w:t> </w:t>
            </w:r>
            <w:r>
              <w:rPr>
                <w:sz w:val="20"/>
              </w:rPr>
              <w:t>të</w:t>
            </w:r>
            <w:r>
              <w:rPr>
                <w:spacing w:val="-12"/>
                <w:sz w:val="20"/>
              </w:rPr>
              <w:t> </w:t>
            </w:r>
            <w:r>
              <w:rPr>
                <w:sz w:val="20"/>
              </w:rPr>
              <w:t>huaja dhe lokale</w:t>
            </w:r>
          </w:p>
          <w:p>
            <w:pPr>
              <w:pStyle w:val="TableParagraph"/>
              <w:numPr>
                <w:ilvl w:val="0"/>
                <w:numId w:val="16"/>
              </w:numPr>
              <w:tabs>
                <w:tab w:pos="828" w:val="left" w:leader="none"/>
              </w:tabs>
              <w:spacing w:line="246" w:lineRule="exact" w:before="0" w:after="0"/>
              <w:ind w:left="828" w:right="0" w:hanging="361"/>
              <w:jc w:val="left"/>
              <w:rPr>
                <w:sz w:val="20"/>
              </w:rPr>
            </w:pPr>
            <w:r>
              <w:rPr>
                <w:sz w:val="20"/>
              </w:rPr>
              <w:t>Zhvillim</w:t>
            </w:r>
            <w:r>
              <w:rPr>
                <w:spacing w:val="-2"/>
                <w:sz w:val="20"/>
              </w:rPr>
              <w:t> ekonomik</w:t>
            </w:r>
          </w:p>
        </w:tc>
        <w:tc>
          <w:tcPr>
            <w:tcW w:w="3419" w:type="dxa"/>
            <w:tcBorders>
              <w:top w:val="single" w:sz="12" w:space="0" w:color="DAD5B1"/>
            </w:tcBorders>
          </w:tcPr>
          <w:p>
            <w:pPr>
              <w:pStyle w:val="TableParagraph"/>
              <w:tabs>
                <w:tab w:pos="828" w:val="left" w:leader="none"/>
              </w:tabs>
              <w:ind w:left="828" w:right="734" w:hanging="360"/>
              <w:rPr>
                <w:sz w:val="20"/>
              </w:rPr>
            </w:pPr>
            <w:r>
              <w:rPr>
                <w:spacing w:val="-6"/>
                <w:sz w:val="20"/>
              </w:rPr>
              <w:t>1.</w:t>
            </w:r>
            <w:r>
              <w:rPr>
                <w:sz w:val="20"/>
              </w:rPr>
              <w:tab/>
              <w:t>Organizimi</w:t>
            </w:r>
            <w:r>
              <w:rPr>
                <w:spacing w:val="-13"/>
                <w:sz w:val="20"/>
              </w:rPr>
              <w:t> </w:t>
            </w:r>
            <w:r>
              <w:rPr>
                <w:sz w:val="20"/>
              </w:rPr>
              <w:t>i</w:t>
            </w:r>
            <w:r>
              <w:rPr>
                <w:spacing w:val="-12"/>
                <w:sz w:val="20"/>
              </w:rPr>
              <w:t> </w:t>
            </w:r>
            <w:r>
              <w:rPr>
                <w:sz w:val="20"/>
              </w:rPr>
              <w:t>panaireve </w:t>
            </w:r>
            <w:r>
              <w:rPr>
                <w:spacing w:val="-2"/>
                <w:sz w:val="20"/>
              </w:rPr>
              <w:t>vendore</w:t>
            </w:r>
          </w:p>
        </w:tc>
        <w:tc>
          <w:tcPr>
            <w:tcW w:w="1799" w:type="dxa"/>
            <w:tcBorders>
              <w:top w:val="single" w:sz="12" w:space="0" w:color="DAD5B1"/>
            </w:tcBorders>
          </w:tcPr>
          <w:p>
            <w:pPr>
              <w:pStyle w:val="TableParagraph"/>
              <w:spacing w:before="11"/>
              <w:rPr>
                <w:b/>
                <w:sz w:val="19"/>
              </w:rPr>
            </w:pPr>
          </w:p>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Borders>
              <w:top w:val="single" w:sz="12" w:space="0" w:color="DAD5B1"/>
            </w:tcBorders>
          </w:tcPr>
          <w:p>
            <w:pPr>
              <w:pStyle w:val="TableParagraph"/>
              <w:spacing w:before="11"/>
              <w:rPr>
                <w:b/>
                <w:sz w:val="19"/>
              </w:rPr>
            </w:pPr>
          </w:p>
          <w:p>
            <w:pPr>
              <w:pStyle w:val="TableParagraph"/>
              <w:ind w:left="111"/>
              <w:rPr>
                <w:sz w:val="20"/>
              </w:rPr>
            </w:pPr>
            <w:r>
              <w:rPr>
                <w:spacing w:val="-2"/>
                <w:sz w:val="20"/>
              </w:rPr>
              <w:t>2023-</w:t>
            </w:r>
            <w:r>
              <w:rPr>
                <w:spacing w:val="-4"/>
                <w:sz w:val="20"/>
              </w:rPr>
              <w:t>2027</w:t>
            </w:r>
          </w:p>
        </w:tc>
        <w:tc>
          <w:tcPr>
            <w:tcW w:w="1829" w:type="dxa"/>
            <w:tcBorders>
              <w:top w:val="single" w:sz="12" w:space="0" w:color="DAD5B1"/>
            </w:tcBorders>
          </w:tcPr>
          <w:p>
            <w:pPr>
              <w:pStyle w:val="TableParagraph"/>
              <w:spacing w:before="11"/>
              <w:rPr>
                <w:b/>
                <w:sz w:val="19"/>
              </w:rPr>
            </w:pPr>
          </w:p>
          <w:p>
            <w:pPr>
              <w:pStyle w:val="TableParagraph"/>
              <w:ind w:left="111"/>
              <w:rPr>
                <w:sz w:val="20"/>
              </w:rPr>
            </w:pPr>
            <w:r>
              <w:rPr>
                <w:sz w:val="20"/>
              </w:rPr>
              <w:t>3,000.00</w:t>
            </w:r>
            <w:r>
              <w:rPr>
                <w:spacing w:val="-2"/>
                <w:sz w:val="20"/>
              </w:rPr>
              <w:t> </w:t>
            </w:r>
            <w:r>
              <w:rPr>
                <w:spacing w:val="-10"/>
                <w:sz w:val="20"/>
              </w:rPr>
              <w:t>€</w:t>
            </w:r>
          </w:p>
        </w:tc>
        <w:tc>
          <w:tcPr>
            <w:tcW w:w="2023" w:type="dxa"/>
            <w:tcBorders>
              <w:top w:val="single" w:sz="12" w:space="0" w:color="DAD5B1"/>
            </w:tcBorders>
          </w:tcPr>
          <w:p>
            <w:pPr>
              <w:pStyle w:val="TableParagraph"/>
              <w:spacing w:before="11"/>
              <w:rPr>
                <w:b/>
                <w:sz w:val="19"/>
              </w:rPr>
            </w:pPr>
          </w:p>
          <w:p>
            <w:pPr>
              <w:pStyle w:val="TableParagraph"/>
              <w:ind w:left="112"/>
              <w:rPr>
                <w:sz w:val="20"/>
              </w:rPr>
            </w:pPr>
            <w:r>
              <w:rPr>
                <w:sz w:val="20"/>
              </w:rPr>
              <w:t>Komuna</w:t>
            </w:r>
            <w:r>
              <w:rPr>
                <w:spacing w:val="-1"/>
                <w:sz w:val="20"/>
              </w:rPr>
              <w:t> </w:t>
            </w:r>
            <w:r>
              <w:rPr>
                <w:spacing w:val="-5"/>
                <w:sz w:val="20"/>
              </w:rPr>
              <w:t>HE</w:t>
            </w:r>
          </w:p>
        </w:tc>
      </w:tr>
      <w:tr>
        <w:trPr>
          <w:trHeight w:val="161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78" w:hanging="360"/>
              <w:rPr>
                <w:sz w:val="20"/>
              </w:rPr>
            </w:pPr>
            <w:r>
              <w:rPr>
                <w:spacing w:val="-6"/>
                <w:sz w:val="20"/>
              </w:rPr>
              <w:t>2.</w:t>
            </w:r>
            <w:r>
              <w:rPr>
                <w:sz w:val="20"/>
              </w:rPr>
              <w:tab/>
              <w:t>Hartimi dhe plotësimi i dokumenteve</w:t>
            </w:r>
            <w:r>
              <w:rPr>
                <w:spacing w:val="-13"/>
                <w:sz w:val="20"/>
              </w:rPr>
              <w:t> </w:t>
            </w:r>
            <w:r>
              <w:rPr>
                <w:sz w:val="20"/>
              </w:rPr>
              <w:t>informative</w:t>
            </w:r>
            <w:r>
              <w:rPr>
                <w:spacing w:val="-12"/>
                <w:sz w:val="20"/>
              </w:rPr>
              <w:t> </w:t>
            </w:r>
            <w:r>
              <w:rPr>
                <w:sz w:val="20"/>
              </w:rPr>
              <w:t>dhe prezantimi i tyre përpara komuniteteve duke përfshirë kampanja, ëebfaqe promovuese, evente të</w:t>
            </w:r>
          </w:p>
          <w:p>
            <w:pPr>
              <w:pStyle w:val="TableParagraph"/>
              <w:spacing w:line="210" w:lineRule="exact"/>
              <w:ind w:left="828"/>
              <w:rPr>
                <w:sz w:val="20"/>
              </w:rPr>
            </w:pPr>
            <w:r>
              <w:rPr>
                <w:spacing w:val="-2"/>
                <w:sz w:val="20"/>
              </w:rPr>
              <w:t>ndryshme</w:t>
            </w:r>
          </w:p>
        </w:tc>
        <w:tc>
          <w:tcPr>
            <w:tcW w:w="1799" w:type="dxa"/>
          </w:tcPr>
          <w:p>
            <w:pPr>
              <w:pStyle w:val="TableParagraph"/>
              <w:rPr>
                <w:b/>
                <w:sz w:val="22"/>
              </w:rPr>
            </w:pPr>
          </w:p>
          <w:p>
            <w:pPr>
              <w:pStyle w:val="TableParagraph"/>
              <w:spacing w:before="11"/>
              <w:rPr>
                <w:b/>
                <w:sz w:val="17"/>
              </w:rPr>
            </w:pPr>
          </w:p>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2024-</w:t>
            </w:r>
            <w:r>
              <w:rPr>
                <w:spacing w:val="-4"/>
                <w:sz w:val="20"/>
              </w:rPr>
              <w:t>2027</w:t>
            </w:r>
          </w:p>
        </w:tc>
        <w:tc>
          <w:tcPr>
            <w:tcW w:w="1829" w:type="dxa"/>
          </w:tcPr>
          <w:p>
            <w:pPr>
              <w:pStyle w:val="TableParagraph"/>
              <w:rPr>
                <w:b/>
                <w:sz w:val="20"/>
              </w:rPr>
            </w:pPr>
          </w:p>
          <w:p>
            <w:pPr>
              <w:pStyle w:val="TableParagraph"/>
              <w:ind w:left="111"/>
              <w:rPr>
                <w:sz w:val="20"/>
              </w:rPr>
            </w:pPr>
            <w:r>
              <w:rPr>
                <w:sz w:val="20"/>
              </w:rPr>
              <w:t>10,000.00</w:t>
            </w:r>
            <w:r>
              <w:rPr>
                <w:spacing w:val="-1"/>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80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ind w:left="828" w:right="768" w:hanging="360"/>
              <w:jc w:val="both"/>
              <w:rPr>
                <w:sz w:val="20"/>
              </w:rPr>
            </w:pPr>
            <w:r>
              <w:rPr>
                <w:sz w:val="20"/>
              </w:rPr>
              <w:t>3.</w:t>
            </w:r>
            <w:r>
              <w:rPr>
                <w:spacing w:val="40"/>
                <w:sz w:val="20"/>
              </w:rPr>
              <w:t> </w:t>
            </w:r>
            <w:r>
              <w:rPr>
                <w:sz w:val="20"/>
              </w:rPr>
              <w:t>Hartimi</w:t>
            </w:r>
            <w:r>
              <w:rPr>
                <w:spacing w:val="-5"/>
                <w:sz w:val="20"/>
              </w:rPr>
              <w:t> </w:t>
            </w:r>
            <w:r>
              <w:rPr>
                <w:sz w:val="20"/>
              </w:rPr>
              <w:t>i</w:t>
            </w:r>
            <w:r>
              <w:rPr>
                <w:spacing w:val="-5"/>
                <w:sz w:val="20"/>
              </w:rPr>
              <w:t> </w:t>
            </w:r>
            <w:r>
              <w:rPr>
                <w:sz w:val="20"/>
              </w:rPr>
              <w:t>strategjive</w:t>
            </w:r>
            <w:r>
              <w:rPr>
                <w:spacing w:val="-5"/>
                <w:sz w:val="20"/>
              </w:rPr>
              <w:t> </w:t>
            </w:r>
            <w:r>
              <w:rPr>
                <w:sz w:val="20"/>
              </w:rPr>
              <w:t>të ndryshme</w:t>
            </w:r>
            <w:r>
              <w:rPr>
                <w:spacing w:val="-13"/>
                <w:sz w:val="20"/>
              </w:rPr>
              <w:t> </w:t>
            </w:r>
            <w:r>
              <w:rPr>
                <w:sz w:val="20"/>
              </w:rPr>
              <w:t>për</w:t>
            </w:r>
            <w:r>
              <w:rPr>
                <w:spacing w:val="-12"/>
                <w:sz w:val="20"/>
              </w:rPr>
              <w:t> </w:t>
            </w:r>
            <w:r>
              <w:rPr>
                <w:sz w:val="20"/>
              </w:rPr>
              <w:t>zhvillim </w:t>
            </w:r>
            <w:r>
              <w:rPr>
                <w:spacing w:val="-2"/>
                <w:sz w:val="20"/>
              </w:rPr>
              <w:t>ekonomik</w:t>
            </w:r>
          </w:p>
        </w:tc>
        <w:tc>
          <w:tcPr>
            <w:tcW w:w="1799" w:type="dxa"/>
          </w:tcPr>
          <w:p>
            <w:pPr>
              <w:pStyle w:val="TableParagraph"/>
              <w:spacing w:before="1"/>
              <w:rPr>
                <w:b/>
                <w:sz w:val="20"/>
              </w:rPr>
            </w:pPr>
          </w:p>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spacing w:before="1"/>
              <w:rPr>
                <w:b/>
                <w:sz w:val="20"/>
              </w:rPr>
            </w:pPr>
          </w:p>
          <w:p>
            <w:pPr>
              <w:pStyle w:val="TableParagraph"/>
              <w:ind w:left="111"/>
              <w:rPr>
                <w:sz w:val="20"/>
              </w:rPr>
            </w:pPr>
            <w:r>
              <w:rPr>
                <w:spacing w:val="-2"/>
                <w:sz w:val="20"/>
              </w:rPr>
              <w:t>2023-</w:t>
            </w:r>
            <w:r>
              <w:rPr>
                <w:spacing w:val="-4"/>
                <w:sz w:val="20"/>
              </w:rPr>
              <w:t>2024</w:t>
            </w:r>
          </w:p>
        </w:tc>
        <w:tc>
          <w:tcPr>
            <w:tcW w:w="1829" w:type="dxa"/>
          </w:tcPr>
          <w:p>
            <w:pPr>
              <w:pStyle w:val="TableParagraph"/>
              <w:spacing w:before="1"/>
              <w:rPr>
                <w:b/>
                <w:sz w:val="20"/>
              </w:rPr>
            </w:pPr>
          </w:p>
          <w:p>
            <w:pPr>
              <w:pStyle w:val="TableParagraph"/>
              <w:ind w:left="111"/>
              <w:rPr>
                <w:sz w:val="20"/>
              </w:rPr>
            </w:pPr>
            <w:r>
              <w:rPr>
                <w:sz w:val="20"/>
              </w:rPr>
              <w:t>3,500.00</w:t>
            </w:r>
            <w:r>
              <w:rPr>
                <w:spacing w:val="-2"/>
                <w:sz w:val="20"/>
              </w:rPr>
              <w:t> </w:t>
            </w:r>
            <w:r>
              <w:rPr>
                <w:spacing w:val="-10"/>
                <w:sz w:val="20"/>
              </w:rPr>
              <w:t>€</w:t>
            </w:r>
          </w:p>
        </w:tc>
        <w:tc>
          <w:tcPr>
            <w:tcW w:w="2023" w:type="dxa"/>
          </w:tcPr>
          <w:p>
            <w:pPr>
              <w:pStyle w:val="TableParagraph"/>
              <w:spacing w:before="1"/>
              <w:rPr>
                <w:b/>
                <w:sz w:val="20"/>
              </w:rPr>
            </w:pPr>
          </w:p>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92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56" w:hanging="360"/>
              <w:rPr>
                <w:sz w:val="20"/>
              </w:rPr>
            </w:pPr>
            <w:r>
              <w:rPr>
                <w:spacing w:val="-6"/>
                <w:sz w:val="20"/>
              </w:rPr>
              <w:t>4.</w:t>
            </w:r>
            <w:r>
              <w:rPr>
                <w:sz w:val="20"/>
              </w:rPr>
              <w:tab/>
              <w:t>Fushata promovuese përmes potencialeve</w:t>
            </w:r>
            <w:r>
              <w:rPr>
                <w:spacing w:val="-13"/>
                <w:sz w:val="20"/>
              </w:rPr>
              <w:t> </w:t>
            </w:r>
            <w:r>
              <w:rPr>
                <w:sz w:val="20"/>
              </w:rPr>
              <w:t>zhvillimore</w:t>
            </w:r>
            <w:r>
              <w:rPr>
                <w:spacing w:val="-12"/>
                <w:sz w:val="20"/>
              </w:rPr>
              <w:t> </w:t>
            </w:r>
            <w:r>
              <w:rPr>
                <w:sz w:val="20"/>
              </w:rPr>
              <w:t>duke përfshirë pikat me mundësi</w:t>
            </w:r>
          </w:p>
          <w:p>
            <w:pPr>
              <w:pStyle w:val="TableParagraph"/>
              <w:spacing w:line="210" w:lineRule="exact"/>
              <w:ind w:left="828"/>
              <w:rPr>
                <w:sz w:val="20"/>
              </w:rPr>
            </w:pPr>
            <w:r>
              <w:rPr>
                <w:spacing w:val="-2"/>
                <w:sz w:val="20"/>
              </w:rPr>
              <w:t>turizmi</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2023-</w:t>
            </w:r>
            <w:r>
              <w:rPr>
                <w:spacing w:val="-4"/>
                <w:sz w:val="20"/>
              </w:rPr>
              <w:t>2027</w:t>
            </w:r>
          </w:p>
        </w:tc>
        <w:tc>
          <w:tcPr>
            <w:tcW w:w="1829" w:type="dxa"/>
          </w:tcPr>
          <w:p>
            <w:pPr>
              <w:pStyle w:val="TableParagraph"/>
              <w:rPr>
                <w:b/>
                <w:sz w:val="20"/>
              </w:rPr>
            </w:pPr>
          </w:p>
          <w:p>
            <w:pPr>
              <w:pStyle w:val="TableParagraph"/>
              <w:ind w:left="111"/>
              <w:rPr>
                <w:sz w:val="20"/>
              </w:rPr>
            </w:pPr>
            <w:r>
              <w:rPr>
                <w:sz w:val="20"/>
              </w:rPr>
              <w:t>3,000.00</w:t>
            </w:r>
            <w:r>
              <w:rPr>
                <w:spacing w:val="-2"/>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115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273" w:hanging="360"/>
              <w:rPr>
                <w:sz w:val="20"/>
              </w:rPr>
            </w:pPr>
            <w:r>
              <w:rPr>
                <w:spacing w:val="-6"/>
                <w:sz w:val="20"/>
              </w:rPr>
              <w:t>5.</w:t>
            </w:r>
            <w:r>
              <w:rPr>
                <w:sz w:val="20"/>
              </w:rPr>
              <w:tab/>
              <w:t>Organizimi i takimeve informuese rreth mundësive zhvillimore të komunës me mërgatën</w:t>
            </w:r>
            <w:r>
              <w:rPr>
                <w:spacing w:val="-13"/>
                <w:sz w:val="20"/>
              </w:rPr>
              <w:t> </w:t>
            </w:r>
            <w:r>
              <w:rPr>
                <w:sz w:val="20"/>
              </w:rPr>
              <w:t>dhe</w:t>
            </w:r>
            <w:r>
              <w:rPr>
                <w:spacing w:val="-12"/>
                <w:sz w:val="20"/>
              </w:rPr>
              <w:t> </w:t>
            </w:r>
            <w:r>
              <w:rPr>
                <w:sz w:val="20"/>
              </w:rPr>
              <w:t>mundësive</w:t>
            </w:r>
            <w:r>
              <w:rPr>
                <w:spacing w:val="-13"/>
                <w:sz w:val="20"/>
              </w:rPr>
              <w:t> </w:t>
            </w:r>
            <w:r>
              <w:rPr>
                <w:sz w:val="20"/>
              </w:rPr>
              <w:t>për</w:t>
            </w:r>
          </w:p>
          <w:p>
            <w:pPr>
              <w:pStyle w:val="TableParagraph"/>
              <w:spacing w:line="210" w:lineRule="exact"/>
              <w:ind w:left="828"/>
              <w:rPr>
                <w:sz w:val="20"/>
              </w:rPr>
            </w:pPr>
            <w:r>
              <w:rPr>
                <w:spacing w:val="-2"/>
                <w:sz w:val="20"/>
              </w:rPr>
              <w:t>investime</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2023-</w:t>
            </w:r>
            <w:r>
              <w:rPr>
                <w:spacing w:val="-4"/>
                <w:sz w:val="20"/>
              </w:rPr>
              <w:t>2027</w:t>
            </w:r>
          </w:p>
        </w:tc>
        <w:tc>
          <w:tcPr>
            <w:tcW w:w="1829" w:type="dxa"/>
          </w:tcPr>
          <w:p>
            <w:pPr>
              <w:pStyle w:val="TableParagraph"/>
              <w:rPr>
                <w:b/>
                <w:sz w:val="20"/>
              </w:rPr>
            </w:pPr>
          </w:p>
          <w:p>
            <w:pPr>
              <w:pStyle w:val="TableParagraph"/>
              <w:ind w:left="111"/>
              <w:rPr>
                <w:sz w:val="20"/>
              </w:rPr>
            </w:pPr>
            <w:r>
              <w:rPr>
                <w:sz w:val="20"/>
              </w:rPr>
              <w:t>1,000.00</w:t>
            </w:r>
            <w:r>
              <w:rPr>
                <w:spacing w:val="-2"/>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1258"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73" w:hanging="360"/>
              <w:rPr>
                <w:sz w:val="20"/>
              </w:rPr>
            </w:pPr>
            <w:r>
              <w:rPr>
                <w:spacing w:val="-6"/>
                <w:sz w:val="20"/>
              </w:rPr>
              <w:t>6.</w:t>
            </w:r>
            <w:r>
              <w:rPr>
                <w:sz w:val="20"/>
              </w:rPr>
              <w:tab/>
              <w:t>Shenjëzimi apo vendosja e tabelave</w:t>
            </w:r>
            <w:r>
              <w:rPr>
                <w:spacing w:val="-13"/>
                <w:sz w:val="20"/>
              </w:rPr>
              <w:t> </w:t>
            </w:r>
            <w:r>
              <w:rPr>
                <w:sz w:val="20"/>
              </w:rPr>
              <w:t>infromuese</w:t>
            </w:r>
            <w:r>
              <w:rPr>
                <w:spacing w:val="-12"/>
                <w:sz w:val="20"/>
              </w:rPr>
              <w:t> </w:t>
            </w:r>
            <w:r>
              <w:rPr>
                <w:sz w:val="20"/>
              </w:rPr>
              <w:t>për</w:t>
            </w:r>
            <w:r>
              <w:rPr>
                <w:spacing w:val="-12"/>
                <w:sz w:val="20"/>
              </w:rPr>
              <w:t> </w:t>
            </w:r>
            <w:r>
              <w:rPr>
                <w:sz w:val="20"/>
              </w:rPr>
              <w:t>zonat me rëndësi</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ind w:left="111"/>
              <w:rPr>
                <w:sz w:val="20"/>
              </w:rPr>
            </w:pPr>
            <w:r>
              <w:rPr>
                <w:spacing w:val="-2"/>
                <w:sz w:val="20"/>
              </w:rPr>
              <w:t>2024-</w:t>
            </w:r>
            <w:r>
              <w:rPr>
                <w:spacing w:val="-4"/>
                <w:sz w:val="20"/>
              </w:rPr>
              <w:t>2027</w:t>
            </w:r>
          </w:p>
        </w:tc>
        <w:tc>
          <w:tcPr>
            <w:tcW w:w="1829" w:type="dxa"/>
          </w:tcPr>
          <w:p>
            <w:pPr>
              <w:pStyle w:val="TableParagraph"/>
              <w:spacing w:before="11"/>
              <w:rPr>
                <w:b/>
                <w:sz w:val="19"/>
              </w:rPr>
            </w:pPr>
          </w:p>
          <w:p>
            <w:pPr>
              <w:pStyle w:val="TableParagraph"/>
              <w:ind w:left="111"/>
              <w:rPr>
                <w:sz w:val="20"/>
              </w:rPr>
            </w:pPr>
            <w:r>
              <w:rPr>
                <w:sz w:val="20"/>
              </w:rPr>
              <w:t>4,000.00</w:t>
            </w:r>
            <w:r>
              <w:rPr>
                <w:spacing w:val="-2"/>
                <w:sz w:val="20"/>
              </w:rPr>
              <w:t> </w:t>
            </w:r>
            <w:r>
              <w:rPr>
                <w:spacing w:val="-10"/>
                <w:sz w:val="20"/>
              </w:rPr>
              <w:t>€</w:t>
            </w:r>
          </w:p>
        </w:tc>
        <w:tc>
          <w:tcPr>
            <w:tcW w:w="2023" w:type="dxa"/>
          </w:tcPr>
          <w:p>
            <w:pPr>
              <w:pStyle w:val="TableParagraph"/>
              <w:spacing w:before="11"/>
              <w:rPr>
                <w:b/>
                <w:sz w:val="19"/>
              </w:rPr>
            </w:pPr>
          </w:p>
          <w:p>
            <w:pPr>
              <w:pStyle w:val="TableParagraph"/>
              <w:ind w:left="112"/>
              <w:rPr>
                <w:sz w:val="20"/>
              </w:rPr>
            </w:pPr>
            <w:r>
              <w:rPr>
                <w:sz w:val="20"/>
              </w:rPr>
              <w:t>Komuna</w:t>
            </w:r>
            <w:r>
              <w:rPr>
                <w:spacing w:val="-1"/>
                <w:sz w:val="20"/>
              </w:rPr>
              <w:t> </w:t>
            </w:r>
            <w:r>
              <w:rPr>
                <w:spacing w:val="-5"/>
                <w:sz w:val="20"/>
              </w:rPr>
              <w:t>HE</w:t>
            </w:r>
          </w:p>
        </w:tc>
      </w:tr>
    </w:tbl>
    <w:p>
      <w:pPr>
        <w:spacing w:after="0"/>
        <w:rPr>
          <w:sz w:val="20"/>
        </w:rPr>
        <w:sectPr>
          <w:footerReference w:type="default" r:id="rId79"/>
          <w:pgSz w:w="15840" w:h="12240" w:orient="landscape"/>
          <w:pgMar w:footer="990" w:header="0" w:top="1380" w:bottom="1180" w:left="420" w:right="160"/>
        </w:sectPr>
      </w:pPr>
    </w:p>
    <w:p>
      <w:pPr>
        <w:pStyle w:val="BodyText"/>
        <w:spacing w:before="2"/>
        <w:rPr>
          <w:b/>
          <w:sz w:val="5"/>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1261"/>
        <w:gridCol w:w="2611"/>
        <w:gridCol w:w="3419"/>
        <w:gridCol w:w="1799"/>
        <w:gridCol w:w="1889"/>
        <w:gridCol w:w="1829"/>
        <w:gridCol w:w="2023"/>
      </w:tblGrid>
      <w:tr>
        <w:trPr>
          <w:trHeight w:val="890" w:hRule="atLeast"/>
        </w:trPr>
        <w:tc>
          <w:tcPr>
            <w:tcW w:w="1261" w:type="dxa"/>
          </w:tcPr>
          <w:p>
            <w:pPr>
              <w:pStyle w:val="TableParagraph"/>
              <w:rPr>
                <w:sz w:val="20"/>
              </w:rPr>
            </w:pPr>
          </w:p>
        </w:tc>
        <w:tc>
          <w:tcPr>
            <w:tcW w:w="2611" w:type="dxa"/>
          </w:tcPr>
          <w:p>
            <w:pPr>
              <w:pStyle w:val="TableParagraph"/>
              <w:rPr>
                <w:sz w:val="20"/>
              </w:rPr>
            </w:pPr>
          </w:p>
        </w:tc>
        <w:tc>
          <w:tcPr>
            <w:tcW w:w="3419" w:type="dxa"/>
          </w:tcPr>
          <w:p>
            <w:pPr>
              <w:pStyle w:val="TableParagraph"/>
              <w:tabs>
                <w:tab w:pos="828" w:val="left" w:leader="none"/>
              </w:tabs>
              <w:ind w:left="828" w:right="283" w:hanging="360"/>
              <w:rPr>
                <w:sz w:val="20"/>
              </w:rPr>
            </w:pPr>
            <w:r>
              <w:rPr>
                <w:spacing w:val="-6"/>
                <w:sz w:val="20"/>
              </w:rPr>
              <w:t>7.</w:t>
            </w:r>
            <w:r>
              <w:rPr>
                <w:sz w:val="20"/>
              </w:rPr>
              <w:tab/>
              <w:t>Pjesëmarrje në panairet ndërkombëtare duke promovuar</w:t>
            </w:r>
            <w:r>
              <w:rPr>
                <w:spacing w:val="-12"/>
                <w:sz w:val="20"/>
              </w:rPr>
              <w:t> </w:t>
            </w:r>
            <w:r>
              <w:rPr>
                <w:sz w:val="20"/>
              </w:rPr>
              <w:t>vlerat</w:t>
            </w:r>
            <w:r>
              <w:rPr>
                <w:spacing w:val="-13"/>
                <w:sz w:val="20"/>
              </w:rPr>
              <w:t> </w:t>
            </w:r>
            <w:r>
              <w:rPr>
                <w:sz w:val="20"/>
              </w:rPr>
              <w:t>e</w:t>
            </w:r>
            <w:r>
              <w:rPr>
                <w:spacing w:val="-12"/>
                <w:sz w:val="20"/>
              </w:rPr>
              <w:t> </w:t>
            </w:r>
            <w:r>
              <w:rPr>
                <w:sz w:val="20"/>
              </w:rPr>
              <w:t>komunës</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2023-</w:t>
            </w:r>
            <w:r>
              <w:rPr>
                <w:spacing w:val="-4"/>
                <w:sz w:val="20"/>
              </w:rPr>
              <w:t>2027</w:t>
            </w:r>
          </w:p>
        </w:tc>
        <w:tc>
          <w:tcPr>
            <w:tcW w:w="1829" w:type="dxa"/>
          </w:tcPr>
          <w:p>
            <w:pPr>
              <w:pStyle w:val="TableParagraph"/>
              <w:rPr>
                <w:b/>
                <w:sz w:val="20"/>
              </w:rPr>
            </w:pPr>
          </w:p>
          <w:p>
            <w:pPr>
              <w:pStyle w:val="TableParagraph"/>
              <w:ind w:left="111"/>
              <w:rPr>
                <w:sz w:val="20"/>
              </w:rPr>
            </w:pPr>
            <w:r>
              <w:rPr>
                <w:sz w:val="20"/>
              </w:rPr>
              <w:t>3,000.00</w:t>
            </w:r>
            <w:r>
              <w:rPr>
                <w:spacing w:val="-2"/>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919" w:hRule="atLeast"/>
        </w:trPr>
        <w:tc>
          <w:tcPr>
            <w:tcW w:w="1261" w:type="dxa"/>
            <w:vMerge w:val="restart"/>
            <w:textDirection w:val="btLr"/>
          </w:tcPr>
          <w:p>
            <w:pPr>
              <w:pStyle w:val="TableParagraph"/>
              <w:rPr>
                <w:b/>
                <w:sz w:val="22"/>
              </w:rPr>
            </w:pPr>
          </w:p>
          <w:p>
            <w:pPr>
              <w:pStyle w:val="TableParagraph"/>
              <w:tabs>
                <w:tab w:pos="2271" w:val="left" w:leader="none"/>
              </w:tabs>
              <w:spacing w:before="129"/>
              <w:ind w:left="1911"/>
              <w:rPr>
                <w:b/>
                <w:sz w:val="20"/>
              </w:rPr>
            </w:pPr>
            <w:r>
              <w:rPr>
                <w:b/>
                <w:spacing w:val="-5"/>
                <w:sz w:val="20"/>
              </w:rPr>
              <w:t>2.</w:t>
            </w:r>
            <w:r>
              <w:rPr>
                <w:b/>
                <w:sz w:val="20"/>
              </w:rPr>
              <w:tab/>
              <w:t>Zhvillimi</w:t>
            </w:r>
            <w:r>
              <w:rPr>
                <w:b/>
                <w:spacing w:val="-2"/>
                <w:sz w:val="20"/>
              </w:rPr>
              <w:t> </w:t>
            </w:r>
            <w:r>
              <w:rPr>
                <w:b/>
                <w:sz w:val="20"/>
              </w:rPr>
              <w:t>i</w:t>
            </w:r>
            <w:r>
              <w:rPr>
                <w:b/>
                <w:spacing w:val="-1"/>
                <w:sz w:val="20"/>
              </w:rPr>
              <w:t> </w:t>
            </w:r>
            <w:r>
              <w:rPr>
                <w:b/>
                <w:sz w:val="20"/>
              </w:rPr>
              <w:t>pikave</w:t>
            </w:r>
            <w:r>
              <w:rPr>
                <w:b/>
                <w:spacing w:val="-2"/>
                <w:sz w:val="20"/>
              </w:rPr>
              <w:t> </w:t>
            </w:r>
            <w:r>
              <w:rPr>
                <w:b/>
                <w:sz w:val="20"/>
              </w:rPr>
              <w:t>me</w:t>
            </w:r>
            <w:r>
              <w:rPr>
                <w:b/>
                <w:spacing w:val="-2"/>
                <w:sz w:val="20"/>
              </w:rPr>
              <w:t> </w:t>
            </w:r>
            <w:r>
              <w:rPr>
                <w:b/>
                <w:sz w:val="20"/>
              </w:rPr>
              <w:t>potencial </w:t>
            </w:r>
            <w:r>
              <w:rPr>
                <w:b/>
                <w:spacing w:val="-2"/>
                <w:sz w:val="20"/>
              </w:rPr>
              <w:t>turistik</w:t>
            </w:r>
          </w:p>
        </w:tc>
        <w:tc>
          <w:tcPr>
            <w:tcW w:w="261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numPr>
                <w:ilvl w:val="0"/>
                <w:numId w:val="17"/>
              </w:numPr>
              <w:tabs>
                <w:tab w:pos="828" w:val="left" w:leader="none"/>
              </w:tabs>
              <w:spacing w:line="223" w:lineRule="auto" w:before="196" w:after="0"/>
              <w:ind w:left="828" w:right="182" w:hanging="360"/>
              <w:jc w:val="left"/>
              <w:rPr>
                <w:sz w:val="20"/>
              </w:rPr>
            </w:pPr>
            <w:r>
              <w:rPr>
                <w:sz w:val="20"/>
              </w:rPr>
              <w:t>Zhvillimi i pikave me</w:t>
            </w:r>
            <w:r>
              <w:rPr>
                <w:spacing w:val="-13"/>
                <w:sz w:val="20"/>
              </w:rPr>
              <w:t> </w:t>
            </w:r>
            <w:r>
              <w:rPr>
                <w:sz w:val="20"/>
              </w:rPr>
              <w:t>potencial</w:t>
            </w:r>
            <w:r>
              <w:rPr>
                <w:spacing w:val="-12"/>
                <w:sz w:val="20"/>
              </w:rPr>
              <w:t> </w:t>
            </w:r>
            <w:r>
              <w:rPr>
                <w:sz w:val="20"/>
              </w:rPr>
              <w:t>turisik</w:t>
            </w:r>
          </w:p>
          <w:p>
            <w:pPr>
              <w:pStyle w:val="TableParagraph"/>
              <w:numPr>
                <w:ilvl w:val="0"/>
                <w:numId w:val="17"/>
              </w:numPr>
              <w:tabs>
                <w:tab w:pos="828" w:val="left" w:leader="none"/>
              </w:tabs>
              <w:spacing w:line="223" w:lineRule="auto" w:before="15" w:after="0"/>
              <w:ind w:left="828" w:right="203" w:hanging="360"/>
              <w:jc w:val="left"/>
              <w:rPr>
                <w:sz w:val="20"/>
              </w:rPr>
            </w:pPr>
            <w:r>
              <w:rPr>
                <w:sz w:val="20"/>
              </w:rPr>
              <w:t>Hulumtimi</w:t>
            </w:r>
            <w:r>
              <w:rPr>
                <w:spacing w:val="-13"/>
                <w:sz w:val="20"/>
              </w:rPr>
              <w:t> </w:t>
            </w:r>
            <w:r>
              <w:rPr>
                <w:sz w:val="20"/>
              </w:rPr>
              <w:t>i</w:t>
            </w:r>
            <w:r>
              <w:rPr>
                <w:spacing w:val="-12"/>
                <w:sz w:val="20"/>
              </w:rPr>
              <w:t> </w:t>
            </w:r>
            <w:r>
              <w:rPr>
                <w:sz w:val="20"/>
              </w:rPr>
              <w:t>pikave të</w:t>
            </w:r>
            <w:r>
              <w:rPr>
                <w:spacing w:val="-2"/>
                <w:sz w:val="20"/>
              </w:rPr>
              <w:t> </w:t>
            </w:r>
            <w:r>
              <w:rPr>
                <w:sz w:val="20"/>
              </w:rPr>
              <w:t>reja</w:t>
            </w:r>
            <w:r>
              <w:rPr>
                <w:spacing w:val="-1"/>
                <w:sz w:val="20"/>
              </w:rPr>
              <w:t> </w:t>
            </w:r>
            <w:r>
              <w:rPr>
                <w:sz w:val="20"/>
              </w:rPr>
              <w:t>për</w:t>
            </w:r>
            <w:r>
              <w:rPr>
                <w:spacing w:val="-1"/>
                <w:sz w:val="20"/>
              </w:rPr>
              <w:t> </w:t>
            </w:r>
            <w:r>
              <w:rPr>
                <w:spacing w:val="-2"/>
                <w:sz w:val="20"/>
              </w:rPr>
              <w:t>zhvillim</w:t>
            </w:r>
          </w:p>
          <w:p>
            <w:pPr>
              <w:pStyle w:val="TableParagraph"/>
              <w:numPr>
                <w:ilvl w:val="0"/>
                <w:numId w:val="17"/>
              </w:numPr>
              <w:tabs>
                <w:tab w:pos="828" w:val="left" w:leader="none"/>
              </w:tabs>
              <w:spacing w:line="223" w:lineRule="auto" w:before="16" w:after="0"/>
              <w:ind w:left="828" w:right="804" w:hanging="360"/>
              <w:jc w:val="left"/>
              <w:rPr>
                <w:sz w:val="20"/>
              </w:rPr>
            </w:pPr>
            <w:r>
              <w:rPr>
                <w:sz w:val="20"/>
              </w:rPr>
              <w:t>Tërheqje e </w:t>
            </w:r>
            <w:r>
              <w:rPr>
                <w:spacing w:val="-2"/>
                <w:sz w:val="20"/>
              </w:rPr>
              <w:t>investimeve</w:t>
            </w:r>
          </w:p>
        </w:tc>
        <w:tc>
          <w:tcPr>
            <w:tcW w:w="3419" w:type="dxa"/>
          </w:tcPr>
          <w:p>
            <w:pPr>
              <w:pStyle w:val="TableParagraph"/>
              <w:rPr>
                <w:b/>
                <w:sz w:val="20"/>
              </w:rPr>
            </w:pPr>
          </w:p>
          <w:p>
            <w:pPr>
              <w:pStyle w:val="TableParagraph"/>
              <w:tabs>
                <w:tab w:pos="1188" w:val="left" w:leader="none"/>
              </w:tabs>
              <w:ind w:left="1188" w:right="291" w:hanging="360"/>
              <w:rPr>
                <w:sz w:val="20"/>
              </w:rPr>
            </w:pPr>
            <w:r>
              <w:rPr>
                <w:spacing w:val="-6"/>
                <w:sz w:val="20"/>
              </w:rPr>
              <w:t>1.</w:t>
            </w:r>
            <w:r>
              <w:rPr>
                <w:sz w:val="20"/>
              </w:rPr>
              <w:tab/>
              <w:t>Hartimi</w:t>
            </w:r>
            <w:r>
              <w:rPr>
                <w:spacing w:val="-13"/>
                <w:sz w:val="20"/>
              </w:rPr>
              <w:t> </w:t>
            </w:r>
            <w:r>
              <w:rPr>
                <w:sz w:val="20"/>
              </w:rPr>
              <w:t>i</w:t>
            </w:r>
            <w:r>
              <w:rPr>
                <w:spacing w:val="-12"/>
                <w:sz w:val="20"/>
              </w:rPr>
              <w:t> </w:t>
            </w:r>
            <w:r>
              <w:rPr>
                <w:sz w:val="20"/>
              </w:rPr>
              <w:t>Strategjisë</w:t>
            </w:r>
            <w:r>
              <w:rPr>
                <w:spacing w:val="-13"/>
                <w:sz w:val="20"/>
              </w:rPr>
              <w:t> </w:t>
            </w:r>
            <w:r>
              <w:rPr>
                <w:sz w:val="20"/>
              </w:rPr>
              <w:t>për </w:t>
            </w:r>
            <w:r>
              <w:rPr>
                <w:spacing w:val="-2"/>
                <w:sz w:val="20"/>
              </w:rPr>
              <w:t>Turizëm</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w:t>
            </w:r>
          </w:p>
          <w:p>
            <w:pPr>
              <w:pStyle w:val="TableParagraph"/>
              <w:spacing w:line="230" w:lineRule="exact"/>
              <w:ind w:left="386" w:right="372"/>
              <w:jc w:val="center"/>
              <w:rPr>
                <w:sz w:val="20"/>
              </w:rPr>
            </w:pPr>
            <w:r>
              <w:rPr>
                <w:sz w:val="20"/>
              </w:rPr>
              <w:t>Drejtoria</w:t>
            </w:r>
            <w:r>
              <w:rPr>
                <w:spacing w:val="-13"/>
                <w:sz w:val="20"/>
              </w:rPr>
              <w:t> </w:t>
            </w:r>
            <w:r>
              <w:rPr>
                <w:sz w:val="20"/>
              </w:rPr>
              <w:t>për </w:t>
            </w:r>
            <w:r>
              <w:rPr>
                <w:spacing w:val="-2"/>
                <w:sz w:val="20"/>
              </w:rPr>
              <w:t>Urbanizëm</w:t>
            </w:r>
          </w:p>
        </w:tc>
        <w:tc>
          <w:tcPr>
            <w:tcW w:w="1889" w:type="dxa"/>
          </w:tcPr>
          <w:p>
            <w:pPr>
              <w:pStyle w:val="TableParagraph"/>
              <w:ind w:left="111"/>
              <w:rPr>
                <w:sz w:val="20"/>
              </w:rPr>
            </w:pPr>
            <w:r>
              <w:rPr>
                <w:spacing w:val="-2"/>
                <w:sz w:val="20"/>
              </w:rPr>
              <w:t>2024-</w:t>
            </w:r>
            <w:r>
              <w:rPr>
                <w:spacing w:val="-4"/>
                <w:sz w:val="20"/>
              </w:rPr>
              <w:t>2025</w:t>
            </w:r>
          </w:p>
        </w:tc>
        <w:tc>
          <w:tcPr>
            <w:tcW w:w="1829" w:type="dxa"/>
          </w:tcPr>
          <w:p>
            <w:pPr>
              <w:pStyle w:val="TableParagraph"/>
              <w:ind w:left="111"/>
              <w:rPr>
                <w:sz w:val="20"/>
              </w:rPr>
            </w:pPr>
            <w:r>
              <w:rPr>
                <w:sz w:val="20"/>
              </w:rPr>
              <w:t>3,500.00</w:t>
            </w:r>
            <w:r>
              <w:rPr>
                <w:spacing w:val="-2"/>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80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1188" w:val="left" w:leader="none"/>
              </w:tabs>
              <w:ind w:left="1188" w:right="135" w:hanging="360"/>
              <w:rPr>
                <w:sz w:val="20"/>
              </w:rPr>
            </w:pPr>
            <w:r>
              <w:rPr>
                <w:spacing w:val="-6"/>
                <w:sz w:val="20"/>
              </w:rPr>
              <w:t>2.</w:t>
            </w:r>
            <w:r>
              <w:rPr>
                <w:sz w:val="20"/>
              </w:rPr>
              <w:tab/>
              <w:t>Dizajnimi i parqeve rekreative në fshatin Gorancë</w:t>
            </w:r>
            <w:r>
              <w:rPr>
                <w:spacing w:val="-13"/>
                <w:sz w:val="20"/>
              </w:rPr>
              <w:t> </w:t>
            </w:r>
            <w:r>
              <w:rPr>
                <w:sz w:val="20"/>
              </w:rPr>
              <w:t>dhe</w:t>
            </w:r>
            <w:r>
              <w:rPr>
                <w:spacing w:val="-12"/>
                <w:sz w:val="20"/>
              </w:rPr>
              <w:t> </w:t>
            </w:r>
            <w:r>
              <w:rPr>
                <w:sz w:val="20"/>
              </w:rPr>
              <w:t>në</w:t>
            </w:r>
            <w:r>
              <w:rPr>
                <w:spacing w:val="-12"/>
                <w:sz w:val="20"/>
              </w:rPr>
              <w:t> </w:t>
            </w:r>
            <w:r>
              <w:rPr>
                <w:sz w:val="20"/>
              </w:rPr>
              <w:t>Paldenicë</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ind w:left="111"/>
              <w:rPr>
                <w:sz w:val="20"/>
              </w:rPr>
            </w:pPr>
            <w:r>
              <w:rPr>
                <w:spacing w:val="-4"/>
                <w:sz w:val="20"/>
              </w:rPr>
              <w:t>2024</w:t>
            </w:r>
          </w:p>
        </w:tc>
        <w:tc>
          <w:tcPr>
            <w:tcW w:w="1829" w:type="dxa"/>
          </w:tcPr>
          <w:p>
            <w:pPr>
              <w:pStyle w:val="TableParagraph"/>
              <w:ind w:left="111"/>
              <w:rPr>
                <w:sz w:val="20"/>
              </w:rPr>
            </w:pPr>
            <w:r>
              <w:rPr>
                <w:sz w:val="20"/>
              </w:rPr>
              <w:t>50,000.00</w:t>
            </w:r>
            <w:r>
              <w:rPr>
                <w:spacing w:val="-1"/>
                <w:sz w:val="20"/>
              </w:rPr>
              <w:t> </w:t>
            </w:r>
            <w:r>
              <w:rPr>
                <w:spacing w:val="-10"/>
                <w:sz w:val="20"/>
              </w:rPr>
              <w:t>€</w:t>
            </w:r>
          </w:p>
        </w:tc>
        <w:tc>
          <w:tcPr>
            <w:tcW w:w="2023" w:type="dxa"/>
          </w:tcPr>
          <w:p>
            <w:pPr>
              <w:pStyle w:val="TableParagraph"/>
              <w:ind w:left="112"/>
              <w:rPr>
                <w:sz w:val="20"/>
              </w:rPr>
            </w:pPr>
            <w:r>
              <w:rPr>
                <w:sz w:val="20"/>
              </w:rPr>
              <w:t>Komuna</w:t>
            </w:r>
            <w:r>
              <w:rPr>
                <w:spacing w:val="-1"/>
                <w:sz w:val="20"/>
              </w:rPr>
              <w:t> </w:t>
            </w:r>
            <w:r>
              <w:rPr>
                <w:spacing w:val="-5"/>
                <w:sz w:val="20"/>
              </w:rPr>
              <w:t>HE</w:t>
            </w:r>
          </w:p>
        </w:tc>
      </w:tr>
      <w:tr>
        <w:trPr>
          <w:trHeight w:val="92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1188" w:val="left" w:leader="none"/>
              </w:tabs>
              <w:ind w:left="1188" w:right="296" w:hanging="360"/>
              <w:rPr>
                <w:sz w:val="20"/>
              </w:rPr>
            </w:pPr>
            <w:r>
              <w:rPr>
                <w:spacing w:val="-6"/>
                <w:sz w:val="20"/>
              </w:rPr>
              <w:t>3.</w:t>
            </w:r>
            <w:r>
              <w:rPr>
                <w:sz w:val="20"/>
              </w:rPr>
              <w:tab/>
              <w:t>Restaurime në objektet me</w:t>
            </w:r>
            <w:r>
              <w:rPr>
                <w:spacing w:val="-13"/>
                <w:sz w:val="20"/>
              </w:rPr>
              <w:t> </w:t>
            </w:r>
            <w:r>
              <w:rPr>
                <w:sz w:val="20"/>
              </w:rPr>
              <w:t>trashëgimi</w:t>
            </w:r>
            <w:r>
              <w:rPr>
                <w:spacing w:val="-12"/>
                <w:sz w:val="20"/>
              </w:rPr>
              <w:t> </w:t>
            </w:r>
            <w:r>
              <w:rPr>
                <w:sz w:val="20"/>
              </w:rPr>
              <w:t>kulturore në Puset e Nikës</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w:t>
            </w:r>
          </w:p>
          <w:p>
            <w:pPr>
              <w:pStyle w:val="TableParagraph"/>
              <w:spacing w:line="230" w:lineRule="exact"/>
              <w:ind w:left="386" w:right="372"/>
              <w:jc w:val="center"/>
              <w:rPr>
                <w:sz w:val="20"/>
              </w:rPr>
            </w:pPr>
            <w:r>
              <w:rPr>
                <w:sz w:val="20"/>
              </w:rPr>
              <w:t>Drejtoria</w:t>
            </w:r>
            <w:r>
              <w:rPr>
                <w:spacing w:val="-13"/>
                <w:sz w:val="20"/>
              </w:rPr>
              <w:t> </w:t>
            </w:r>
            <w:r>
              <w:rPr>
                <w:sz w:val="20"/>
              </w:rPr>
              <w:t>për </w:t>
            </w:r>
            <w:r>
              <w:rPr>
                <w:spacing w:val="-2"/>
                <w:sz w:val="20"/>
              </w:rPr>
              <w:t>Kulturë</w:t>
            </w:r>
          </w:p>
        </w:tc>
        <w:tc>
          <w:tcPr>
            <w:tcW w:w="1889" w:type="dxa"/>
          </w:tcPr>
          <w:p>
            <w:pPr>
              <w:pStyle w:val="TableParagraph"/>
              <w:ind w:left="111"/>
              <w:rPr>
                <w:sz w:val="20"/>
              </w:rPr>
            </w:pPr>
            <w:r>
              <w:rPr>
                <w:spacing w:val="-2"/>
                <w:sz w:val="20"/>
              </w:rPr>
              <w:t>2023-</w:t>
            </w:r>
            <w:r>
              <w:rPr>
                <w:spacing w:val="-4"/>
                <w:sz w:val="20"/>
              </w:rPr>
              <w:t>2027</w:t>
            </w:r>
          </w:p>
        </w:tc>
        <w:tc>
          <w:tcPr>
            <w:tcW w:w="1829" w:type="dxa"/>
          </w:tcPr>
          <w:p>
            <w:pPr>
              <w:pStyle w:val="TableParagraph"/>
              <w:rPr>
                <w:b/>
                <w:sz w:val="20"/>
              </w:rPr>
            </w:pPr>
          </w:p>
          <w:p>
            <w:pPr>
              <w:pStyle w:val="TableParagraph"/>
              <w:ind w:left="111"/>
              <w:rPr>
                <w:sz w:val="20"/>
              </w:rPr>
            </w:pPr>
            <w:r>
              <w:rPr>
                <w:sz w:val="20"/>
              </w:rPr>
              <w:t>30,000.00</w:t>
            </w:r>
            <w:r>
              <w:rPr>
                <w:spacing w:val="-1"/>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952"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1188" w:val="left" w:leader="none"/>
              </w:tabs>
              <w:ind w:left="1188" w:right="373" w:hanging="360"/>
              <w:rPr>
                <w:sz w:val="20"/>
              </w:rPr>
            </w:pPr>
            <w:r>
              <w:rPr>
                <w:spacing w:val="-6"/>
                <w:sz w:val="20"/>
              </w:rPr>
              <w:t>4.</w:t>
            </w:r>
            <w:r>
              <w:rPr>
                <w:sz w:val="20"/>
              </w:rPr>
              <w:tab/>
              <w:t>Krijimi i hapësirave turistike malore dhe krijimi i mudësive për bujtina</w:t>
            </w:r>
            <w:r>
              <w:rPr>
                <w:spacing w:val="-1"/>
                <w:sz w:val="20"/>
              </w:rPr>
              <w:t> </w:t>
            </w:r>
            <w:r>
              <w:rPr>
                <w:sz w:val="20"/>
              </w:rPr>
              <w:t>dhe</w:t>
            </w:r>
            <w:r>
              <w:rPr>
                <w:spacing w:val="-1"/>
                <w:sz w:val="20"/>
              </w:rPr>
              <w:t> </w:t>
            </w:r>
            <w:r>
              <w:rPr>
                <w:spacing w:val="-2"/>
                <w:sz w:val="20"/>
              </w:rPr>
              <w:t>gastronomi</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w:t>
            </w:r>
            <w:r>
              <w:rPr>
                <w:spacing w:val="-2"/>
                <w:sz w:val="20"/>
              </w:rPr>
              <w:t>Urbanizëm</w:t>
            </w:r>
          </w:p>
        </w:tc>
        <w:tc>
          <w:tcPr>
            <w:tcW w:w="1889" w:type="dxa"/>
          </w:tcPr>
          <w:p>
            <w:pPr>
              <w:pStyle w:val="TableParagraph"/>
              <w:ind w:left="111"/>
              <w:rPr>
                <w:sz w:val="20"/>
              </w:rPr>
            </w:pPr>
            <w:r>
              <w:rPr>
                <w:spacing w:val="-2"/>
                <w:sz w:val="20"/>
              </w:rPr>
              <w:t>2025-</w:t>
            </w:r>
            <w:r>
              <w:rPr>
                <w:spacing w:val="-4"/>
                <w:sz w:val="20"/>
              </w:rPr>
              <w:t>2026</w:t>
            </w:r>
          </w:p>
        </w:tc>
        <w:tc>
          <w:tcPr>
            <w:tcW w:w="1829" w:type="dxa"/>
          </w:tcPr>
          <w:p>
            <w:pPr>
              <w:pStyle w:val="TableParagraph"/>
              <w:rPr>
                <w:b/>
                <w:sz w:val="20"/>
              </w:rPr>
            </w:pPr>
          </w:p>
          <w:p>
            <w:pPr>
              <w:pStyle w:val="TableParagraph"/>
              <w:ind w:left="111"/>
              <w:rPr>
                <w:sz w:val="20"/>
              </w:rPr>
            </w:pPr>
            <w:r>
              <w:rPr>
                <w:sz w:val="20"/>
              </w:rPr>
              <w:t>80,000.00</w:t>
            </w:r>
            <w:r>
              <w:rPr>
                <w:spacing w:val="-1"/>
                <w:sz w:val="20"/>
              </w:rPr>
              <w:t> </w:t>
            </w:r>
            <w:r>
              <w:rPr>
                <w:spacing w:val="-10"/>
                <w:sz w:val="20"/>
              </w:rPr>
              <w:t>€</w:t>
            </w:r>
          </w:p>
        </w:tc>
        <w:tc>
          <w:tcPr>
            <w:tcW w:w="2023" w:type="dxa"/>
          </w:tcPr>
          <w:p>
            <w:pPr>
              <w:pStyle w:val="TableParagraph"/>
              <w:rPr>
                <w:b/>
                <w:sz w:val="20"/>
              </w:rPr>
            </w:pPr>
          </w:p>
          <w:p>
            <w:pPr>
              <w:pStyle w:val="TableParagraph"/>
              <w:ind w:left="112"/>
              <w:rPr>
                <w:sz w:val="20"/>
              </w:rPr>
            </w:pPr>
            <w:r>
              <w:rPr>
                <w:sz w:val="20"/>
              </w:rPr>
              <w:t>Komuna</w:t>
            </w:r>
            <w:r>
              <w:rPr>
                <w:spacing w:val="-1"/>
                <w:sz w:val="20"/>
              </w:rPr>
              <w:t> </w:t>
            </w:r>
            <w:r>
              <w:rPr>
                <w:spacing w:val="-5"/>
                <w:sz w:val="20"/>
              </w:rPr>
              <w:t>HE</w:t>
            </w:r>
          </w:p>
        </w:tc>
      </w:tr>
      <w:tr>
        <w:trPr>
          <w:trHeight w:val="953"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ind w:left="1188" w:right="106" w:hanging="360"/>
              <w:jc w:val="both"/>
              <w:rPr>
                <w:sz w:val="20"/>
              </w:rPr>
            </w:pPr>
            <w:r>
              <w:rPr>
                <w:sz w:val="20"/>
              </w:rPr>
              <w:t>5.</w:t>
            </w:r>
            <w:r>
              <w:rPr>
                <w:spacing w:val="80"/>
                <w:sz w:val="20"/>
              </w:rPr>
              <w:t> </w:t>
            </w:r>
            <w:r>
              <w:rPr>
                <w:sz w:val="20"/>
              </w:rPr>
              <w:t>Krijimi</w:t>
            </w:r>
            <w:r>
              <w:rPr>
                <w:spacing w:val="-6"/>
                <w:sz w:val="20"/>
              </w:rPr>
              <w:t> </w:t>
            </w:r>
            <w:r>
              <w:rPr>
                <w:sz w:val="20"/>
              </w:rPr>
              <w:t>i</w:t>
            </w:r>
            <w:r>
              <w:rPr>
                <w:spacing w:val="-5"/>
                <w:sz w:val="20"/>
              </w:rPr>
              <w:t> </w:t>
            </w:r>
            <w:r>
              <w:rPr>
                <w:sz w:val="20"/>
              </w:rPr>
              <w:t>shtigjeve</w:t>
            </w:r>
            <w:r>
              <w:rPr>
                <w:spacing w:val="-5"/>
                <w:sz w:val="20"/>
              </w:rPr>
              <w:t> </w:t>
            </w:r>
            <w:r>
              <w:rPr>
                <w:sz w:val="20"/>
              </w:rPr>
              <w:t>të</w:t>
            </w:r>
            <w:r>
              <w:rPr>
                <w:spacing w:val="-5"/>
                <w:sz w:val="20"/>
              </w:rPr>
              <w:t> </w:t>
            </w:r>
            <w:r>
              <w:rPr>
                <w:sz w:val="20"/>
              </w:rPr>
              <w:t>ecjes dhe ciklizmit malor nëpër zonat rurale</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w:t>
            </w:r>
            <w:r>
              <w:rPr>
                <w:spacing w:val="-2"/>
                <w:sz w:val="20"/>
              </w:rPr>
              <w:t>Urbanizëm</w:t>
            </w:r>
          </w:p>
        </w:tc>
        <w:tc>
          <w:tcPr>
            <w:tcW w:w="1889" w:type="dxa"/>
          </w:tcPr>
          <w:p>
            <w:pPr>
              <w:pStyle w:val="TableParagraph"/>
              <w:ind w:left="111"/>
              <w:rPr>
                <w:sz w:val="20"/>
              </w:rPr>
            </w:pPr>
            <w:r>
              <w:rPr>
                <w:spacing w:val="-2"/>
                <w:sz w:val="20"/>
              </w:rPr>
              <w:t>2025-</w:t>
            </w:r>
            <w:r>
              <w:rPr>
                <w:spacing w:val="-4"/>
                <w:sz w:val="20"/>
              </w:rPr>
              <w:t>2026</w:t>
            </w:r>
          </w:p>
        </w:tc>
        <w:tc>
          <w:tcPr>
            <w:tcW w:w="1829" w:type="dxa"/>
          </w:tcPr>
          <w:p>
            <w:pPr>
              <w:pStyle w:val="TableParagraph"/>
              <w:ind w:left="111"/>
              <w:rPr>
                <w:sz w:val="20"/>
              </w:rPr>
            </w:pPr>
            <w:r>
              <w:rPr>
                <w:sz w:val="20"/>
              </w:rPr>
              <w:t>25,000.00</w:t>
            </w:r>
            <w:r>
              <w:rPr>
                <w:spacing w:val="-1"/>
                <w:sz w:val="20"/>
              </w:rPr>
              <w:t> </w:t>
            </w:r>
            <w:r>
              <w:rPr>
                <w:spacing w:val="-10"/>
                <w:sz w:val="20"/>
              </w:rPr>
              <w:t>€</w:t>
            </w:r>
          </w:p>
        </w:tc>
        <w:tc>
          <w:tcPr>
            <w:tcW w:w="2023" w:type="dxa"/>
          </w:tcPr>
          <w:p>
            <w:pPr>
              <w:pStyle w:val="TableParagraph"/>
              <w:ind w:left="112" w:right="260"/>
              <w:rPr>
                <w:sz w:val="20"/>
              </w:rPr>
            </w:pPr>
            <w:r>
              <w:rPr>
                <w:sz w:val="20"/>
              </w:rPr>
              <w:t>Komuna HE Donatorë</w:t>
            </w:r>
            <w:r>
              <w:rPr>
                <w:spacing w:val="-13"/>
                <w:sz w:val="20"/>
              </w:rPr>
              <w:t> </w:t>
            </w:r>
            <w:r>
              <w:rPr>
                <w:sz w:val="20"/>
              </w:rPr>
              <w:t>të</w:t>
            </w:r>
            <w:r>
              <w:rPr>
                <w:spacing w:val="-12"/>
                <w:sz w:val="20"/>
              </w:rPr>
              <w:t> </w:t>
            </w:r>
            <w:r>
              <w:rPr>
                <w:sz w:val="20"/>
              </w:rPr>
              <w:t>jashtëm</w:t>
            </w:r>
          </w:p>
        </w:tc>
      </w:tr>
      <w:tr>
        <w:trPr>
          <w:trHeight w:val="1149"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1188" w:val="left" w:leader="none"/>
              </w:tabs>
              <w:ind w:left="1188" w:right="135" w:hanging="360"/>
              <w:rPr>
                <w:sz w:val="20"/>
              </w:rPr>
            </w:pPr>
            <w:r>
              <w:rPr>
                <w:spacing w:val="-6"/>
                <w:sz w:val="20"/>
              </w:rPr>
              <w:t>6.</w:t>
            </w:r>
            <w:r>
              <w:rPr>
                <w:sz w:val="20"/>
              </w:rPr>
              <w:tab/>
              <w:t>Intervenimi</w:t>
            </w:r>
            <w:r>
              <w:rPr>
                <w:spacing w:val="-13"/>
                <w:sz w:val="20"/>
              </w:rPr>
              <w:t> </w:t>
            </w:r>
            <w:r>
              <w:rPr>
                <w:sz w:val="20"/>
              </w:rPr>
              <w:t>në</w:t>
            </w:r>
            <w:r>
              <w:rPr>
                <w:spacing w:val="-12"/>
                <w:sz w:val="20"/>
              </w:rPr>
              <w:t> </w:t>
            </w:r>
            <w:r>
              <w:rPr>
                <w:sz w:val="20"/>
              </w:rPr>
              <w:t>hapësirat</w:t>
            </w:r>
            <w:r>
              <w:rPr>
                <w:spacing w:val="-12"/>
                <w:sz w:val="20"/>
              </w:rPr>
              <w:t> </w:t>
            </w:r>
            <w:r>
              <w:rPr>
                <w:sz w:val="20"/>
              </w:rPr>
              <w:t>e brendshme të trenit tek parku</w:t>
            </w:r>
            <w:r>
              <w:rPr>
                <w:spacing w:val="-13"/>
                <w:sz w:val="20"/>
              </w:rPr>
              <w:t> </w:t>
            </w:r>
            <w:r>
              <w:rPr>
                <w:sz w:val="20"/>
              </w:rPr>
              <w:t>memorial</w:t>
            </w:r>
            <w:r>
              <w:rPr>
                <w:spacing w:val="-12"/>
                <w:sz w:val="20"/>
              </w:rPr>
              <w:t> </w:t>
            </w:r>
            <w:r>
              <w:rPr>
                <w:sz w:val="20"/>
              </w:rPr>
              <w:t>Bllaca</w:t>
            </w:r>
            <w:r>
              <w:rPr>
                <w:spacing w:val="-13"/>
                <w:sz w:val="20"/>
              </w:rPr>
              <w:t> </w:t>
            </w:r>
            <w:r>
              <w:rPr>
                <w:sz w:val="20"/>
              </w:rPr>
              <w:t>99</w:t>
            </w:r>
          </w:p>
          <w:p>
            <w:pPr>
              <w:pStyle w:val="TableParagraph"/>
              <w:spacing w:line="230" w:lineRule="exact"/>
              <w:ind w:left="1188" w:right="273"/>
              <w:rPr>
                <w:sz w:val="20"/>
              </w:rPr>
            </w:pPr>
            <w:r>
              <w:rPr>
                <w:sz w:val="20"/>
              </w:rPr>
              <w:t>dhe</w:t>
            </w:r>
            <w:r>
              <w:rPr>
                <w:spacing w:val="-11"/>
                <w:sz w:val="20"/>
              </w:rPr>
              <w:t> </w:t>
            </w:r>
            <w:r>
              <w:rPr>
                <w:sz w:val="20"/>
              </w:rPr>
              <w:t>kthimi</w:t>
            </w:r>
            <w:r>
              <w:rPr>
                <w:spacing w:val="-9"/>
                <w:sz w:val="20"/>
              </w:rPr>
              <w:t> </w:t>
            </w:r>
            <w:r>
              <w:rPr>
                <w:sz w:val="20"/>
              </w:rPr>
              <w:t>i</w:t>
            </w:r>
            <w:r>
              <w:rPr>
                <w:spacing w:val="-9"/>
                <w:sz w:val="20"/>
              </w:rPr>
              <w:t> </w:t>
            </w:r>
            <w:r>
              <w:rPr>
                <w:sz w:val="20"/>
              </w:rPr>
              <w:t>trenit</w:t>
            </w:r>
            <w:r>
              <w:rPr>
                <w:spacing w:val="-9"/>
                <w:sz w:val="20"/>
              </w:rPr>
              <w:t> </w:t>
            </w:r>
            <w:r>
              <w:rPr>
                <w:sz w:val="20"/>
              </w:rPr>
              <w:t>në </w:t>
            </w:r>
            <w:r>
              <w:rPr>
                <w:spacing w:val="-4"/>
                <w:sz w:val="20"/>
              </w:rPr>
              <w:t>muze</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ind w:left="111"/>
              <w:rPr>
                <w:sz w:val="20"/>
              </w:rPr>
            </w:pPr>
            <w:r>
              <w:rPr>
                <w:spacing w:val="-4"/>
                <w:sz w:val="20"/>
              </w:rPr>
              <w:t>2025</w:t>
            </w:r>
          </w:p>
        </w:tc>
        <w:tc>
          <w:tcPr>
            <w:tcW w:w="1829" w:type="dxa"/>
          </w:tcPr>
          <w:p>
            <w:pPr>
              <w:pStyle w:val="TableParagraph"/>
              <w:rPr>
                <w:b/>
                <w:sz w:val="20"/>
              </w:rPr>
            </w:pPr>
          </w:p>
          <w:p>
            <w:pPr>
              <w:pStyle w:val="TableParagraph"/>
              <w:ind w:left="111"/>
              <w:rPr>
                <w:sz w:val="20"/>
              </w:rPr>
            </w:pPr>
            <w:r>
              <w:rPr>
                <w:sz w:val="20"/>
              </w:rPr>
              <w:t>50,000.00</w:t>
            </w:r>
            <w:r>
              <w:rPr>
                <w:spacing w:val="-1"/>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817"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ind w:left="1188" w:right="140" w:hanging="360"/>
              <w:jc w:val="both"/>
              <w:rPr>
                <w:sz w:val="20"/>
              </w:rPr>
            </w:pPr>
            <w:r>
              <w:rPr>
                <w:sz w:val="20"/>
              </w:rPr>
              <w:t>7.</w:t>
            </w:r>
            <w:r>
              <w:rPr>
                <w:spacing w:val="40"/>
                <w:sz w:val="20"/>
              </w:rPr>
              <w:t> </w:t>
            </w:r>
            <w:r>
              <w:rPr>
                <w:sz w:val="20"/>
              </w:rPr>
              <w:t>Rregullimi</w:t>
            </w:r>
            <w:r>
              <w:rPr>
                <w:spacing w:val="-3"/>
                <w:sz w:val="20"/>
              </w:rPr>
              <w:t> </w:t>
            </w:r>
            <w:r>
              <w:rPr>
                <w:sz w:val="20"/>
              </w:rPr>
              <w:t>i</w:t>
            </w:r>
            <w:r>
              <w:rPr>
                <w:spacing w:val="-4"/>
                <w:sz w:val="20"/>
              </w:rPr>
              <w:t> </w:t>
            </w:r>
            <w:r>
              <w:rPr>
                <w:sz w:val="20"/>
              </w:rPr>
              <w:t>hapësirës</w:t>
            </w:r>
            <w:r>
              <w:rPr>
                <w:spacing w:val="-4"/>
                <w:sz w:val="20"/>
              </w:rPr>
              <w:t> </w:t>
            </w:r>
            <w:r>
              <w:rPr>
                <w:sz w:val="20"/>
              </w:rPr>
              <w:t>tek zona</w:t>
            </w:r>
            <w:r>
              <w:rPr>
                <w:spacing w:val="-10"/>
                <w:sz w:val="20"/>
              </w:rPr>
              <w:t> </w:t>
            </w:r>
            <w:r>
              <w:rPr>
                <w:sz w:val="20"/>
              </w:rPr>
              <w:t>e</w:t>
            </w:r>
            <w:r>
              <w:rPr>
                <w:spacing w:val="-9"/>
                <w:sz w:val="20"/>
              </w:rPr>
              <w:t> </w:t>
            </w:r>
            <w:r>
              <w:rPr>
                <w:sz w:val="20"/>
              </w:rPr>
              <w:t>Shkronjave</w:t>
            </w:r>
            <w:r>
              <w:rPr>
                <w:spacing w:val="-9"/>
                <w:sz w:val="20"/>
              </w:rPr>
              <w:t> </w:t>
            </w:r>
            <w:r>
              <w:rPr>
                <w:sz w:val="20"/>
              </w:rPr>
              <w:t>të</w:t>
            </w:r>
            <w:r>
              <w:rPr>
                <w:spacing w:val="-10"/>
                <w:sz w:val="20"/>
              </w:rPr>
              <w:t> </w:t>
            </w:r>
            <w:r>
              <w:rPr>
                <w:sz w:val="20"/>
              </w:rPr>
              <w:t>Arta </w:t>
            </w:r>
            <w:r>
              <w:rPr>
                <w:spacing w:val="-2"/>
                <w:sz w:val="20"/>
              </w:rPr>
              <w:t>“U</w:t>
            </w:r>
            <w:r>
              <w:rPr>
                <w:i/>
                <w:spacing w:val="-2"/>
                <w:sz w:val="20"/>
              </w:rPr>
              <w:t>Ç</w:t>
            </w:r>
            <w:r>
              <w:rPr>
                <w:spacing w:val="-2"/>
                <w:sz w:val="20"/>
              </w:rPr>
              <w:t>K”</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spacing w:line="230" w:lineRule="exact"/>
              <w:ind w:left="111"/>
              <w:rPr>
                <w:sz w:val="20"/>
              </w:rPr>
            </w:pPr>
            <w:r>
              <w:rPr>
                <w:spacing w:val="-4"/>
                <w:sz w:val="20"/>
              </w:rPr>
              <w:t>2025</w:t>
            </w:r>
          </w:p>
        </w:tc>
        <w:tc>
          <w:tcPr>
            <w:tcW w:w="1829" w:type="dxa"/>
          </w:tcPr>
          <w:p>
            <w:pPr>
              <w:pStyle w:val="TableParagraph"/>
              <w:spacing w:before="11"/>
              <w:rPr>
                <w:b/>
                <w:sz w:val="19"/>
              </w:rPr>
            </w:pPr>
          </w:p>
          <w:p>
            <w:pPr>
              <w:pStyle w:val="TableParagraph"/>
              <w:ind w:left="111"/>
              <w:rPr>
                <w:sz w:val="20"/>
              </w:rPr>
            </w:pPr>
            <w:r>
              <w:rPr>
                <w:sz w:val="20"/>
              </w:rPr>
              <w:t>50,000.00</w:t>
            </w:r>
            <w:r>
              <w:rPr>
                <w:spacing w:val="-1"/>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927"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1188" w:val="left" w:leader="none"/>
              </w:tabs>
              <w:ind w:left="1188" w:right="96" w:hanging="360"/>
              <w:rPr>
                <w:sz w:val="20"/>
              </w:rPr>
            </w:pPr>
            <w:r>
              <w:rPr>
                <w:spacing w:val="-6"/>
                <w:sz w:val="20"/>
              </w:rPr>
              <w:t>8.</w:t>
            </w:r>
            <w:r>
              <w:rPr>
                <w:sz w:val="20"/>
              </w:rPr>
              <w:tab/>
              <w:t>Krijimi i portalit promovues</w:t>
            </w:r>
            <w:r>
              <w:rPr>
                <w:spacing w:val="-13"/>
                <w:sz w:val="20"/>
              </w:rPr>
              <w:t> </w:t>
            </w:r>
            <w:r>
              <w:rPr>
                <w:sz w:val="20"/>
              </w:rPr>
              <w:t>për</w:t>
            </w:r>
            <w:r>
              <w:rPr>
                <w:spacing w:val="-12"/>
                <w:sz w:val="20"/>
              </w:rPr>
              <w:t> </w:t>
            </w:r>
            <w:r>
              <w:rPr>
                <w:sz w:val="20"/>
              </w:rPr>
              <w:t>potencialet turistike në Han të Elezit</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ind w:left="111"/>
              <w:rPr>
                <w:sz w:val="20"/>
              </w:rPr>
            </w:pPr>
            <w:r>
              <w:rPr>
                <w:spacing w:val="-4"/>
                <w:sz w:val="20"/>
              </w:rPr>
              <w:t>2026</w:t>
            </w:r>
          </w:p>
        </w:tc>
        <w:tc>
          <w:tcPr>
            <w:tcW w:w="1829" w:type="dxa"/>
          </w:tcPr>
          <w:p>
            <w:pPr>
              <w:pStyle w:val="TableParagraph"/>
              <w:rPr>
                <w:b/>
                <w:sz w:val="20"/>
              </w:rPr>
            </w:pPr>
          </w:p>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rPr>
                <w:b/>
                <w:sz w:val="20"/>
              </w:rPr>
            </w:pPr>
          </w:p>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bl>
    <w:p>
      <w:pPr>
        <w:spacing w:after="0"/>
        <w:rPr>
          <w:sz w:val="20"/>
        </w:rPr>
        <w:sectPr>
          <w:pgSz w:w="15840" w:h="12240" w:orient="landscape"/>
          <w:pgMar w:header="0" w:footer="990" w:top="1380" w:bottom="1180" w:left="420" w:right="160"/>
        </w:sectPr>
      </w:pPr>
    </w:p>
    <w:p>
      <w:pPr>
        <w:pStyle w:val="BodyText"/>
        <w:spacing w:before="2"/>
        <w:rPr>
          <w:b/>
          <w:sz w:val="5"/>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1261"/>
        <w:gridCol w:w="2611"/>
        <w:gridCol w:w="3419"/>
        <w:gridCol w:w="1799"/>
        <w:gridCol w:w="1889"/>
        <w:gridCol w:w="1829"/>
        <w:gridCol w:w="2023"/>
      </w:tblGrid>
      <w:tr>
        <w:trPr>
          <w:trHeight w:val="1016" w:hRule="atLeast"/>
        </w:trPr>
        <w:tc>
          <w:tcPr>
            <w:tcW w:w="1261" w:type="dxa"/>
          </w:tcPr>
          <w:p>
            <w:pPr>
              <w:pStyle w:val="TableParagraph"/>
              <w:rPr>
                <w:sz w:val="20"/>
              </w:rPr>
            </w:pPr>
          </w:p>
        </w:tc>
        <w:tc>
          <w:tcPr>
            <w:tcW w:w="2611" w:type="dxa"/>
          </w:tcPr>
          <w:p>
            <w:pPr>
              <w:pStyle w:val="TableParagraph"/>
              <w:rPr>
                <w:sz w:val="20"/>
              </w:rPr>
            </w:pPr>
          </w:p>
        </w:tc>
        <w:tc>
          <w:tcPr>
            <w:tcW w:w="3419" w:type="dxa"/>
          </w:tcPr>
          <w:p>
            <w:pPr>
              <w:pStyle w:val="TableParagraph"/>
              <w:tabs>
                <w:tab w:pos="1188" w:val="left" w:leader="none"/>
              </w:tabs>
              <w:ind w:left="1188" w:right="519" w:hanging="360"/>
              <w:rPr>
                <w:sz w:val="20"/>
              </w:rPr>
            </w:pPr>
            <w:r>
              <w:rPr>
                <w:spacing w:val="-6"/>
                <w:sz w:val="20"/>
              </w:rPr>
              <w:t>9.</w:t>
            </w:r>
            <w:r>
              <w:rPr>
                <w:sz w:val="20"/>
              </w:rPr>
              <w:tab/>
              <w:t>Hulumtime</w:t>
            </w:r>
            <w:r>
              <w:rPr>
                <w:spacing w:val="-13"/>
                <w:sz w:val="20"/>
              </w:rPr>
              <w:t> </w:t>
            </w:r>
            <w:r>
              <w:rPr>
                <w:sz w:val="20"/>
              </w:rPr>
              <w:t>për</w:t>
            </w:r>
            <w:r>
              <w:rPr>
                <w:spacing w:val="-12"/>
                <w:sz w:val="20"/>
              </w:rPr>
              <w:t> </w:t>
            </w:r>
            <w:r>
              <w:rPr>
                <w:sz w:val="20"/>
              </w:rPr>
              <w:t>zonat arkeologjike dhe konzervimi i tyre</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w:t>
            </w:r>
            <w:r>
              <w:rPr>
                <w:spacing w:val="-2"/>
                <w:sz w:val="20"/>
              </w:rPr>
              <w:t>Kulturë</w:t>
            </w:r>
          </w:p>
        </w:tc>
        <w:tc>
          <w:tcPr>
            <w:tcW w:w="1889" w:type="dxa"/>
          </w:tcPr>
          <w:p>
            <w:pPr>
              <w:pStyle w:val="TableParagraph"/>
              <w:ind w:left="111"/>
              <w:rPr>
                <w:sz w:val="20"/>
              </w:rPr>
            </w:pPr>
            <w:r>
              <w:rPr>
                <w:spacing w:val="-2"/>
                <w:sz w:val="20"/>
              </w:rPr>
              <w:t>2023-</w:t>
            </w:r>
            <w:r>
              <w:rPr>
                <w:spacing w:val="-4"/>
                <w:sz w:val="20"/>
              </w:rPr>
              <w:t>2027</w:t>
            </w:r>
          </w:p>
        </w:tc>
        <w:tc>
          <w:tcPr>
            <w:tcW w:w="1829" w:type="dxa"/>
          </w:tcPr>
          <w:p>
            <w:pPr>
              <w:pStyle w:val="TableParagraph"/>
              <w:rPr>
                <w:b/>
                <w:sz w:val="20"/>
              </w:rPr>
            </w:pPr>
          </w:p>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1069" w:hRule="atLeast"/>
        </w:trPr>
        <w:tc>
          <w:tcPr>
            <w:tcW w:w="1261" w:type="dxa"/>
            <w:vMerge w:val="restart"/>
            <w:textDirection w:val="btLr"/>
          </w:tcPr>
          <w:p>
            <w:pPr>
              <w:pStyle w:val="TableParagraph"/>
              <w:rPr>
                <w:b/>
                <w:sz w:val="22"/>
              </w:rPr>
            </w:pPr>
          </w:p>
          <w:p>
            <w:pPr>
              <w:pStyle w:val="TableParagraph"/>
              <w:tabs>
                <w:tab w:pos="2819" w:val="left" w:leader="none"/>
              </w:tabs>
              <w:spacing w:before="129"/>
              <w:ind w:left="2459"/>
              <w:rPr>
                <w:b/>
                <w:sz w:val="20"/>
              </w:rPr>
            </w:pPr>
            <w:r>
              <w:rPr>
                <w:b/>
                <w:spacing w:val="-5"/>
                <w:sz w:val="20"/>
              </w:rPr>
              <w:t>3.</w:t>
            </w:r>
            <w:r>
              <w:rPr>
                <w:b/>
                <w:sz w:val="20"/>
              </w:rPr>
              <w:tab/>
              <w:t>Zhvillim</w:t>
            </w:r>
            <w:r>
              <w:rPr>
                <w:b/>
                <w:spacing w:val="-2"/>
                <w:sz w:val="20"/>
              </w:rPr>
              <w:t> </w:t>
            </w:r>
            <w:r>
              <w:rPr>
                <w:b/>
                <w:sz w:val="20"/>
              </w:rPr>
              <w:t>I</w:t>
            </w:r>
            <w:r>
              <w:rPr>
                <w:b/>
                <w:spacing w:val="-1"/>
                <w:sz w:val="20"/>
              </w:rPr>
              <w:t> </w:t>
            </w:r>
            <w:r>
              <w:rPr>
                <w:b/>
                <w:sz w:val="20"/>
              </w:rPr>
              <w:t>qëndrushëm</w:t>
            </w:r>
            <w:r>
              <w:rPr>
                <w:b/>
                <w:spacing w:val="-3"/>
                <w:sz w:val="20"/>
              </w:rPr>
              <w:t> </w:t>
            </w:r>
            <w:r>
              <w:rPr>
                <w:b/>
                <w:spacing w:val="-2"/>
                <w:sz w:val="20"/>
              </w:rPr>
              <w:t>ekonomik</w:t>
            </w:r>
          </w:p>
        </w:tc>
        <w:tc>
          <w:tcPr>
            <w:tcW w:w="261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4"/>
              </w:rPr>
            </w:pPr>
          </w:p>
          <w:p>
            <w:pPr>
              <w:pStyle w:val="TableParagraph"/>
              <w:numPr>
                <w:ilvl w:val="0"/>
                <w:numId w:val="18"/>
              </w:numPr>
              <w:tabs>
                <w:tab w:pos="828" w:val="left" w:leader="none"/>
              </w:tabs>
              <w:spacing w:line="232" w:lineRule="auto" w:before="0" w:after="0"/>
              <w:ind w:left="828" w:right="126" w:hanging="360"/>
              <w:jc w:val="left"/>
              <w:rPr>
                <w:sz w:val="20"/>
              </w:rPr>
            </w:pPr>
            <w:r>
              <w:rPr>
                <w:sz w:val="20"/>
              </w:rPr>
              <w:t>Zhvillim</w:t>
            </w:r>
            <w:r>
              <w:rPr>
                <w:spacing w:val="-13"/>
                <w:sz w:val="20"/>
              </w:rPr>
              <w:t> </w:t>
            </w:r>
            <w:r>
              <w:rPr>
                <w:sz w:val="20"/>
              </w:rPr>
              <w:t>I</w:t>
            </w:r>
            <w:r>
              <w:rPr>
                <w:spacing w:val="-12"/>
                <w:sz w:val="20"/>
              </w:rPr>
              <w:t> </w:t>
            </w:r>
            <w:r>
              <w:rPr>
                <w:sz w:val="20"/>
              </w:rPr>
              <w:t>balancuar I zonave me potencial ekonomik</w:t>
            </w:r>
          </w:p>
          <w:p>
            <w:pPr>
              <w:pStyle w:val="TableParagraph"/>
              <w:numPr>
                <w:ilvl w:val="0"/>
                <w:numId w:val="18"/>
              </w:numPr>
              <w:tabs>
                <w:tab w:pos="828" w:val="left" w:leader="none"/>
              </w:tabs>
              <w:spacing w:line="232" w:lineRule="auto" w:before="4" w:after="0"/>
              <w:ind w:left="828" w:right="271" w:hanging="360"/>
              <w:jc w:val="left"/>
              <w:rPr>
                <w:sz w:val="20"/>
              </w:rPr>
            </w:pPr>
            <w:r>
              <w:rPr>
                <w:spacing w:val="-2"/>
                <w:sz w:val="20"/>
              </w:rPr>
              <w:t>Shfrytëzueshmëria </w:t>
            </w:r>
            <w:r>
              <w:rPr>
                <w:sz w:val="20"/>
              </w:rPr>
              <w:t>racionale e burimeve</w:t>
            </w:r>
            <w:r>
              <w:rPr>
                <w:spacing w:val="-10"/>
                <w:sz w:val="20"/>
              </w:rPr>
              <w:t> </w:t>
            </w:r>
            <w:r>
              <w:rPr>
                <w:sz w:val="20"/>
              </w:rPr>
              <w:t>natyrore</w:t>
            </w:r>
          </w:p>
          <w:p>
            <w:pPr>
              <w:pStyle w:val="TableParagraph"/>
              <w:numPr>
                <w:ilvl w:val="0"/>
                <w:numId w:val="18"/>
              </w:numPr>
              <w:tabs>
                <w:tab w:pos="828" w:val="left" w:leader="none"/>
              </w:tabs>
              <w:spacing w:line="232" w:lineRule="auto" w:before="4" w:after="0"/>
              <w:ind w:left="828" w:right="238" w:hanging="360"/>
              <w:jc w:val="left"/>
              <w:rPr>
                <w:sz w:val="20"/>
              </w:rPr>
            </w:pPr>
            <w:r>
              <w:rPr>
                <w:sz w:val="20"/>
              </w:rPr>
              <w:t>Mbrojtje</w:t>
            </w:r>
            <w:r>
              <w:rPr>
                <w:spacing w:val="-13"/>
                <w:sz w:val="20"/>
              </w:rPr>
              <w:t> </w:t>
            </w:r>
            <w:r>
              <w:rPr>
                <w:sz w:val="20"/>
              </w:rPr>
              <w:t>e</w:t>
            </w:r>
            <w:r>
              <w:rPr>
                <w:spacing w:val="-12"/>
                <w:sz w:val="20"/>
              </w:rPr>
              <w:t> </w:t>
            </w:r>
            <w:r>
              <w:rPr>
                <w:sz w:val="20"/>
              </w:rPr>
              <w:t>mjedisit nga industria </w:t>
            </w:r>
            <w:r>
              <w:rPr>
                <w:spacing w:val="-2"/>
                <w:sz w:val="20"/>
              </w:rPr>
              <w:t>prodhuese</w:t>
            </w:r>
          </w:p>
          <w:p>
            <w:pPr>
              <w:pStyle w:val="TableParagraph"/>
              <w:numPr>
                <w:ilvl w:val="0"/>
                <w:numId w:val="18"/>
              </w:numPr>
              <w:tabs>
                <w:tab w:pos="828" w:val="left" w:leader="none"/>
              </w:tabs>
              <w:spacing w:line="223" w:lineRule="auto" w:before="12" w:after="0"/>
              <w:ind w:left="828" w:right="449" w:hanging="360"/>
              <w:jc w:val="left"/>
              <w:rPr>
                <w:sz w:val="20"/>
              </w:rPr>
            </w:pPr>
            <w:r>
              <w:rPr>
                <w:sz w:val="20"/>
              </w:rPr>
              <w:t>Krijimi</w:t>
            </w:r>
            <w:r>
              <w:rPr>
                <w:spacing w:val="-13"/>
                <w:sz w:val="20"/>
              </w:rPr>
              <w:t> </w:t>
            </w:r>
            <w:r>
              <w:rPr>
                <w:sz w:val="20"/>
              </w:rPr>
              <w:t>I</w:t>
            </w:r>
            <w:r>
              <w:rPr>
                <w:spacing w:val="-12"/>
                <w:sz w:val="20"/>
              </w:rPr>
              <w:t> </w:t>
            </w:r>
            <w:r>
              <w:rPr>
                <w:sz w:val="20"/>
              </w:rPr>
              <w:t>zonave </w:t>
            </w:r>
            <w:r>
              <w:rPr>
                <w:spacing w:val="-2"/>
                <w:sz w:val="20"/>
              </w:rPr>
              <w:t>ekonomike</w:t>
            </w:r>
          </w:p>
          <w:p>
            <w:pPr>
              <w:pStyle w:val="TableParagraph"/>
              <w:numPr>
                <w:ilvl w:val="0"/>
                <w:numId w:val="18"/>
              </w:numPr>
              <w:tabs>
                <w:tab w:pos="828" w:val="left" w:leader="none"/>
              </w:tabs>
              <w:spacing w:line="235" w:lineRule="auto" w:before="7" w:after="0"/>
              <w:ind w:left="828" w:right="170" w:hanging="360"/>
              <w:jc w:val="left"/>
              <w:rPr>
                <w:sz w:val="20"/>
              </w:rPr>
            </w:pPr>
            <w:r>
              <w:rPr>
                <w:sz w:val="20"/>
              </w:rPr>
              <w:t>Biznese</w:t>
            </w:r>
            <w:r>
              <w:rPr>
                <w:spacing w:val="-13"/>
                <w:sz w:val="20"/>
              </w:rPr>
              <w:t> </w:t>
            </w:r>
            <w:r>
              <w:rPr>
                <w:sz w:val="20"/>
              </w:rPr>
              <w:t>solide</w:t>
            </w:r>
            <w:r>
              <w:rPr>
                <w:spacing w:val="-12"/>
                <w:sz w:val="20"/>
              </w:rPr>
              <w:t> </w:t>
            </w:r>
            <w:r>
              <w:rPr>
                <w:sz w:val="20"/>
              </w:rPr>
              <w:t>duke </w:t>
            </w:r>
            <w:r>
              <w:rPr>
                <w:spacing w:val="-2"/>
                <w:sz w:val="20"/>
              </w:rPr>
              <w:t>shfrytëzuar </w:t>
            </w:r>
            <w:r>
              <w:rPr>
                <w:sz w:val="20"/>
              </w:rPr>
              <w:t>potencialet e </w:t>
            </w:r>
            <w:r>
              <w:rPr>
                <w:spacing w:val="-2"/>
                <w:sz w:val="20"/>
              </w:rPr>
              <w:t>komunës</w:t>
            </w:r>
          </w:p>
        </w:tc>
        <w:tc>
          <w:tcPr>
            <w:tcW w:w="3419" w:type="dxa"/>
          </w:tcPr>
          <w:p>
            <w:pPr>
              <w:pStyle w:val="TableParagraph"/>
              <w:rPr>
                <w:b/>
                <w:sz w:val="20"/>
              </w:rPr>
            </w:pPr>
          </w:p>
          <w:p>
            <w:pPr>
              <w:pStyle w:val="TableParagraph"/>
              <w:tabs>
                <w:tab w:pos="828" w:val="left" w:leader="none"/>
              </w:tabs>
              <w:ind w:left="828" w:right="189" w:hanging="360"/>
              <w:rPr>
                <w:sz w:val="20"/>
              </w:rPr>
            </w:pPr>
            <w:r>
              <w:rPr>
                <w:spacing w:val="-6"/>
                <w:sz w:val="20"/>
              </w:rPr>
              <w:t>1.</w:t>
            </w:r>
            <w:r>
              <w:rPr>
                <w:sz w:val="20"/>
              </w:rPr>
              <w:tab/>
              <w:t>Shqyrtimi</w:t>
            </w:r>
            <w:r>
              <w:rPr>
                <w:spacing w:val="-9"/>
                <w:sz w:val="20"/>
              </w:rPr>
              <w:t> </w:t>
            </w:r>
            <w:r>
              <w:rPr>
                <w:sz w:val="20"/>
              </w:rPr>
              <w:t>i</w:t>
            </w:r>
            <w:r>
              <w:rPr>
                <w:spacing w:val="-10"/>
                <w:sz w:val="20"/>
              </w:rPr>
              <w:t> </w:t>
            </w:r>
            <w:r>
              <w:rPr>
                <w:sz w:val="20"/>
              </w:rPr>
              <w:t>Hartave</w:t>
            </w:r>
            <w:r>
              <w:rPr>
                <w:spacing w:val="-9"/>
                <w:sz w:val="20"/>
              </w:rPr>
              <w:t> </w:t>
            </w:r>
            <w:r>
              <w:rPr>
                <w:sz w:val="20"/>
              </w:rPr>
              <w:t>Zonale</w:t>
            </w:r>
            <w:r>
              <w:rPr>
                <w:spacing w:val="-9"/>
                <w:sz w:val="20"/>
              </w:rPr>
              <w:t> </w:t>
            </w:r>
            <w:r>
              <w:rPr>
                <w:sz w:val="20"/>
              </w:rPr>
              <w:t>të </w:t>
            </w:r>
            <w:r>
              <w:rPr>
                <w:spacing w:val="-2"/>
                <w:sz w:val="20"/>
              </w:rPr>
              <w:t>Komunës</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w:t>
            </w:r>
            <w:r>
              <w:rPr>
                <w:spacing w:val="-2"/>
                <w:sz w:val="20"/>
              </w:rPr>
              <w:t>Urbanizëm</w:t>
            </w:r>
          </w:p>
        </w:tc>
        <w:tc>
          <w:tcPr>
            <w:tcW w:w="1889" w:type="dxa"/>
          </w:tcPr>
          <w:p>
            <w:pPr>
              <w:pStyle w:val="TableParagraph"/>
              <w:ind w:left="111"/>
              <w:rPr>
                <w:sz w:val="20"/>
              </w:rPr>
            </w:pPr>
            <w:r>
              <w:rPr>
                <w:spacing w:val="-4"/>
                <w:sz w:val="20"/>
              </w:rPr>
              <w:t>2024</w:t>
            </w:r>
          </w:p>
        </w:tc>
        <w:tc>
          <w:tcPr>
            <w:tcW w:w="1829" w:type="dxa"/>
          </w:tcPr>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ind w:left="112"/>
              <w:rPr>
                <w:sz w:val="20"/>
              </w:rPr>
            </w:pPr>
            <w:r>
              <w:rPr>
                <w:sz w:val="20"/>
              </w:rPr>
              <w:t>Komuna</w:t>
            </w:r>
            <w:r>
              <w:rPr>
                <w:spacing w:val="-1"/>
                <w:sz w:val="20"/>
              </w:rPr>
              <w:t> </w:t>
            </w:r>
            <w:r>
              <w:rPr>
                <w:spacing w:val="-5"/>
                <w:sz w:val="20"/>
              </w:rPr>
              <w:t>HE</w:t>
            </w:r>
          </w:p>
        </w:tc>
      </w:tr>
      <w:tr>
        <w:trPr>
          <w:trHeight w:val="92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261" w:hanging="360"/>
              <w:rPr>
                <w:sz w:val="20"/>
              </w:rPr>
            </w:pPr>
            <w:r>
              <w:rPr>
                <w:spacing w:val="-6"/>
                <w:sz w:val="20"/>
              </w:rPr>
              <w:t>2.</w:t>
            </w:r>
            <w:r>
              <w:rPr>
                <w:sz w:val="20"/>
              </w:rPr>
              <w:tab/>
              <w:t>Rregullimi i infrastrukturës teknike</w:t>
            </w:r>
            <w:r>
              <w:rPr>
                <w:spacing w:val="-13"/>
                <w:sz w:val="20"/>
              </w:rPr>
              <w:t> </w:t>
            </w:r>
            <w:r>
              <w:rPr>
                <w:sz w:val="20"/>
              </w:rPr>
              <w:t>për</w:t>
            </w:r>
            <w:r>
              <w:rPr>
                <w:spacing w:val="-12"/>
                <w:sz w:val="20"/>
              </w:rPr>
              <w:t> </w:t>
            </w:r>
            <w:r>
              <w:rPr>
                <w:sz w:val="20"/>
              </w:rPr>
              <w:t>zonat</w:t>
            </w:r>
            <w:r>
              <w:rPr>
                <w:spacing w:val="-12"/>
                <w:sz w:val="20"/>
              </w:rPr>
              <w:t> </w:t>
            </w:r>
            <w:r>
              <w:rPr>
                <w:sz w:val="20"/>
              </w:rPr>
              <w:t>ekonomike të caktuara</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w:t>
            </w:r>
          </w:p>
          <w:p>
            <w:pPr>
              <w:pStyle w:val="TableParagraph"/>
              <w:spacing w:line="210" w:lineRule="exact"/>
              <w:ind w:left="286" w:right="271"/>
              <w:jc w:val="center"/>
              <w:rPr>
                <w:sz w:val="20"/>
              </w:rPr>
            </w:pPr>
            <w:r>
              <w:rPr>
                <w:spacing w:val="-2"/>
                <w:sz w:val="20"/>
              </w:rPr>
              <w:t>Urbanizëm</w:t>
            </w:r>
          </w:p>
        </w:tc>
        <w:tc>
          <w:tcPr>
            <w:tcW w:w="1889" w:type="dxa"/>
          </w:tcPr>
          <w:p>
            <w:pPr>
              <w:pStyle w:val="TableParagraph"/>
              <w:ind w:left="111"/>
              <w:rPr>
                <w:sz w:val="20"/>
              </w:rPr>
            </w:pPr>
            <w:r>
              <w:rPr>
                <w:spacing w:val="-2"/>
                <w:sz w:val="20"/>
              </w:rPr>
              <w:t>2024-</w:t>
            </w:r>
            <w:r>
              <w:rPr>
                <w:spacing w:val="-4"/>
                <w:sz w:val="20"/>
              </w:rPr>
              <w:t>2027</w:t>
            </w:r>
          </w:p>
        </w:tc>
        <w:tc>
          <w:tcPr>
            <w:tcW w:w="1829" w:type="dxa"/>
          </w:tcPr>
          <w:p>
            <w:pPr>
              <w:pStyle w:val="TableParagraph"/>
              <w:ind w:left="111"/>
              <w:rPr>
                <w:sz w:val="20"/>
              </w:rPr>
            </w:pPr>
            <w:r>
              <w:rPr>
                <w:sz w:val="20"/>
              </w:rPr>
              <w:t>50,000.00</w:t>
            </w:r>
            <w:r>
              <w:rPr>
                <w:spacing w:val="-1"/>
                <w:sz w:val="20"/>
              </w:rPr>
              <w:t> </w:t>
            </w:r>
            <w:r>
              <w:rPr>
                <w:spacing w:val="-10"/>
                <w:sz w:val="20"/>
              </w:rPr>
              <w:t>€</w:t>
            </w:r>
          </w:p>
        </w:tc>
        <w:tc>
          <w:tcPr>
            <w:tcW w:w="2023" w:type="dxa"/>
          </w:tcPr>
          <w:p>
            <w:pPr>
              <w:pStyle w:val="TableParagraph"/>
              <w:ind w:left="112" w:right="260"/>
              <w:rPr>
                <w:sz w:val="20"/>
              </w:rPr>
            </w:pPr>
            <w:r>
              <w:rPr>
                <w:sz w:val="20"/>
              </w:rPr>
              <w:t>Komuna HE Donator</w:t>
            </w:r>
            <w:r>
              <w:rPr>
                <w:spacing w:val="-13"/>
                <w:sz w:val="20"/>
              </w:rPr>
              <w:t> </w:t>
            </w:r>
            <w:r>
              <w:rPr>
                <w:sz w:val="20"/>
              </w:rPr>
              <w:t>të</w:t>
            </w:r>
            <w:r>
              <w:rPr>
                <w:spacing w:val="-12"/>
                <w:sz w:val="20"/>
              </w:rPr>
              <w:t> </w:t>
            </w:r>
            <w:r>
              <w:rPr>
                <w:sz w:val="20"/>
              </w:rPr>
              <w:t>jashtëm</w:t>
            </w:r>
          </w:p>
        </w:tc>
      </w:tr>
      <w:tr>
        <w:trPr>
          <w:trHeight w:val="92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73" w:hanging="360"/>
              <w:rPr>
                <w:sz w:val="20"/>
              </w:rPr>
            </w:pPr>
            <w:r>
              <w:rPr>
                <w:spacing w:val="-6"/>
                <w:sz w:val="20"/>
              </w:rPr>
              <w:t>3.</w:t>
            </w:r>
            <w:r>
              <w:rPr>
                <w:sz w:val="20"/>
              </w:rPr>
              <w:tab/>
              <w:t>Rregullimi</w:t>
            </w:r>
            <w:r>
              <w:rPr>
                <w:spacing w:val="-13"/>
                <w:sz w:val="20"/>
              </w:rPr>
              <w:t> </w:t>
            </w:r>
            <w:r>
              <w:rPr>
                <w:sz w:val="20"/>
              </w:rPr>
              <w:t>i</w:t>
            </w:r>
            <w:r>
              <w:rPr>
                <w:spacing w:val="-12"/>
                <w:sz w:val="20"/>
              </w:rPr>
              <w:t> </w:t>
            </w:r>
            <w:r>
              <w:rPr>
                <w:sz w:val="20"/>
              </w:rPr>
              <w:t>infrastrukturës</w:t>
            </w:r>
            <w:r>
              <w:rPr>
                <w:spacing w:val="-13"/>
                <w:sz w:val="20"/>
              </w:rPr>
              <w:t> </w:t>
            </w:r>
            <w:r>
              <w:rPr>
                <w:sz w:val="20"/>
              </w:rPr>
              <w:t>së Tregut Ditor në qytet</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w:t>
            </w:r>
          </w:p>
          <w:p>
            <w:pPr>
              <w:pStyle w:val="TableParagraph"/>
              <w:spacing w:line="210" w:lineRule="exact"/>
              <w:ind w:left="286" w:right="271"/>
              <w:jc w:val="center"/>
              <w:rPr>
                <w:sz w:val="20"/>
              </w:rPr>
            </w:pPr>
            <w:r>
              <w:rPr>
                <w:spacing w:val="-2"/>
                <w:sz w:val="20"/>
              </w:rPr>
              <w:t>Urbanizëm</w:t>
            </w:r>
          </w:p>
        </w:tc>
        <w:tc>
          <w:tcPr>
            <w:tcW w:w="1889" w:type="dxa"/>
          </w:tcPr>
          <w:p>
            <w:pPr>
              <w:pStyle w:val="TableParagraph"/>
              <w:ind w:left="111"/>
              <w:rPr>
                <w:sz w:val="20"/>
              </w:rPr>
            </w:pPr>
            <w:r>
              <w:rPr>
                <w:spacing w:val="-2"/>
                <w:sz w:val="20"/>
              </w:rPr>
              <w:t>2024-</w:t>
            </w:r>
            <w:r>
              <w:rPr>
                <w:spacing w:val="-4"/>
                <w:sz w:val="20"/>
              </w:rPr>
              <w:t>2025</w:t>
            </w:r>
          </w:p>
        </w:tc>
        <w:tc>
          <w:tcPr>
            <w:tcW w:w="1829" w:type="dxa"/>
          </w:tcPr>
          <w:p>
            <w:pPr>
              <w:pStyle w:val="TableParagraph"/>
              <w:ind w:left="111"/>
              <w:rPr>
                <w:sz w:val="20"/>
              </w:rPr>
            </w:pPr>
            <w:r>
              <w:rPr>
                <w:sz w:val="20"/>
              </w:rPr>
              <w:t>65,000.00</w:t>
            </w:r>
            <w:r>
              <w:rPr>
                <w:spacing w:val="-1"/>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1149"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73" w:hanging="360"/>
              <w:rPr>
                <w:sz w:val="20"/>
              </w:rPr>
            </w:pPr>
            <w:r>
              <w:rPr>
                <w:spacing w:val="-6"/>
                <w:sz w:val="20"/>
              </w:rPr>
              <w:t>4.</w:t>
            </w:r>
            <w:r>
              <w:rPr>
                <w:sz w:val="20"/>
              </w:rPr>
              <w:tab/>
              <w:t>Minimizimi i ndotjes në mjedis nga industritë prodhuese</w:t>
            </w:r>
            <w:r>
              <w:rPr>
                <w:spacing w:val="-13"/>
                <w:sz w:val="20"/>
              </w:rPr>
              <w:t> </w:t>
            </w:r>
            <w:r>
              <w:rPr>
                <w:sz w:val="20"/>
              </w:rPr>
              <w:t>dhe</w:t>
            </w:r>
            <w:r>
              <w:rPr>
                <w:spacing w:val="-12"/>
                <w:sz w:val="20"/>
              </w:rPr>
              <w:t> </w:t>
            </w:r>
            <w:r>
              <w:rPr>
                <w:sz w:val="20"/>
              </w:rPr>
              <w:t>faktorët</w:t>
            </w:r>
            <w:r>
              <w:rPr>
                <w:spacing w:val="-13"/>
                <w:sz w:val="20"/>
              </w:rPr>
              <w:t> </w:t>
            </w:r>
            <w:r>
              <w:rPr>
                <w:sz w:val="20"/>
              </w:rPr>
              <w:t>ndotës të tjerë</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w:t>
            </w:r>
          </w:p>
          <w:p>
            <w:pPr>
              <w:pStyle w:val="TableParagraph"/>
              <w:spacing w:line="230" w:lineRule="exact"/>
              <w:ind w:left="287" w:right="271"/>
              <w:jc w:val="center"/>
              <w:rPr>
                <w:sz w:val="20"/>
              </w:rPr>
            </w:pPr>
            <w:r>
              <w:rPr>
                <w:sz w:val="20"/>
              </w:rPr>
              <w:t>Urbanizëm</w:t>
            </w:r>
            <w:r>
              <w:rPr>
                <w:spacing w:val="-13"/>
                <w:sz w:val="20"/>
              </w:rPr>
              <w:t> </w:t>
            </w:r>
            <w:r>
              <w:rPr>
                <w:sz w:val="20"/>
              </w:rPr>
              <w:t>dhe </w:t>
            </w:r>
            <w:r>
              <w:rPr>
                <w:spacing w:val="-2"/>
                <w:sz w:val="20"/>
              </w:rPr>
              <w:t>Mjedis</w:t>
            </w:r>
          </w:p>
        </w:tc>
        <w:tc>
          <w:tcPr>
            <w:tcW w:w="1889" w:type="dxa"/>
          </w:tcPr>
          <w:p>
            <w:pPr>
              <w:pStyle w:val="TableParagraph"/>
              <w:ind w:left="111"/>
              <w:rPr>
                <w:sz w:val="20"/>
              </w:rPr>
            </w:pPr>
            <w:r>
              <w:rPr>
                <w:spacing w:val="-2"/>
                <w:sz w:val="20"/>
              </w:rPr>
              <w:t>2023-</w:t>
            </w:r>
            <w:r>
              <w:rPr>
                <w:spacing w:val="-4"/>
                <w:sz w:val="20"/>
              </w:rPr>
              <w:t>2027</w:t>
            </w:r>
          </w:p>
        </w:tc>
        <w:tc>
          <w:tcPr>
            <w:tcW w:w="1829" w:type="dxa"/>
          </w:tcPr>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ind w:left="112"/>
              <w:rPr>
                <w:sz w:val="20"/>
              </w:rPr>
            </w:pPr>
            <w:r>
              <w:rPr>
                <w:sz w:val="20"/>
              </w:rPr>
              <w:t>Komuna</w:t>
            </w:r>
            <w:r>
              <w:rPr>
                <w:spacing w:val="-1"/>
                <w:sz w:val="20"/>
              </w:rPr>
              <w:t> </w:t>
            </w:r>
            <w:r>
              <w:rPr>
                <w:spacing w:val="-5"/>
                <w:sz w:val="20"/>
              </w:rPr>
              <w:t>HE</w:t>
            </w:r>
          </w:p>
        </w:tc>
      </w:tr>
      <w:tr>
        <w:trPr>
          <w:trHeight w:val="115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139" w:hanging="360"/>
              <w:rPr>
                <w:sz w:val="20"/>
              </w:rPr>
            </w:pPr>
            <w:r>
              <w:rPr>
                <w:spacing w:val="-6"/>
                <w:sz w:val="20"/>
              </w:rPr>
              <w:t>5.</w:t>
            </w:r>
            <w:r>
              <w:rPr>
                <w:sz w:val="20"/>
              </w:rPr>
              <w:tab/>
              <w:t>Shtimi i shiritave të gjelbërimit pranë zonave ekonomike</w:t>
            </w:r>
            <w:r>
              <w:rPr>
                <w:spacing w:val="-13"/>
                <w:sz w:val="20"/>
              </w:rPr>
              <w:t> </w:t>
            </w:r>
            <w:r>
              <w:rPr>
                <w:sz w:val="20"/>
              </w:rPr>
              <w:t>dhe</w:t>
            </w:r>
            <w:r>
              <w:rPr>
                <w:spacing w:val="-12"/>
                <w:sz w:val="20"/>
              </w:rPr>
              <w:t> </w:t>
            </w:r>
            <w:r>
              <w:rPr>
                <w:sz w:val="20"/>
              </w:rPr>
              <w:t>zonave</w:t>
            </w:r>
            <w:r>
              <w:rPr>
                <w:spacing w:val="-12"/>
                <w:sz w:val="20"/>
              </w:rPr>
              <w:t> </w:t>
            </w:r>
            <w:r>
              <w:rPr>
                <w:sz w:val="20"/>
              </w:rPr>
              <w:t>urbane ku ndotja është më e theksuar</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Urbanizëm dhe</w:t>
            </w:r>
          </w:p>
          <w:p>
            <w:pPr>
              <w:pStyle w:val="TableParagraph"/>
              <w:spacing w:line="210" w:lineRule="exact"/>
              <w:ind w:left="285" w:right="271"/>
              <w:jc w:val="center"/>
              <w:rPr>
                <w:sz w:val="20"/>
              </w:rPr>
            </w:pPr>
            <w:r>
              <w:rPr>
                <w:spacing w:val="-2"/>
                <w:sz w:val="20"/>
              </w:rPr>
              <w:t>Mjedis</w:t>
            </w:r>
          </w:p>
        </w:tc>
        <w:tc>
          <w:tcPr>
            <w:tcW w:w="1889" w:type="dxa"/>
          </w:tcPr>
          <w:p>
            <w:pPr>
              <w:pStyle w:val="TableParagraph"/>
              <w:ind w:left="111"/>
              <w:rPr>
                <w:sz w:val="20"/>
              </w:rPr>
            </w:pPr>
            <w:r>
              <w:rPr>
                <w:spacing w:val="-2"/>
                <w:sz w:val="20"/>
              </w:rPr>
              <w:t>2024-</w:t>
            </w:r>
            <w:r>
              <w:rPr>
                <w:spacing w:val="-4"/>
                <w:sz w:val="20"/>
              </w:rPr>
              <w:t>2027</w:t>
            </w:r>
          </w:p>
        </w:tc>
        <w:tc>
          <w:tcPr>
            <w:tcW w:w="1829" w:type="dxa"/>
          </w:tcPr>
          <w:p>
            <w:pPr>
              <w:pStyle w:val="TableParagraph"/>
              <w:ind w:left="111"/>
              <w:rPr>
                <w:sz w:val="20"/>
              </w:rPr>
            </w:pPr>
            <w:r>
              <w:rPr>
                <w:sz w:val="20"/>
              </w:rPr>
              <w:t>35,000.00</w:t>
            </w:r>
            <w:r>
              <w:rPr>
                <w:spacing w:val="-1"/>
                <w:sz w:val="20"/>
              </w:rPr>
              <w:t> </w:t>
            </w:r>
            <w:r>
              <w:rPr>
                <w:spacing w:val="-10"/>
                <w:sz w:val="20"/>
              </w:rPr>
              <w:t>€</w:t>
            </w:r>
          </w:p>
        </w:tc>
        <w:tc>
          <w:tcPr>
            <w:tcW w:w="2023" w:type="dxa"/>
          </w:tcPr>
          <w:p>
            <w:pPr>
              <w:pStyle w:val="TableParagraph"/>
              <w:ind w:left="112" w:right="733"/>
              <w:rPr>
                <w:sz w:val="20"/>
              </w:rPr>
            </w:pPr>
            <w:r>
              <w:rPr>
                <w:sz w:val="20"/>
              </w:rPr>
              <w:t>Komuna HE Sektori</w:t>
            </w:r>
            <w:r>
              <w:rPr>
                <w:spacing w:val="-13"/>
                <w:sz w:val="20"/>
              </w:rPr>
              <w:t> </w:t>
            </w:r>
            <w:r>
              <w:rPr>
                <w:sz w:val="20"/>
              </w:rPr>
              <w:t>privat- </w:t>
            </w:r>
            <w:r>
              <w:rPr>
                <w:spacing w:val="-2"/>
                <w:sz w:val="20"/>
              </w:rPr>
              <w:t>bizneset</w:t>
            </w:r>
          </w:p>
        </w:tc>
      </w:tr>
      <w:tr>
        <w:trPr>
          <w:trHeight w:val="689"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312" w:hanging="360"/>
              <w:rPr>
                <w:sz w:val="20"/>
              </w:rPr>
            </w:pPr>
            <w:r>
              <w:rPr>
                <w:spacing w:val="-6"/>
                <w:sz w:val="20"/>
              </w:rPr>
              <w:t>6.</w:t>
            </w:r>
            <w:r>
              <w:rPr>
                <w:sz w:val="20"/>
              </w:rPr>
              <w:tab/>
              <w:t>Investimet</w:t>
            </w:r>
            <w:r>
              <w:rPr>
                <w:spacing w:val="-9"/>
                <w:sz w:val="20"/>
              </w:rPr>
              <w:t> </w:t>
            </w:r>
            <w:r>
              <w:rPr>
                <w:sz w:val="20"/>
              </w:rPr>
              <w:t>tek</w:t>
            </w:r>
            <w:r>
              <w:rPr>
                <w:spacing w:val="-11"/>
                <w:sz w:val="20"/>
              </w:rPr>
              <w:t> </w:t>
            </w:r>
            <w:r>
              <w:rPr>
                <w:sz w:val="20"/>
              </w:rPr>
              <w:t>burimet</w:t>
            </w:r>
            <w:r>
              <w:rPr>
                <w:spacing w:val="-10"/>
                <w:sz w:val="20"/>
              </w:rPr>
              <w:t> </w:t>
            </w:r>
            <w:r>
              <w:rPr>
                <w:sz w:val="20"/>
              </w:rPr>
              <w:t>e</w:t>
            </w:r>
            <w:r>
              <w:rPr>
                <w:spacing w:val="-10"/>
                <w:sz w:val="20"/>
              </w:rPr>
              <w:t> </w:t>
            </w:r>
            <w:r>
              <w:rPr>
                <w:sz w:val="20"/>
              </w:rPr>
              <w:t>ujit mineral në Han të Elezit</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ind w:left="111"/>
              <w:rPr>
                <w:sz w:val="20"/>
              </w:rPr>
            </w:pPr>
            <w:r>
              <w:rPr>
                <w:spacing w:val="-4"/>
                <w:sz w:val="20"/>
              </w:rPr>
              <w:t>2025</w:t>
            </w:r>
          </w:p>
        </w:tc>
        <w:tc>
          <w:tcPr>
            <w:tcW w:w="1829" w:type="dxa"/>
          </w:tcPr>
          <w:p>
            <w:pPr>
              <w:pStyle w:val="TableParagraph"/>
              <w:ind w:left="111"/>
              <w:rPr>
                <w:sz w:val="20"/>
              </w:rPr>
            </w:pPr>
            <w:r>
              <w:rPr>
                <w:sz w:val="20"/>
              </w:rPr>
              <w:t>100,000.00</w:t>
            </w:r>
            <w:r>
              <w:rPr>
                <w:spacing w:val="-1"/>
                <w:sz w:val="20"/>
              </w:rPr>
              <w:t> </w:t>
            </w:r>
            <w:r>
              <w:rPr>
                <w:spacing w:val="-10"/>
                <w:sz w:val="20"/>
              </w:rPr>
              <w:t>€</w:t>
            </w:r>
          </w:p>
        </w:tc>
        <w:tc>
          <w:tcPr>
            <w:tcW w:w="2023" w:type="dxa"/>
          </w:tcPr>
          <w:p>
            <w:pPr>
              <w:pStyle w:val="TableParagraph"/>
              <w:ind w:left="112"/>
              <w:rPr>
                <w:sz w:val="20"/>
              </w:rPr>
            </w:pPr>
            <w:r>
              <w:rPr>
                <w:sz w:val="20"/>
              </w:rPr>
              <w:t>Komuna</w:t>
            </w:r>
            <w:r>
              <w:rPr>
                <w:spacing w:val="-1"/>
                <w:sz w:val="20"/>
              </w:rPr>
              <w:t> </w:t>
            </w:r>
            <w:r>
              <w:rPr>
                <w:spacing w:val="-5"/>
                <w:sz w:val="20"/>
              </w:rPr>
              <w:t>HE</w:t>
            </w:r>
          </w:p>
        </w:tc>
      </w:tr>
      <w:tr>
        <w:trPr>
          <w:trHeight w:val="1160"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367" w:hanging="360"/>
              <w:rPr>
                <w:sz w:val="20"/>
              </w:rPr>
            </w:pPr>
            <w:r>
              <w:rPr>
                <w:spacing w:val="-6"/>
                <w:sz w:val="20"/>
              </w:rPr>
              <w:t>7.</w:t>
            </w:r>
            <w:r>
              <w:rPr>
                <w:sz w:val="20"/>
              </w:rPr>
              <w:tab/>
              <w:t>Partneritet me donatorët e jashtëm për përkrahjen e bizneseve</w:t>
            </w:r>
            <w:r>
              <w:rPr>
                <w:spacing w:val="-13"/>
                <w:sz w:val="20"/>
              </w:rPr>
              <w:t> </w:t>
            </w:r>
            <w:r>
              <w:rPr>
                <w:sz w:val="20"/>
              </w:rPr>
              <w:t>prodhuese</w:t>
            </w:r>
            <w:r>
              <w:rPr>
                <w:spacing w:val="-12"/>
                <w:sz w:val="20"/>
              </w:rPr>
              <w:t> </w:t>
            </w:r>
            <w:r>
              <w:rPr>
                <w:sz w:val="20"/>
              </w:rPr>
              <w:t>lokale për</w:t>
            </w:r>
            <w:r>
              <w:rPr>
                <w:spacing w:val="-1"/>
                <w:sz w:val="20"/>
              </w:rPr>
              <w:t> </w:t>
            </w:r>
            <w:r>
              <w:rPr>
                <w:sz w:val="20"/>
              </w:rPr>
              <w:t>mundësitë</w:t>
            </w:r>
            <w:r>
              <w:rPr>
                <w:spacing w:val="-3"/>
                <w:sz w:val="20"/>
              </w:rPr>
              <w:t> </w:t>
            </w:r>
            <w:r>
              <w:rPr>
                <w:sz w:val="20"/>
              </w:rPr>
              <w:t>e</w:t>
            </w:r>
            <w:r>
              <w:rPr>
                <w:spacing w:val="-1"/>
                <w:sz w:val="20"/>
              </w:rPr>
              <w:t> </w:t>
            </w:r>
            <w:r>
              <w:rPr>
                <w:sz w:val="20"/>
              </w:rPr>
              <w:t>eksportit</w:t>
            </w:r>
            <w:r>
              <w:rPr>
                <w:spacing w:val="-1"/>
                <w:sz w:val="20"/>
              </w:rPr>
              <w:t> </w:t>
            </w:r>
            <w:r>
              <w:rPr>
                <w:spacing w:val="-5"/>
                <w:sz w:val="20"/>
              </w:rPr>
              <w:t>të</w:t>
            </w:r>
          </w:p>
          <w:p>
            <w:pPr>
              <w:pStyle w:val="TableParagraph"/>
              <w:spacing w:line="219" w:lineRule="exact"/>
              <w:ind w:left="828"/>
              <w:rPr>
                <w:sz w:val="20"/>
              </w:rPr>
            </w:pPr>
            <w:r>
              <w:rPr>
                <w:spacing w:val="-2"/>
                <w:sz w:val="20"/>
              </w:rPr>
              <w:t>prodhimeve</w:t>
            </w:r>
          </w:p>
        </w:tc>
        <w:tc>
          <w:tcPr>
            <w:tcW w:w="1799" w:type="dxa"/>
          </w:tcPr>
          <w:p>
            <w:pPr>
              <w:pStyle w:val="TableParagraph"/>
              <w:rPr>
                <w:b/>
                <w:sz w:val="20"/>
              </w:rPr>
            </w:pPr>
          </w:p>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2025-</w:t>
            </w:r>
            <w:r>
              <w:rPr>
                <w:spacing w:val="-4"/>
                <w:sz w:val="20"/>
              </w:rPr>
              <w:t>2027</w:t>
            </w:r>
          </w:p>
        </w:tc>
        <w:tc>
          <w:tcPr>
            <w:tcW w:w="1829" w:type="dxa"/>
          </w:tcPr>
          <w:p>
            <w:pPr>
              <w:pStyle w:val="TableParagraph"/>
              <w:ind w:left="111"/>
              <w:rPr>
                <w:sz w:val="20"/>
              </w:rPr>
            </w:pPr>
            <w:r>
              <w:rPr>
                <w:sz w:val="20"/>
              </w:rPr>
              <w:t>12,000.00</w:t>
            </w:r>
            <w:r>
              <w:rPr>
                <w:spacing w:val="-1"/>
                <w:sz w:val="20"/>
              </w:rPr>
              <w:t> </w:t>
            </w:r>
            <w:r>
              <w:rPr>
                <w:spacing w:val="-10"/>
                <w:sz w:val="20"/>
              </w:rPr>
              <w:t>€</w:t>
            </w:r>
          </w:p>
        </w:tc>
        <w:tc>
          <w:tcPr>
            <w:tcW w:w="2023" w:type="dxa"/>
          </w:tcPr>
          <w:p>
            <w:pPr>
              <w:pStyle w:val="TableParagraph"/>
              <w:ind w:left="112"/>
              <w:rPr>
                <w:sz w:val="20"/>
              </w:rPr>
            </w:pPr>
            <w:r>
              <w:rPr>
                <w:sz w:val="20"/>
              </w:rPr>
              <w:t>Komuna</w:t>
            </w:r>
            <w:r>
              <w:rPr>
                <w:spacing w:val="-1"/>
                <w:sz w:val="20"/>
              </w:rPr>
              <w:t> </w:t>
            </w:r>
            <w:r>
              <w:rPr>
                <w:spacing w:val="-5"/>
                <w:sz w:val="20"/>
              </w:rPr>
              <w:t>HE</w:t>
            </w:r>
          </w:p>
        </w:tc>
      </w:tr>
      <w:tr>
        <w:trPr>
          <w:trHeight w:val="1025" w:hRule="atLeast"/>
        </w:trPr>
        <w:tc>
          <w:tcPr>
            <w:tcW w:w="1261" w:type="dxa"/>
            <w:vMerge/>
            <w:tcBorders>
              <w:top w:val="nil"/>
            </w:tcBorders>
            <w:textDirection w:val="btLr"/>
          </w:tcPr>
          <w:p>
            <w:pPr>
              <w:rPr>
                <w:sz w:val="2"/>
                <w:szCs w:val="2"/>
              </w:rPr>
            </w:pPr>
          </w:p>
        </w:tc>
        <w:tc>
          <w:tcPr>
            <w:tcW w:w="2611" w:type="dxa"/>
            <w:vMerge/>
            <w:tcBorders>
              <w:top w:val="nil"/>
            </w:tcBorders>
          </w:tcPr>
          <w:p>
            <w:pPr>
              <w:rPr>
                <w:sz w:val="2"/>
                <w:szCs w:val="2"/>
              </w:rPr>
            </w:pPr>
          </w:p>
        </w:tc>
        <w:tc>
          <w:tcPr>
            <w:tcW w:w="3419" w:type="dxa"/>
          </w:tcPr>
          <w:p>
            <w:pPr>
              <w:pStyle w:val="TableParagraph"/>
              <w:tabs>
                <w:tab w:pos="828" w:val="left" w:leader="none"/>
              </w:tabs>
              <w:ind w:left="828" w:right="201" w:hanging="360"/>
              <w:rPr>
                <w:sz w:val="20"/>
              </w:rPr>
            </w:pPr>
            <w:r>
              <w:rPr>
                <w:spacing w:val="-6"/>
                <w:sz w:val="20"/>
              </w:rPr>
              <w:t>8.</w:t>
            </w:r>
            <w:r>
              <w:rPr>
                <w:sz w:val="20"/>
              </w:rPr>
              <w:tab/>
              <w:t>Mbështetja/subvencionimi</w:t>
            </w:r>
            <w:r>
              <w:rPr>
                <w:spacing w:val="-13"/>
                <w:sz w:val="20"/>
              </w:rPr>
              <w:t> </w:t>
            </w:r>
            <w:r>
              <w:rPr>
                <w:sz w:val="20"/>
              </w:rPr>
              <w:t>i</w:t>
            </w:r>
            <w:r>
              <w:rPr>
                <w:spacing w:val="-12"/>
                <w:sz w:val="20"/>
              </w:rPr>
              <w:t> </w:t>
            </w:r>
            <w:r>
              <w:rPr>
                <w:sz w:val="20"/>
              </w:rPr>
              <w:t>5 apo më shumë bizneseve inovative fillestare për cdo </w:t>
            </w:r>
            <w:r>
              <w:rPr>
                <w:spacing w:val="-4"/>
                <w:sz w:val="20"/>
              </w:rPr>
              <w:t>vjet</w:t>
            </w:r>
          </w:p>
        </w:tc>
        <w:tc>
          <w:tcPr>
            <w:tcW w:w="1799" w:type="dxa"/>
          </w:tcPr>
          <w:p>
            <w:pPr>
              <w:pStyle w:val="TableParagraph"/>
              <w:rPr>
                <w:b/>
                <w:sz w:val="20"/>
              </w:rPr>
            </w:pPr>
          </w:p>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rPr>
                <w:b/>
                <w:sz w:val="20"/>
              </w:rPr>
            </w:pPr>
          </w:p>
          <w:p>
            <w:pPr>
              <w:pStyle w:val="TableParagraph"/>
              <w:ind w:left="111"/>
              <w:rPr>
                <w:sz w:val="20"/>
              </w:rPr>
            </w:pPr>
            <w:r>
              <w:rPr>
                <w:spacing w:val="-2"/>
                <w:sz w:val="20"/>
              </w:rPr>
              <w:t>2024-</w:t>
            </w:r>
            <w:r>
              <w:rPr>
                <w:spacing w:val="-4"/>
                <w:sz w:val="20"/>
              </w:rPr>
              <w:t>2027</w:t>
            </w:r>
          </w:p>
        </w:tc>
        <w:tc>
          <w:tcPr>
            <w:tcW w:w="1829" w:type="dxa"/>
          </w:tcPr>
          <w:p>
            <w:pPr>
              <w:pStyle w:val="TableParagraph"/>
              <w:ind w:left="111"/>
              <w:rPr>
                <w:sz w:val="20"/>
              </w:rPr>
            </w:pPr>
            <w:r>
              <w:rPr>
                <w:sz w:val="20"/>
              </w:rPr>
              <w:t>20,000.00</w:t>
            </w:r>
            <w:r>
              <w:rPr>
                <w:spacing w:val="-1"/>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bl>
    <w:p>
      <w:pPr>
        <w:spacing w:after="0"/>
        <w:rPr>
          <w:sz w:val="20"/>
        </w:rPr>
        <w:sectPr>
          <w:pgSz w:w="15840" w:h="12240" w:orient="landscape"/>
          <w:pgMar w:header="0" w:footer="990" w:top="1380" w:bottom="1180" w:left="420" w:right="160"/>
        </w:sectPr>
      </w:pPr>
    </w:p>
    <w:p>
      <w:pPr>
        <w:pStyle w:val="BodyText"/>
        <w:spacing w:before="2"/>
        <w:rPr>
          <w:b/>
          <w:sz w:val="5"/>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1261"/>
        <w:gridCol w:w="2611"/>
        <w:gridCol w:w="3419"/>
        <w:gridCol w:w="1799"/>
        <w:gridCol w:w="1889"/>
        <w:gridCol w:w="1829"/>
        <w:gridCol w:w="2023"/>
      </w:tblGrid>
      <w:tr>
        <w:trPr>
          <w:trHeight w:val="1025" w:hRule="atLeast"/>
        </w:trPr>
        <w:tc>
          <w:tcPr>
            <w:tcW w:w="1261" w:type="dxa"/>
            <w:vMerge w:val="restart"/>
          </w:tcPr>
          <w:p>
            <w:pPr>
              <w:pStyle w:val="TableParagraph"/>
              <w:rPr>
                <w:sz w:val="20"/>
              </w:rPr>
            </w:pPr>
          </w:p>
        </w:tc>
        <w:tc>
          <w:tcPr>
            <w:tcW w:w="2611" w:type="dxa"/>
            <w:vMerge w:val="restart"/>
          </w:tcPr>
          <w:p>
            <w:pPr>
              <w:pStyle w:val="TableParagraph"/>
              <w:rPr>
                <w:sz w:val="20"/>
              </w:rPr>
            </w:pPr>
          </w:p>
        </w:tc>
        <w:tc>
          <w:tcPr>
            <w:tcW w:w="3419" w:type="dxa"/>
          </w:tcPr>
          <w:p>
            <w:pPr>
              <w:pStyle w:val="TableParagraph"/>
              <w:tabs>
                <w:tab w:pos="828" w:val="left" w:leader="none"/>
              </w:tabs>
              <w:ind w:left="828" w:right="95" w:hanging="360"/>
              <w:rPr>
                <w:sz w:val="20"/>
              </w:rPr>
            </w:pPr>
            <w:r>
              <w:rPr>
                <w:spacing w:val="-6"/>
                <w:sz w:val="20"/>
              </w:rPr>
              <w:t>9.</w:t>
            </w:r>
            <w:r>
              <w:rPr>
                <w:sz w:val="20"/>
              </w:rPr>
              <w:tab/>
              <w:t>Organizimi i takimeve informuese dhe aktiviteteve të tjera</w:t>
            </w:r>
            <w:r>
              <w:rPr>
                <w:spacing w:val="-8"/>
                <w:sz w:val="20"/>
              </w:rPr>
              <w:t> </w:t>
            </w:r>
            <w:r>
              <w:rPr>
                <w:sz w:val="20"/>
              </w:rPr>
              <w:t>me</w:t>
            </w:r>
            <w:r>
              <w:rPr>
                <w:spacing w:val="-8"/>
                <w:sz w:val="20"/>
              </w:rPr>
              <w:t> </w:t>
            </w:r>
            <w:r>
              <w:rPr>
                <w:sz w:val="20"/>
              </w:rPr>
              <w:t>qëllim</w:t>
            </w:r>
            <w:r>
              <w:rPr>
                <w:spacing w:val="-8"/>
                <w:sz w:val="20"/>
              </w:rPr>
              <w:t> </w:t>
            </w:r>
            <w:r>
              <w:rPr>
                <w:sz w:val="20"/>
              </w:rPr>
              <w:t>të</w:t>
            </w:r>
            <w:r>
              <w:rPr>
                <w:spacing w:val="-8"/>
                <w:sz w:val="20"/>
              </w:rPr>
              <w:t> </w:t>
            </w:r>
            <w:r>
              <w:rPr>
                <w:sz w:val="20"/>
              </w:rPr>
              <w:t>orientimit</w:t>
            </w:r>
            <w:r>
              <w:rPr>
                <w:spacing w:val="-8"/>
                <w:sz w:val="20"/>
              </w:rPr>
              <w:t> </w:t>
            </w:r>
            <w:r>
              <w:rPr>
                <w:sz w:val="20"/>
              </w:rPr>
              <w:t>në karrierë</w:t>
            </w:r>
            <w:r>
              <w:rPr>
                <w:spacing w:val="-3"/>
                <w:sz w:val="20"/>
              </w:rPr>
              <w:t> </w:t>
            </w:r>
            <w:r>
              <w:rPr>
                <w:sz w:val="20"/>
              </w:rPr>
              <w:t>dhe</w:t>
            </w:r>
            <w:r>
              <w:rPr>
                <w:spacing w:val="-1"/>
                <w:sz w:val="20"/>
              </w:rPr>
              <w:t> </w:t>
            </w:r>
            <w:r>
              <w:rPr>
                <w:sz w:val="20"/>
              </w:rPr>
              <w:t>aftësimit</w:t>
            </w:r>
            <w:r>
              <w:rPr>
                <w:spacing w:val="-2"/>
                <w:sz w:val="20"/>
              </w:rPr>
              <w:t> </w:t>
            </w:r>
            <w:r>
              <w:rPr>
                <w:sz w:val="20"/>
              </w:rPr>
              <w:t>për</w:t>
            </w:r>
            <w:r>
              <w:rPr>
                <w:spacing w:val="-1"/>
                <w:sz w:val="20"/>
              </w:rPr>
              <w:t> </w:t>
            </w:r>
            <w:r>
              <w:rPr>
                <w:spacing w:val="-4"/>
                <w:sz w:val="20"/>
              </w:rPr>
              <w:t>punë</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 Drejtoria</w:t>
            </w:r>
            <w:r>
              <w:rPr>
                <w:spacing w:val="-3"/>
                <w:sz w:val="20"/>
              </w:rPr>
              <w:t> </w:t>
            </w:r>
            <w:r>
              <w:rPr>
                <w:sz w:val="20"/>
              </w:rPr>
              <w:t>për</w:t>
            </w:r>
            <w:r>
              <w:rPr>
                <w:spacing w:val="-2"/>
                <w:sz w:val="20"/>
              </w:rPr>
              <w:t> Arsim</w:t>
            </w:r>
          </w:p>
        </w:tc>
        <w:tc>
          <w:tcPr>
            <w:tcW w:w="1889" w:type="dxa"/>
          </w:tcPr>
          <w:p>
            <w:pPr>
              <w:pStyle w:val="TableParagraph"/>
              <w:ind w:left="111"/>
              <w:rPr>
                <w:sz w:val="20"/>
              </w:rPr>
            </w:pPr>
            <w:r>
              <w:rPr>
                <w:spacing w:val="-2"/>
                <w:sz w:val="20"/>
              </w:rPr>
              <w:t>2023-</w:t>
            </w:r>
            <w:r>
              <w:rPr>
                <w:spacing w:val="-4"/>
                <w:sz w:val="20"/>
              </w:rPr>
              <w:t>2027</w:t>
            </w:r>
          </w:p>
        </w:tc>
        <w:tc>
          <w:tcPr>
            <w:tcW w:w="1829" w:type="dxa"/>
          </w:tcPr>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1160" w:hRule="atLeast"/>
        </w:trPr>
        <w:tc>
          <w:tcPr>
            <w:tcW w:w="1261" w:type="dxa"/>
            <w:vMerge/>
            <w:tcBorders>
              <w:top w:val="nil"/>
            </w:tcBorders>
          </w:tcPr>
          <w:p>
            <w:pPr>
              <w:rPr>
                <w:sz w:val="2"/>
                <w:szCs w:val="2"/>
              </w:rPr>
            </w:pPr>
          </w:p>
        </w:tc>
        <w:tc>
          <w:tcPr>
            <w:tcW w:w="2611" w:type="dxa"/>
            <w:vMerge/>
            <w:tcBorders>
              <w:top w:val="nil"/>
            </w:tcBorders>
          </w:tcPr>
          <w:p>
            <w:pPr>
              <w:rPr>
                <w:sz w:val="2"/>
                <w:szCs w:val="2"/>
              </w:rPr>
            </w:pPr>
          </w:p>
        </w:tc>
        <w:tc>
          <w:tcPr>
            <w:tcW w:w="3419" w:type="dxa"/>
          </w:tcPr>
          <w:p>
            <w:pPr>
              <w:pStyle w:val="TableParagraph"/>
              <w:ind w:left="828" w:right="173" w:hanging="360"/>
              <w:rPr>
                <w:sz w:val="20"/>
              </w:rPr>
            </w:pPr>
            <w:r>
              <w:rPr>
                <w:sz w:val="20"/>
              </w:rPr>
              <w:t>10.</w:t>
            </w:r>
            <w:r>
              <w:rPr>
                <w:spacing w:val="40"/>
                <w:sz w:val="20"/>
              </w:rPr>
              <w:t> </w:t>
            </w:r>
            <w:r>
              <w:rPr>
                <w:sz w:val="20"/>
              </w:rPr>
              <w:t>Angazhimi</w:t>
            </w:r>
            <w:r>
              <w:rPr>
                <w:spacing w:val="-7"/>
                <w:sz w:val="20"/>
              </w:rPr>
              <w:t> </w:t>
            </w:r>
            <w:r>
              <w:rPr>
                <w:sz w:val="20"/>
              </w:rPr>
              <w:t>i</w:t>
            </w:r>
            <w:r>
              <w:rPr>
                <w:spacing w:val="-9"/>
                <w:sz w:val="20"/>
              </w:rPr>
              <w:t> </w:t>
            </w:r>
            <w:r>
              <w:rPr>
                <w:sz w:val="20"/>
              </w:rPr>
              <w:t>praktikantëve</w:t>
            </w:r>
            <w:r>
              <w:rPr>
                <w:spacing w:val="-7"/>
                <w:sz w:val="20"/>
              </w:rPr>
              <w:t> </w:t>
            </w:r>
            <w:r>
              <w:rPr>
                <w:sz w:val="20"/>
              </w:rPr>
              <w:t>të rinjë</w:t>
            </w:r>
            <w:r>
              <w:rPr>
                <w:spacing w:val="-2"/>
                <w:sz w:val="20"/>
              </w:rPr>
              <w:t> </w:t>
            </w:r>
            <w:r>
              <w:rPr>
                <w:sz w:val="20"/>
              </w:rPr>
              <w:t>në</w:t>
            </w:r>
            <w:r>
              <w:rPr>
                <w:spacing w:val="-1"/>
                <w:sz w:val="20"/>
              </w:rPr>
              <w:t> </w:t>
            </w:r>
            <w:r>
              <w:rPr>
                <w:sz w:val="20"/>
              </w:rPr>
              <w:t>institucionet</w:t>
            </w:r>
            <w:r>
              <w:rPr>
                <w:spacing w:val="-3"/>
                <w:sz w:val="20"/>
              </w:rPr>
              <w:t> </w:t>
            </w:r>
            <w:r>
              <w:rPr>
                <w:sz w:val="20"/>
              </w:rPr>
              <w:t>publike me qëllim të përfitimit të përvojave institucionale</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w:t>
            </w:r>
            <w:r>
              <w:rPr>
                <w:spacing w:val="-13"/>
                <w:sz w:val="20"/>
              </w:rPr>
              <w:t> </w:t>
            </w:r>
            <w:r>
              <w:rPr>
                <w:sz w:val="20"/>
              </w:rPr>
              <w:t>për</w:t>
            </w:r>
            <w:r>
              <w:rPr>
                <w:spacing w:val="-12"/>
                <w:sz w:val="20"/>
              </w:rPr>
              <w:t> </w:t>
            </w:r>
            <w:r>
              <w:rPr>
                <w:sz w:val="20"/>
              </w:rPr>
              <w:t>Arsim Drejtoria për</w:t>
            </w:r>
          </w:p>
          <w:p>
            <w:pPr>
              <w:pStyle w:val="TableParagraph"/>
              <w:spacing w:line="221" w:lineRule="exact"/>
              <w:ind w:left="286" w:right="271"/>
              <w:jc w:val="center"/>
              <w:rPr>
                <w:sz w:val="20"/>
              </w:rPr>
            </w:pPr>
            <w:r>
              <w:rPr>
                <w:spacing w:val="-2"/>
                <w:sz w:val="20"/>
              </w:rPr>
              <w:t>Administratë</w:t>
            </w:r>
          </w:p>
        </w:tc>
        <w:tc>
          <w:tcPr>
            <w:tcW w:w="1889" w:type="dxa"/>
          </w:tcPr>
          <w:p>
            <w:pPr>
              <w:pStyle w:val="TableParagraph"/>
              <w:spacing w:line="229" w:lineRule="exact"/>
              <w:ind w:left="111"/>
              <w:rPr>
                <w:sz w:val="20"/>
              </w:rPr>
            </w:pPr>
            <w:r>
              <w:rPr>
                <w:spacing w:val="-2"/>
                <w:sz w:val="20"/>
              </w:rPr>
              <w:t>2024-</w:t>
            </w:r>
            <w:r>
              <w:rPr>
                <w:spacing w:val="-4"/>
                <w:sz w:val="20"/>
              </w:rPr>
              <w:t>2027</w:t>
            </w:r>
          </w:p>
        </w:tc>
        <w:tc>
          <w:tcPr>
            <w:tcW w:w="1829" w:type="dxa"/>
          </w:tcPr>
          <w:p>
            <w:pPr>
              <w:pStyle w:val="TableParagraph"/>
              <w:spacing w:line="229" w:lineRule="exact"/>
              <w:ind w:left="111"/>
              <w:rPr>
                <w:sz w:val="20"/>
              </w:rPr>
            </w:pPr>
            <w:r>
              <w:rPr>
                <w:sz w:val="20"/>
              </w:rPr>
              <w:t>4,000.00</w:t>
            </w:r>
            <w:r>
              <w:rPr>
                <w:spacing w:val="-2"/>
                <w:sz w:val="20"/>
              </w:rPr>
              <w:t> </w:t>
            </w:r>
            <w:r>
              <w:rPr>
                <w:spacing w:val="-10"/>
                <w:sz w:val="20"/>
              </w:rPr>
              <w:t>€</w:t>
            </w:r>
          </w:p>
        </w:tc>
        <w:tc>
          <w:tcPr>
            <w:tcW w:w="2023" w:type="dxa"/>
          </w:tcPr>
          <w:p>
            <w:pPr>
              <w:pStyle w:val="TableParagraph"/>
              <w:spacing w:line="229" w:lineRule="exact"/>
              <w:ind w:left="112"/>
              <w:rPr>
                <w:sz w:val="20"/>
              </w:rPr>
            </w:pPr>
            <w:r>
              <w:rPr>
                <w:sz w:val="20"/>
              </w:rPr>
              <w:t>Komuna</w:t>
            </w:r>
            <w:r>
              <w:rPr>
                <w:spacing w:val="-1"/>
                <w:sz w:val="20"/>
              </w:rPr>
              <w:t> </w:t>
            </w:r>
            <w:r>
              <w:rPr>
                <w:spacing w:val="-5"/>
                <w:sz w:val="20"/>
              </w:rPr>
              <w:t>HE</w:t>
            </w:r>
          </w:p>
        </w:tc>
      </w:tr>
      <w:tr>
        <w:trPr>
          <w:trHeight w:val="689" w:hRule="atLeast"/>
        </w:trPr>
        <w:tc>
          <w:tcPr>
            <w:tcW w:w="1261" w:type="dxa"/>
            <w:vMerge/>
            <w:tcBorders>
              <w:top w:val="nil"/>
            </w:tcBorders>
          </w:tcPr>
          <w:p>
            <w:pPr>
              <w:rPr>
                <w:sz w:val="2"/>
                <w:szCs w:val="2"/>
              </w:rPr>
            </w:pPr>
          </w:p>
        </w:tc>
        <w:tc>
          <w:tcPr>
            <w:tcW w:w="2611" w:type="dxa"/>
            <w:vMerge/>
            <w:tcBorders>
              <w:top w:val="nil"/>
            </w:tcBorders>
          </w:tcPr>
          <w:p>
            <w:pPr>
              <w:rPr>
                <w:sz w:val="2"/>
                <w:szCs w:val="2"/>
              </w:rPr>
            </w:pPr>
          </w:p>
        </w:tc>
        <w:tc>
          <w:tcPr>
            <w:tcW w:w="3419" w:type="dxa"/>
          </w:tcPr>
          <w:p>
            <w:pPr>
              <w:pStyle w:val="TableParagraph"/>
              <w:ind w:left="828" w:hanging="360"/>
              <w:rPr>
                <w:sz w:val="20"/>
              </w:rPr>
            </w:pPr>
            <w:r>
              <w:rPr>
                <w:sz w:val="20"/>
              </w:rPr>
              <w:t>11.</w:t>
            </w:r>
            <w:r>
              <w:rPr>
                <w:spacing w:val="40"/>
                <w:sz w:val="20"/>
              </w:rPr>
              <w:t> </w:t>
            </w:r>
            <w:r>
              <w:rPr>
                <w:sz w:val="20"/>
              </w:rPr>
              <w:t>Hartimi i programeve për ringjalljen</w:t>
            </w:r>
            <w:r>
              <w:rPr>
                <w:spacing w:val="-9"/>
                <w:sz w:val="20"/>
              </w:rPr>
              <w:t> </w:t>
            </w:r>
            <w:r>
              <w:rPr>
                <w:sz w:val="20"/>
              </w:rPr>
              <w:t>e</w:t>
            </w:r>
            <w:r>
              <w:rPr>
                <w:spacing w:val="-9"/>
                <w:sz w:val="20"/>
              </w:rPr>
              <w:t> </w:t>
            </w:r>
            <w:r>
              <w:rPr>
                <w:sz w:val="20"/>
              </w:rPr>
              <w:t>zanateve</w:t>
            </w:r>
            <w:r>
              <w:rPr>
                <w:spacing w:val="-9"/>
                <w:sz w:val="20"/>
              </w:rPr>
              <w:t> </w:t>
            </w:r>
            <w:r>
              <w:rPr>
                <w:sz w:val="20"/>
              </w:rPr>
              <w:t>të</w:t>
            </w:r>
            <w:r>
              <w:rPr>
                <w:spacing w:val="-11"/>
                <w:sz w:val="20"/>
              </w:rPr>
              <w:t> </w:t>
            </w:r>
            <w:r>
              <w:rPr>
                <w:sz w:val="20"/>
              </w:rPr>
              <w:t>vjetra</w:t>
            </w:r>
          </w:p>
        </w:tc>
        <w:tc>
          <w:tcPr>
            <w:tcW w:w="1799" w:type="dxa"/>
          </w:tcPr>
          <w:p>
            <w:pPr>
              <w:pStyle w:val="TableParagraph"/>
              <w:ind w:left="109" w:right="89" w:firstLine="277"/>
              <w:rPr>
                <w:sz w:val="20"/>
              </w:rPr>
            </w:pPr>
            <w:r>
              <w:rPr>
                <w:sz w:val="20"/>
              </w:rPr>
              <w:t>Drejtoria për Zhvillim</w:t>
            </w:r>
            <w:r>
              <w:rPr>
                <w:spacing w:val="-13"/>
                <w:sz w:val="20"/>
              </w:rPr>
              <w:t> </w:t>
            </w:r>
            <w:r>
              <w:rPr>
                <w:sz w:val="20"/>
              </w:rPr>
              <w:t>Ekonomik</w:t>
            </w:r>
          </w:p>
        </w:tc>
        <w:tc>
          <w:tcPr>
            <w:tcW w:w="1889" w:type="dxa"/>
          </w:tcPr>
          <w:p>
            <w:pPr>
              <w:pStyle w:val="TableParagraph"/>
              <w:spacing w:line="229" w:lineRule="exact"/>
              <w:ind w:left="111"/>
              <w:rPr>
                <w:sz w:val="20"/>
              </w:rPr>
            </w:pPr>
            <w:r>
              <w:rPr>
                <w:spacing w:val="-2"/>
                <w:sz w:val="20"/>
              </w:rPr>
              <w:t>2025-</w:t>
            </w:r>
            <w:r>
              <w:rPr>
                <w:spacing w:val="-4"/>
                <w:sz w:val="20"/>
              </w:rPr>
              <w:t>2027</w:t>
            </w:r>
          </w:p>
        </w:tc>
        <w:tc>
          <w:tcPr>
            <w:tcW w:w="1829" w:type="dxa"/>
          </w:tcPr>
          <w:p>
            <w:pPr>
              <w:pStyle w:val="TableParagraph"/>
              <w:spacing w:line="229" w:lineRule="exact"/>
              <w:ind w:left="111"/>
              <w:rPr>
                <w:sz w:val="20"/>
              </w:rPr>
            </w:pPr>
            <w:r>
              <w:rPr>
                <w:sz w:val="20"/>
              </w:rPr>
              <w:t>10,000.00</w:t>
            </w:r>
            <w:r>
              <w:rPr>
                <w:spacing w:val="-1"/>
                <w:sz w:val="20"/>
              </w:rPr>
              <w:t> </w:t>
            </w:r>
            <w:r>
              <w:rPr>
                <w:spacing w:val="-10"/>
                <w:sz w:val="20"/>
              </w:rPr>
              <w:t>€</w:t>
            </w:r>
          </w:p>
        </w:tc>
        <w:tc>
          <w:tcPr>
            <w:tcW w:w="2023" w:type="dxa"/>
          </w:tcPr>
          <w:p>
            <w:pPr>
              <w:pStyle w:val="TableParagraph"/>
              <w:spacing w:line="229" w:lineRule="exact"/>
              <w:ind w:left="112"/>
              <w:rPr>
                <w:sz w:val="20"/>
              </w:rPr>
            </w:pPr>
            <w:r>
              <w:rPr>
                <w:sz w:val="20"/>
              </w:rPr>
              <w:t>Komuna</w:t>
            </w:r>
            <w:r>
              <w:rPr>
                <w:spacing w:val="-1"/>
                <w:sz w:val="20"/>
              </w:rPr>
              <w:t> </w:t>
            </w:r>
            <w:r>
              <w:rPr>
                <w:spacing w:val="-5"/>
                <w:sz w:val="20"/>
              </w:rPr>
              <w:t>HE</w:t>
            </w:r>
          </w:p>
        </w:tc>
      </w:tr>
      <w:tr>
        <w:trPr>
          <w:trHeight w:val="920" w:hRule="atLeast"/>
        </w:trPr>
        <w:tc>
          <w:tcPr>
            <w:tcW w:w="1261" w:type="dxa"/>
            <w:vMerge/>
            <w:tcBorders>
              <w:top w:val="nil"/>
            </w:tcBorders>
          </w:tcPr>
          <w:p>
            <w:pPr>
              <w:rPr>
                <w:sz w:val="2"/>
                <w:szCs w:val="2"/>
              </w:rPr>
            </w:pPr>
          </w:p>
        </w:tc>
        <w:tc>
          <w:tcPr>
            <w:tcW w:w="2611" w:type="dxa"/>
            <w:vMerge/>
            <w:tcBorders>
              <w:top w:val="nil"/>
            </w:tcBorders>
          </w:tcPr>
          <w:p>
            <w:pPr>
              <w:rPr>
                <w:sz w:val="2"/>
                <w:szCs w:val="2"/>
              </w:rPr>
            </w:pPr>
          </w:p>
        </w:tc>
        <w:tc>
          <w:tcPr>
            <w:tcW w:w="3419" w:type="dxa"/>
          </w:tcPr>
          <w:p>
            <w:pPr>
              <w:pStyle w:val="TableParagraph"/>
              <w:ind w:left="828" w:right="95" w:hanging="360"/>
              <w:rPr>
                <w:sz w:val="20"/>
              </w:rPr>
            </w:pPr>
            <w:r>
              <w:rPr>
                <w:sz w:val="20"/>
              </w:rPr>
              <w:t>12.</w:t>
            </w:r>
            <w:r>
              <w:rPr>
                <w:spacing w:val="40"/>
                <w:sz w:val="20"/>
              </w:rPr>
              <w:t> </w:t>
            </w:r>
            <w:r>
              <w:rPr>
                <w:sz w:val="20"/>
              </w:rPr>
              <w:t>Organizimi</w:t>
            </w:r>
            <w:r>
              <w:rPr>
                <w:spacing w:val="-8"/>
                <w:sz w:val="20"/>
              </w:rPr>
              <w:t> </w:t>
            </w:r>
            <w:r>
              <w:rPr>
                <w:sz w:val="20"/>
              </w:rPr>
              <w:t>i</w:t>
            </w:r>
            <w:r>
              <w:rPr>
                <w:spacing w:val="-7"/>
                <w:sz w:val="20"/>
              </w:rPr>
              <w:t> </w:t>
            </w:r>
            <w:r>
              <w:rPr>
                <w:sz w:val="20"/>
              </w:rPr>
              <w:t>konferencave</w:t>
            </w:r>
            <w:r>
              <w:rPr>
                <w:spacing w:val="-7"/>
                <w:sz w:val="20"/>
              </w:rPr>
              <w:t> </w:t>
            </w:r>
            <w:r>
              <w:rPr>
                <w:sz w:val="20"/>
              </w:rPr>
              <w:t>dhe punëtorive me fokus </w:t>
            </w:r>
            <w:r>
              <w:rPr>
                <w:spacing w:val="-2"/>
                <w:sz w:val="20"/>
              </w:rPr>
              <w:t>ekonominë</w:t>
            </w:r>
          </w:p>
        </w:tc>
        <w:tc>
          <w:tcPr>
            <w:tcW w:w="1799" w:type="dxa"/>
          </w:tcPr>
          <w:p>
            <w:pPr>
              <w:pStyle w:val="TableParagraph"/>
              <w:ind w:left="109" w:right="92" w:hanging="3"/>
              <w:jc w:val="center"/>
              <w:rPr>
                <w:sz w:val="20"/>
              </w:rPr>
            </w:pPr>
            <w:r>
              <w:rPr>
                <w:sz w:val="20"/>
              </w:rPr>
              <w:t>Drejtoria për Zhvillim</w:t>
            </w:r>
            <w:r>
              <w:rPr>
                <w:spacing w:val="-13"/>
                <w:sz w:val="20"/>
              </w:rPr>
              <w:t> </w:t>
            </w:r>
            <w:r>
              <w:rPr>
                <w:sz w:val="20"/>
              </w:rPr>
              <w:t>Ekonomik Drejtoria për Rini</w:t>
            </w:r>
          </w:p>
        </w:tc>
        <w:tc>
          <w:tcPr>
            <w:tcW w:w="1889" w:type="dxa"/>
          </w:tcPr>
          <w:p>
            <w:pPr>
              <w:pStyle w:val="TableParagraph"/>
              <w:ind w:left="111"/>
              <w:rPr>
                <w:sz w:val="20"/>
              </w:rPr>
            </w:pPr>
            <w:r>
              <w:rPr>
                <w:spacing w:val="-2"/>
                <w:sz w:val="20"/>
              </w:rPr>
              <w:t>2023-</w:t>
            </w:r>
            <w:r>
              <w:rPr>
                <w:spacing w:val="-4"/>
                <w:sz w:val="20"/>
              </w:rPr>
              <w:t>2027</w:t>
            </w:r>
          </w:p>
        </w:tc>
        <w:tc>
          <w:tcPr>
            <w:tcW w:w="1829" w:type="dxa"/>
          </w:tcPr>
          <w:p>
            <w:pPr>
              <w:pStyle w:val="TableParagraph"/>
              <w:ind w:left="111"/>
              <w:rPr>
                <w:sz w:val="20"/>
              </w:rPr>
            </w:pPr>
            <w:r>
              <w:rPr>
                <w:sz w:val="20"/>
              </w:rPr>
              <w:t>5,000.00</w:t>
            </w:r>
            <w:r>
              <w:rPr>
                <w:spacing w:val="-2"/>
                <w:sz w:val="20"/>
              </w:rPr>
              <w:t> </w:t>
            </w:r>
            <w:r>
              <w:rPr>
                <w:spacing w:val="-10"/>
                <w:sz w:val="20"/>
              </w:rPr>
              <w:t>€</w:t>
            </w:r>
          </w:p>
        </w:tc>
        <w:tc>
          <w:tcPr>
            <w:tcW w:w="2023" w:type="dxa"/>
          </w:tcPr>
          <w:p>
            <w:pPr>
              <w:pStyle w:val="TableParagraph"/>
              <w:ind w:left="112" w:right="260"/>
              <w:rPr>
                <w:sz w:val="20"/>
              </w:rPr>
            </w:pPr>
            <w:r>
              <w:rPr>
                <w:sz w:val="20"/>
              </w:rPr>
              <w:t>Komuna HE Organizata</w:t>
            </w:r>
            <w:r>
              <w:rPr>
                <w:spacing w:val="-13"/>
                <w:sz w:val="20"/>
              </w:rPr>
              <w:t> </w:t>
            </w:r>
            <w:r>
              <w:rPr>
                <w:sz w:val="20"/>
              </w:rPr>
              <w:t>të</w:t>
            </w:r>
            <w:r>
              <w:rPr>
                <w:spacing w:val="-12"/>
                <w:sz w:val="20"/>
              </w:rPr>
              <w:t> </w:t>
            </w:r>
            <w:r>
              <w:rPr>
                <w:sz w:val="20"/>
              </w:rPr>
              <w:t>huaja</w:t>
            </w:r>
          </w:p>
        </w:tc>
      </w:tr>
    </w:tbl>
    <w:p>
      <w:pPr>
        <w:spacing w:after="0"/>
        <w:rPr>
          <w:sz w:val="20"/>
        </w:rPr>
        <w:sectPr>
          <w:pgSz w:w="15840" w:h="12240" w:orient="landscape"/>
          <w:pgMar w:header="0" w:footer="990" w:top="1380" w:bottom="1180" w:left="420" w:right="1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before="0"/>
        <w:ind w:left="2488" w:right="2746" w:firstLine="0"/>
        <w:jc w:val="center"/>
        <w:rPr>
          <w:b/>
          <w:sz w:val="24"/>
        </w:rPr>
      </w:pPr>
      <w:r>
        <w:rPr>
          <w:b/>
          <w:sz w:val="24"/>
        </w:rPr>
        <w:t>OBJEKTIVAT</w:t>
      </w:r>
      <w:r>
        <w:rPr>
          <w:b/>
          <w:spacing w:val="-3"/>
          <w:sz w:val="24"/>
        </w:rPr>
        <w:t> </w:t>
      </w:r>
      <w:r>
        <w:rPr>
          <w:b/>
          <w:sz w:val="24"/>
        </w:rPr>
        <w:t>PËR</w:t>
      </w:r>
      <w:r>
        <w:rPr>
          <w:b/>
          <w:spacing w:val="-1"/>
          <w:sz w:val="24"/>
        </w:rPr>
        <w:t> </w:t>
      </w:r>
      <w:r>
        <w:rPr>
          <w:b/>
          <w:spacing w:val="-2"/>
          <w:sz w:val="24"/>
        </w:rPr>
        <w:t>ARSIM</w:t>
      </w:r>
    </w:p>
    <w:p>
      <w:pPr>
        <w:pStyle w:val="BodyText"/>
        <w:rPr>
          <w:b/>
          <w:sz w:val="20"/>
        </w:rPr>
      </w:pPr>
    </w:p>
    <w:p>
      <w:pPr>
        <w:pStyle w:val="BodyText"/>
        <w:rPr>
          <w:b/>
          <w:sz w:val="28"/>
        </w:rPr>
      </w:pPr>
    </w:p>
    <w:tbl>
      <w:tblPr>
        <w:tblW w:w="0" w:type="auto"/>
        <w:jc w:val="left"/>
        <w:tblInd w:w="139" w:type="dxa"/>
        <w:tblBorders>
          <w:top w:val="single" w:sz="4" w:space="0" w:color="AB610D"/>
          <w:left w:val="single" w:sz="4" w:space="0" w:color="AB610D"/>
          <w:bottom w:val="single" w:sz="4" w:space="0" w:color="AB610D"/>
          <w:right w:val="single" w:sz="4" w:space="0" w:color="AB610D"/>
          <w:insideH w:val="single" w:sz="4" w:space="0" w:color="AB610D"/>
          <w:insideV w:val="single" w:sz="4" w:space="0" w:color="AB610D"/>
        </w:tblBorders>
        <w:tblLayout w:type="fixed"/>
        <w:tblCellMar>
          <w:top w:w="0" w:type="dxa"/>
          <w:left w:w="0" w:type="dxa"/>
          <w:bottom w:w="0" w:type="dxa"/>
          <w:right w:w="0" w:type="dxa"/>
        </w:tblCellMar>
        <w:tblLook w:val="01E0"/>
      </w:tblPr>
      <w:tblGrid>
        <w:gridCol w:w="2082"/>
        <w:gridCol w:w="1810"/>
        <w:gridCol w:w="3257"/>
        <w:gridCol w:w="1991"/>
        <w:gridCol w:w="1899"/>
        <w:gridCol w:w="1839"/>
        <w:gridCol w:w="1955"/>
      </w:tblGrid>
      <w:tr>
        <w:trPr>
          <w:trHeight w:val="1233" w:hRule="atLeast"/>
        </w:trPr>
        <w:tc>
          <w:tcPr>
            <w:tcW w:w="2082"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ind w:left="634"/>
              <w:rPr>
                <w:b/>
                <w:sz w:val="20"/>
              </w:rPr>
            </w:pPr>
            <w:r>
              <w:rPr>
                <w:b/>
                <w:spacing w:val="-2"/>
                <w:sz w:val="20"/>
              </w:rPr>
              <w:t>Objektivi</w:t>
            </w:r>
          </w:p>
        </w:tc>
        <w:tc>
          <w:tcPr>
            <w:tcW w:w="1810"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ind w:left="366"/>
              <w:rPr>
                <w:b/>
                <w:sz w:val="20"/>
              </w:rPr>
            </w:pPr>
            <w:r>
              <w:rPr>
                <w:b/>
                <w:spacing w:val="-2"/>
                <w:sz w:val="20"/>
              </w:rPr>
              <w:t>Pritshmëritë</w:t>
            </w:r>
          </w:p>
        </w:tc>
        <w:tc>
          <w:tcPr>
            <w:tcW w:w="3257"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ind w:left="128" w:right="119"/>
              <w:jc w:val="center"/>
              <w:rPr>
                <w:b/>
                <w:sz w:val="20"/>
              </w:rPr>
            </w:pPr>
            <w:r>
              <w:rPr>
                <w:b/>
                <w:spacing w:val="-2"/>
                <w:sz w:val="20"/>
              </w:rPr>
              <w:t>Aktiviteti/Projekti</w:t>
            </w:r>
          </w:p>
        </w:tc>
        <w:tc>
          <w:tcPr>
            <w:tcW w:w="1991"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spacing w:line="276" w:lineRule="auto"/>
              <w:ind w:left="416" w:right="339" w:hanging="64"/>
              <w:rPr>
                <w:b/>
                <w:sz w:val="20"/>
              </w:rPr>
            </w:pPr>
            <w:r>
              <w:rPr>
                <w:b/>
                <w:sz w:val="20"/>
              </w:rPr>
              <w:t>Përgjegjësi</w:t>
            </w:r>
            <w:r>
              <w:rPr>
                <w:b/>
                <w:spacing w:val="-13"/>
                <w:sz w:val="20"/>
              </w:rPr>
              <w:t> </w:t>
            </w:r>
            <w:r>
              <w:rPr>
                <w:b/>
                <w:sz w:val="20"/>
              </w:rPr>
              <w:t>për </w:t>
            </w:r>
            <w:r>
              <w:rPr>
                <w:b/>
                <w:spacing w:val="-2"/>
                <w:sz w:val="20"/>
              </w:rPr>
              <w:t>Implementim</w:t>
            </w:r>
          </w:p>
        </w:tc>
        <w:tc>
          <w:tcPr>
            <w:tcW w:w="1899"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ind w:left="263" w:right="257"/>
              <w:jc w:val="center"/>
              <w:rPr>
                <w:b/>
                <w:sz w:val="20"/>
              </w:rPr>
            </w:pPr>
            <w:r>
              <w:rPr>
                <w:b/>
                <w:sz w:val="20"/>
              </w:rPr>
              <w:t>Afati i</w:t>
            </w:r>
            <w:r>
              <w:rPr>
                <w:b/>
                <w:spacing w:val="-1"/>
                <w:sz w:val="20"/>
              </w:rPr>
              <w:t> </w:t>
            </w:r>
            <w:r>
              <w:rPr>
                <w:b/>
                <w:spacing w:val="-2"/>
                <w:sz w:val="20"/>
              </w:rPr>
              <w:t>Zbatimit</w:t>
            </w:r>
          </w:p>
        </w:tc>
        <w:tc>
          <w:tcPr>
            <w:tcW w:w="1839"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spacing w:line="276" w:lineRule="auto"/>
              <w:ind w:left="391" w:firstLine="124"/>
              <w:rPr>
                <w:b/>
                <w:sz w:val="20"/>
              </w:rPr>
            </w:pPr>
            <w:r>
              <w:rPr>
                <w:b/>
                <w:sz w:val="20"/>
              </w:rPr>
              <w:t>Kostoja e </w:t>
            </w:r>
            <w:r>
              <w:rPr>
                <w:b/>
                <w:spacing w:val="-2"/>
                <w:sz w:val="20"/>
              </w:rPr>
              <w:t>parashikuar</w:t>
            </w:r>
          </w:p>
        </w:tc>
        <w:tc>
          <w:tcPr>
            <w:tcW w:w="1955" w:type="dxa"/>
            <w:tcBorders>
              <w:bottom w:val="single" w:sz="12" w:space="0" w:color="DAD5B1"/>
            </w:tcBorders>
            <w:shd w:val="clear" w:color="auto" w:fill="F9DFC2"/>
          </w:tcPr>
          <w:p>
            <w:pPr>
              <w:pStyle w:val="TableParagraph"/>
              <w:rPr>
                <w:b/>
                <w:sz w:val="22"/>
              </w:rPr>
            </w:pPr>
          </w:p>
          <w:p>
            <w:pPr>
              <w:pStyle w:val="TableParagraph"/>
              <w:spacing w:before="155"/>
              <w:ind w:left="119" w:right="108"/>
              <w:jc w:val="center"/>
              <w:rPr>
                <w:b/>
                <w:sz w:val="20"/>
              </w:rPr>
            </w:pPr>
            <w:r>
              <w:rPr>
                <w:b/>
                <w:sz w:val="20"/>
              </w:rPr>
              <w:t>Burimi</w:t>
            </w:r>
            <w:r>
              <w:rPr>
                <w:b/>
                <w:spacing w:val="-2"/>
                <w:sz w:val="20"/>
              </w:rPr>
              <w:t> </w:t>
            </w:r>
            <w:r>
              <w:rPr>
                <w:b/>
                <w:sz w:val="20"/>
              </w:rPr>
              <w:t>i </w:t>
            </w:r>
            <w:r>
              <w:rPr>
                <w:b/>
                <w:spacing w:val="-2"/>
                <w:sz w:val="20"/>
              </w:rPr>
              <w:t>Financimit</w:t>
            </w:r>
          </w:p>
        </w:tc>
      </w:tr>
      <w:tr>
        <w:trPr>
          <w:trHeight w:val="346" w:hRule="atLeast"/>
        </w:trPr>
        <w:tc>
          <w:tcPr>
            <w:tcW w:w="2082" w:type="dxa"/>
            <w:vMerge w:val="restart"/>
            <w:tcBorders>
              <w:top w:val="single" w:sz="12" w:space="0" w:color="DAD5B1"/>
            </w:tcBorders>
            <w:textDirection w:val="btLr"/>
          </w:tcPr>
          <w:p>
            <w:pPr>
              <w:pStyle w:val="TableParagraph"/>
              <w:spacing w:before="5"/>
              <w:rPr>
                <w:b/>
                <w:sz w:val="23"/>
              </w:rPr>
            </w:pPr>
          </w:p>
          <w:p>
            <w:pPr>
              <w:pStyle w:val="TableParagraph"/>
              <w:tabs>
                <w:tab w:pos="780" w:val="left" w:leader="none"/>
              </w:tabs>
              <w:spacing w:line="266" w:lineRule="auto" w:before="1"/>
              <w:ind w:left="1042" w:right="61" w:hanging="622"/>
              <w:rPr>
                <w:sz w:val="20"/>
              </w:rPr>
            </w:pPr>
            <w:r>
              <w:rPr>
                <w:spacing w:val="-6"/>
                <w:sz w:val="20"/>
              </w:rPr>
              <w:t>1.</w:t>
            </w:r>
            <w:r>
              <w:rPr>
                <w:sz w:val="20"/>
              </w:rPr>
              <w:tab/>
              <w:t>RRITJA</w:t>
            </w:r>
            <w:r>
              <w:rPr>
                <w:spacing w:val="-8"/>
                <w:sz w:val="20"/>
              </w:rPr>
              <w:t> </w:t>
            </w:r>
            <w:r>
              <w:rPr>
                <w:sz w:val="20"/>
              </w:rPr>
              <w:t>E</w:t>
            </w:r>
            <w:r>
              <w:rPr>
                <w:spacing w:val="-8"/>
                <w:sz w:val="20"/>
              </w:rPr>
              <w:t> </w:t>
            </w:r>
            <w:r>
              <w:rPr>
                <w:sz w:val="20"/>
              </w:rPr>
              <w:t>PËRFSHIRJES</w:t>
            </w:r>
            <w:r>
              <w:rPr>
                <w:spacing w:val="-9"/>
                <w:sz w:val="20"/>
              </w:rPr>
              <w:t> </w:t>
            </w:r>
            <w:r>
              <w:rPr>
                <w:sz w:val="20"/>
              </w:rPr>
              <w:t>DHE</w:t>
            </w:r>
            <w:r>
              <w:rPr>
                <w:spacing w:val="-8"/>
                <w:sz w:val="20"/>
              </w:rPr>
              <w:t> </w:t>
            </w:r>
            <w:r>
              <w:rPr>
                <w:sz w:val="20"/>
              </w:rPr>
              <w:t>QASJE</w:t>
            </w:r>
            <w:r>
              <w:rPr>
                <w:spacing w:val="-9"/>
                <w:sz w:val="20"/>
              </w:rPr>
              <w:t> </w:t>
            </w:r>
            <w:r>
              <w:rPr>
                <w:sz w:val="20"/>
              </w:rPr>
              <w:t>E BARABARTË NË EDUKIMIN NË</w:t>
            </w:r>
          </w:p>
          <w:p>
            <w:pPr>
              <w:pStyle w:val="TableParagraph"/>
              <w:ind w:left="1334"/>
              <w:rPr>
                <w:sz w:val="20"/>
              </w:rPr>
            </w:pPr>
            <w:r>
              <w:rPr>
                <w:sz w:val="20"/>
              </w:rPr>
              <w:t>FËMIJËRINË</w:t>
            </w:r>
            <w:r>
              <w:rPr>
                <w:spacing w:val="-3"/>
                <w:sz w:val="20"/>
              </w:rPr>
              <w:t> </w:t>
            </w:r>
            <w:r>
              <w:rPr>
                <w:sz w:val="20"/>
              </w:rPr>
              <w:t>E</w:t>
            </w:r>
            <w:r>
              <w:rPr>
                <w:spacing w:val="-1"/>
                <w:sz w:val="20"/>
              </w:rPr>
              <w:t> </w:t>
            </w:r>
            <w:r>
              <w:rPr>
                <w:spacing w:val="-2"/>
                <w:sz w:val="20"/>
              </w:rPr>
              <w:t>HERSHME</w:t>
            </w:r>
          </w:p>
        </w:tc>
        <w:tc>
          <w:tcPr>
            <w:tcW w:w="1810" w:type="dxa"/>
            <w:vMerge w:val="restart"/>
            <w:tcBorders>
              <w:top w:val="single" w:sz="12" w:space="0" w:color="DAD5B1"/>
            </w:tcBorders>
          </w:tcPr>
          <w:p>
            <w:pPr>
              <w:pStyle w:val="TableParagraph"/>
              <w:rPr>
                <w:sz w:val="20"/>
              </w:rPr>
            </w:pPr>
          </w:p>
        </w:tc>
        <w:tc>
          <w:tcPr>
            <w:tcW w:w="3257" w:type="dxa"/>
            <w:tcBorders>
              <w:top w:val="single" w:sz="12" w:space="0" w:color="DAD5B1"/>
              <w:bottom w:val="nil"/>
            </w:tcBorders>
          </w:tcPr>
          <w:p>
            <w:pPr>
              <w:pStyle w:val="TableParagraph"/>
              <w:ind w:left="128" w:right="120"/>
              <w:jc w:val="center"/>
              <w:rPr>
                <w:sz w:val="20"/>
              </w:rPr>
            </w:pPr>
            <w:r>
              <w:rPr>
                <w:sz w:val="20"/>
              </w:rPr>
              <w:t>Ndertimi</w:t>
            </w:r>
            <w:r>
              <w:rPr>
                <w:spacing w:val="-2"/>
                <w:sz w:val="20"/>
              </w:rPr>
              <w:t> </w:t>
            </w:r>
            <w:r>
              <w:rPr>
                <w:sz w:val="20"/>
              </w:rPr>
              <w:t>i</w:t>
            </w:r>
            <w:r>
              <w:rPr>
                <w:spacing w:val="-1"/>
                <w:sz w:val="20"/>
              </w:rPr>
              <w:t> </w:t>
            </w:r>
            <w:r>
              <w:rPr>
                <w:sz w:val="20"/>
              </w:rPr>
              <w:t>hapsirave</w:t>
            </w:r>
            <w:r>
              <w:rPr>
                <w:spacing w:val="-1"/>
                <w:sz w:val="20"/>
              </w:rPr>
              <w:t> </w:t>
            </w:r>
            <w:r>
              <w:rPr>
                <w:sz w:val="20"/>
              </w:rPr>
              <w:t>të</w:t>
            </w:r>
            <w:r>
              <w:rPr>
                <w:spacing w:val="-3"/>
                <w:sz w:val="20"/>
              </w:rPr>
              <w:t> </w:t>
            </w:r>
            <w:r>
              <w:rPr>
                <w:sz w:val="20"/>
              </w:rPr>
              <w:t>reja </w:t>
            </w:r>
            <w:r>
              <w:rPr>
                <w:spacing w:val="-2"/>
                <w:sz w:val="20"/>
              </w:rPr>
              <w:t>shkollore</w:t>
            </w:r>
          </w:p>
        </w:tc>
        <w:tc>
          <w:tcPr>
            <w:tcW w:w="1991" w:type="dxa"/>
            <w:tcBorders>
              <w:top w:val="single" w:sz="12" w:space="0" w:color="DAD5B1"/>
              <w:bottom w:val="nil"/>
            </w:tcBorders>
          </w:tcPr>
          <w:p>
            <w:pPr>
              <w:pStyle w:val="TableParagraph"/>
              <w:ind w:left="641" w:right="633"/>
              <w:jc w:val="center"/>
              <w:rPr>
                <w:sz w:val="20"/>
              </w:rPr>
            </w:pPr>
            <w:r>
              <w:rPr>
                <w:spacing w:val="-5"/>
                <w:sz w:val="20"/>
              </w:rPr>
              <w:t>DKA</w:t>
            </w:r>
          </w:p>
        </w:tc>
        <w:tc>
          <w:tcPr>
            <w:tcW w:w="1899" w:type="dxa"/>
            <w:tcBorders>
              <w:top w:val="single" w:sz="12" w:space="0" w:color="DAD5B1"/>
              <w:bottom w:val="nil"/>
            </w:tcBorders>
          </w:tcPr>
          <w:p>
            <w:pPr>
              <w:pStyle w:val="TableParagraph"/>
              <w:rPr>
                <w:sz w:val="20"/>
              </w:rPr>
            </w:pPr>
          </w:p>
        </w:tc>
        <w:tc>
          <w:tcPr>
            <w:tcW w:w="1839" w:type="dxa"/>
            <w:tcBorders>
              <w:top w:val="single" w:sz="12" w:space="0" w:color="DAD5B1"/>
              <w:bottom w:val="nil"/>
            </w:tcBorders>
          </w:tcPr>
          <w:p>
            <w:pPr>
              <w:pStyle w:val="TableParagraph"/>
              <w:rPr>
                <w:sz w:val="20"/>
              </w:rPr>
            </w:pPr>
          </w:p>
        </w:tc>
        <w:tc>
          <w:tcPr>
            <w:tcW w:w="1955" w:type="dxa"/>
            <w:tcBorders>
              <w:top w:val="single" w:sz="12" w:space="0" w:color="DAD5B1"/>
              <w:bottom w:val="nil"/>
            </w:tcBorders>
          </w:tcPr>
          <w:p>
            <w:pPr>
              <w:pStyle w:val="TableParagraph"/>
              <w:ind w:left="119" w:right="107"/>
              <w:jc w:val="center"/>
              <w:rPr>
                <w:sz w:val="20"/>
              </w:rPr>
            </w:pPr>
            <w:r>
              <w:rPr>
                <w:spacing w:val="-2"/>
                <w:sz w:val="20"/>
              </w:rPr>
              <w:t>Komuna</w:t>
            </w:r>
          </w:p>
        </w:tc>
      </w:tr>
      <w:tr>
        <w:trPr>
          <w:trHeight w:val="830" w:hRule="atLeast"/>
        </w:trPr>
        <w:tc>
          <w:tcPr>
            <w:tcW w:w="2082" w:type="dxa"/>
            <w:vMerge/>
            <w:tcBorders>
              <w:top w:val="nil"/>
            </w:tcBorders>
            <w:textDirection w:val="btLr"/>
          </w:tcPr>
          <w:p>
            <w:pPr>
              <w:rPr>
                <w:sz w:val="2"/>
                <w:szCs w:val="2"/>
              </w:rPr>
            </w:pPr>
          </w:p>
        </w:tc>
        <w:tc>
          <w:tcPr>
            <w:tcW w:w="1810" w:type="dxa"/>
            <w:vMerge/>
            <w:tcBorders>
              <w:top w:val="nil"/>
            </w:tcBorders>
          </w:tcPr>
          <w:p>
            <w:pPr>
              <w:rPr>
                <w:sz w:val="2"/>
                <w:szCs w:val="2"/>
              </w:rPr>
            </w:pPr>
          </w:p>
        </w:tc>
        <w:tc>
          <w:tcPr>
            <w:tcW w:w="3257" w:type="dxa"/>
            <w:tcBorders>
              <w:top w:val="nil"/>
              <w:bottom w:val="nil"/>
            </w:tcBorders>
          </w:tcPr>
          <w:p>
            <w:pPr>
              <w:pStyle w:val="TableParagraph"/>
              <w:spacing w:line="276" w:lineRule="auto" w:before="108"/>
              <w:ind w:left="1256" w:hanging="1040"/>
              <w:rPr>
                <w:sz w:val="20"/>
              </w:rPr>
            </w:pPr>
            <w:r>
              <w:rPr>
                <w:sz w:val="20"/>
              </w:rPr>
              <w:t>Rregullimi</w:t>
            </w:r>
            <w:r>
              <w:rPr>
                <w:spacing w:val="-9"/>
                <w:sz w:val="20"/>
              </w:rPr>
              <w:t> </w:t>
            </w:r>
            <w:r>
              <w:rPr>
                <w:sz w:val="20"/>
              </w:rPr>
              <w:t>i</w:t>
            </w:r>
            <w:r>
              <w:rPr>
                <w:spacing w:val="-10"/>
                <w:sz w:val="20"/>
              </w:rPr>
              <w:t> </w:t>
            </w:r>
            <w:r>
              <w:rPr>
                <w:sz w:val="20"/>
              </w:rPr>
              <w:t>haspësirave</w:t>
            </w:r>
            <w:r>
              <w:rPr>
                <w:spacing w:val="-9"/>
                <w:sz w:val="20"/>
              </w:rPr>
              <w:t> </w:t>
            </w:r>
            <w:r>
              <w:rPr>
                <w:sz w:val="20"/>
              </w:rPr>
              <w:t>të</w:t>
            </w:r>
            <w:r>
              <w:rPr>
                <w:spacing w:val="-10"/>
                <w:sz w:val="20"/>
              </w:rPr>
              <w:t> </w:t>
            </w:r>
            <w:r>
              <w:rPr>
                <w:sz w:val="20"/>
              </w:rPr>
              <w:t>jashtme </w:t>
            </w:r>
            <w:r>
              <w:rPr>
                <w:spacing w:val="-2"/>
                <w:sz w:val="20"/>
              </w:rPr>
              <w:t>shkollore</w:t>
            </w:r>
          </w:p>
        </w:tc>
        <w:tc>
          <w:tcPr>
            <w:tcW w:w="1991" w:type="dxa"/>
            <w:tcBorders>
              <w:top w:val="nil"/>
              <w:bottom w:val="nil"/>
            </w:tcBorders>
          </w:tcPr>
          <w:p>
            <w:pPr>
              <w:pStyle w:val="TableParagraph"/>
              <w:spacing w:before="108"/>
              <w:ind w:left="599"/>
              <w:rPr>
                <w:sz w:val="20"/>
              </w:rPr>
            </w:pPr>
            <w:r>
              <w:rPr>
                <w:spacing w:val="-2"/>
                <w:sz w:val="20"/>
              </w:rPr>
              <w:t>DUKMM</w:t>
            </w:r>
          </w:p>
          <w:p>
            <w:pPr>
              <w:pStyle w:val="TableParagraph"/>
              <w:spacing w:before="4"/>
              <w:rPr>
                <w:b/>
                <w:sz w:val="20"/>
              </w:rPr>
            </w:pPr>
          </w:p>
          <w:p>
            <w:pPr>
              <w:pStyle w:val="TableParagraph"/>
              <w:ind w:left="644"/>
              <w:rPr>
                <w:sz w:val="20"/>
              </w:rPr>
            </w:pPr>
            <w:r>
              <w:rPr>
                <w:spacing w:val="-2"/>
                <w:sz w:val="20"/>
              </w:rPr>
              <w:t>MASHT</w:t>
            </w:r>
          </w:p>
        </w:tc>
        <w:tc>
          <w:tcPr>
            <w:tcW w:w="1899" w:type="dxa"/>
            <w:tcBorders>
              <w:top w:val="nil"/>
              <w:bottom w:val="nil"/>
            </w:tcBorders>
          </w:tcPr>
          <w:p>
            <w:pPr>
              <w:pStyle w:val="TableParagraph"/>
              <w:spacing w:before="119"/>
              <w:ind w:left="263" w:right="256"/>
              <w:jc w:val="center"/>
              <w:rPr>
                <w:sz w:val="20"/>
              </w:rPr>
            </w:pPr>
            <w:r>
              <w:rPr>
                <w:spacing w:val="-2"/>
                <w:sz w:val="20"/>
              </w:rPr>
              <w:t>2024-</w:t>
            </w:r>
            <w:r>
              <w:rPr>
                <w:spacing w:val="-4"/>
                <w:sz w:val="20"/>
              </w:rPr>
              <w:t>2026</w:t>
            </w:r>
          </w:p>
        </w:tc>
        <w:tc>
          <w:tcPr>
            <w:tcW w:w="1839" w:type="dxa"/>
            <w:tcBorders>
              <w:top w:val="nil"/>
              <w:bottom w:val="nil"/>
            </w:tcBorders>
          </w:tcPr>
          <w:p>
            <w:pPr>
              <w:pStyle w:val="TableParagraph"/>
              <w:spacing w:before="119"/>
              <w:ind w:left="469"/>
              <w:rPr>
                <w:sz w:val="20"/>
              </w:rPr>
            </w:pPr>
            <w:r>
              <w:rPr>
                <w:spacing w:val="-2"/>
                <w:sz w:val="20"/>
              </w:rPr>
              <w:t>100,000.00</w:t>
            </w:r>
          </w:p>
          <w:p>
            <w:pPr>
              <w:pStyle w:val="TableParagraph"/>
              <w:spacing w:before="4"/>
              <w:rPr>
                <w:b/>
                <w:sz w:val="21"/>
              </w:rPr>
            </w:pPr>
          </w:p>
          <w:p>
            <w:pPr>
              <w:pStyle w:val="TableParagraph"/>
              <w:spacing w:line="215" w:lineRule="exact" w:before="1"/>
              <w:ind w:left="520"/>
              <w:rPr>
                <w:sz w:val="20"/>
              </w:rPr>
            </w:pPr>
            <w:r>
              <w:rPr>
                <w:spacing w:val="-2"/>
                <w:sz w:val="20"/>
              </w:rPr>
              <w:t>60,000.00</w:t>
            </w:r>
          </w:p>
        </w:tc>
        <w:tc>
          <w:tcPr>
            <w:tcW w:w="1955" w:type="dxa"/>
            <w:tcBorders>
              <w:top w:val="nil"/>
              <w:bottom w:val="nil"/>
            </w:tcBorders>
          </w:tcPr>
          <w:p>
            <w:pPr>
              <w:pStyle w:val="TableParagraph"/>
              <w:spacing w:before="119"/>
              <w:ind w:left="119" w:right="107"/>
              <w:jc w:val="center"/>
              <w:rPr>
                <w:sz w:val="20"/>
              </w:rPr>
            </w:pPr>
            <w:r>
              <w:rPr>
                <w:spacing w:val="-2"/>
                <w:sz w:val="20"/>
              </w:rPr>
              <w:t>Mashti</w:t>
            </w:r>
          </w:p>
          <w:p>
            <w:pPr>
              <w:pStyle w:val="TableParagraph"/>
              <w:spacing w:before="4"/>
              <w:rPr>
                <w:b/>
                <w:sz w:val="21"/>
              </w:rPr>
            </w:pPr>
          </w:p>
          <w:p>
            <w:pPr>
              <w:pStyle w:val="TableParagraph"/>
              <w:spacing w:line="215" w:lineRule="exact" w:before="1"/>
              <w:ind w:left="119" w:right="107"/>
              <w:jc w:val="center"/>
              <w:rPr>
                <w:sz w:val="20"/>
              </w:rPr>
            </w:pPr>
            <w:r>
              <w:rPr>
                <w:sz w:val="20"/>
              </w:rPr>
              <w:t>Donatorë</w:t>
            </w:r>
            <w:r>
              <w:rPr>
                <w:spacing w:val="-1"/>
                <w:sz w:val="20"/>
              </w:rPr>
              <w:t> </w:t>
            </w:r>
            <w:r>
              <w:rPr>
                <w:sz w:val="20"/>
              </w:rPr>
              <w:t>të </w:t>
            </w:r>
            <w:r>
              <w:rPr>
                <w:spacing w:val="-2"/>
                <w:sz w:val="20"/>
              </w:rPr>
              <w:t>Jashtëm</w:t>
            </w:r>
          </w:p>
        </w:tc>
      </w:tr>
      <w:tr>
        <w:trPr>
          <w:trHeight w:val="598" w:hRule="atLeast"/>
        </w:trPr>
        <w:tc>
          <w:tcPr>
            <w:tcW w:w="2082" w:type="dxa"/>
            <w:vMerge/>
            <w:tcBorders>
              <w:top w:val="nil"/>
            </w:tcBorders>
            <w:textDirection w:val="btLr"/>
          </w:tcPr>
          <w:p>
            <w:pPr>
              <w:rPr>
                <w:sz w:val="2"/>
                <w:szCs w:val="2"/>
              </w:rPr>
            </w:pPr>
          </w:p>
        </w:tc>
        <w:tc>
          <w:tcPr>
            <w:tcW w:w="1810" w:type="dxa"/>
            <w:vMerge/>
            <w:tcBorders>
              <w:top w:val="nil"/>
            </w:tcBorders>
          </w:tcPr>
          <w:p>
            <w:pPr>
              <w:rPr>
                <w:sz w:val="2"/>
                <w:szCs w:val="2"/>
              </w:rPr>
            </w:pPr>
          </w:p>
        </w:tc>
        <w:tc>
          <w:tcPr>
            <w:tcW w:w="3257" w:type="dxa"/>
            <w:tcBorders>
              <w:top w:val="nil"/>
              <w:bottom w:val="nil"/>
            </w:tcBorders>
          </w:tcPr>
          <w:p>
            <w:pPr>
              <w:pStyle w:val="TableParagraph"/>
              <w:spacing w:line="276" w:lineRule="auto"/>
              <w:ind w:left="525" w:hanging="111"/>
              <w:rPr>
                <w:sz w:val="20"/>
              </w:rPr>
            </w:pPr>
            <w:r>
              <w:rPr>
                <w:sz w:val="20"/>
              </w:rPr>
              <w:t>Rregullimi</w:t>
            </w:r>
            <w:r>
              <w:rPr>
                <w:spacing w:val="-13"/>
                <w:sz w:val="20"/>
              </w:rPr>
              <w:t> </w:t>
            </w:r>
            <w:r>
              <w:rPr>
                <w:sz w:val="20"/>
              </w:rPr>
              <w:t>i</w:t>
            </w:r>
            <w:r>
              <w:rPr>
                <w:spacing w:val="-12"/>
                <w:sz w:val="20"/>
              </w:rPr>
              <w:t> </w:t>
            </w:r>
            <w:r>
              <w:rPr>
                <w:sz w:val="20"/>
              </w:rPr>
              <w:t>infrastrukturës</w:t>
            </w:r>
            <w:r>
              <w:rPr>
                <w:spacing w:val="-13"/>
                <w:sz w:val="20"/>
              </w:rPr>
              <w:t> </w:t>
            </w:r>
            <w:r>
              <w:rPr>
                <w:sz w:val="20"/>
              </w:rPr>
              <w:t>në Instutucionin Parashkollorë</w:t>
            </w:r>
          </w:p>
        </w:tc>
        <w:tc>
          <w:tcPr>
            <w:tcW w:w="1991" w:type="dxa"/>
            <w:tcBorders>
              <w:top w:val="nil"/>
              <w:bottom w:val="nil"/>
            </w:tcBorders>
          </w:tcPr>
          <w:p>
            <w:pPr>
              <w:pStyle w:val="TableParagraph"/>
              <w:rPr>
                <w:sz w:val="20"/>
              </w:rPr>
            </w:pPr>
          </w:p>
        </w:tc>
        <w:tc>
          <w:tcPr>
            <w:tcW w:w="1899" w:type="dxa"/>
            <w:tcBorders>
              <w:top w:val="nil"/>
              <w:bottom w:val="nil"/>
            </w:tcBorders>
          </w:tcPr>
          <w:p>
            <w:pPr>
              <w:pStyle w:val="TableParagraph"/>
              <w:rPr>
                <w:sz w:val="20"/>
              </w:rPr>
            </w:pPr>
          </w:p>
        </w:tc>
        <w:tc>
          <w:tcPr>
            <w:tcW w:w="1839" w:type="dxa"/>
            <w:tcBorders>
              <w:top w:val="nil"/>
              <w:bottom w:val="nil"/>
            </w:tcBorders>
          </w:tcPr>
          <w:p>
            <w:pPr>
              <w:pStyle w:val="TableParagraph"/>
              <w:spacing w:before="1"/>
              <w:rPr>
                <w:b/>
                <w:sz w:val="20"/>
              </w:rPr>
            </w:pPr>
          </w:p>
          <w:p>
            <w:pPr>
              <w:pStyle w:val="TableParagraph"/>
              <w:ind w:left="520"/>
              <w:rPr>
                <w:sz w:val="20"/>
              </w:rPr>
            </w:pPr>
            <w:r>
              <w:rPr>
                <w:spacing w:val="-2"/>
                <w:sz w:val="20"/>
              </w:rPr>
              <w:t>50,000.00</w:t>
            </w:r>
          </w:p>
        </w:tc>
        <w:tc>
          <w:tcPr>
            <w:tcW w:w="1955" w:type="dxa"/>
            <w:tcBorders>
              <w:top w:val="nil"/>
              <w:bottom w:val="nil"/>
            </w:tcBorders>
          </w:tcPr>
          <w:p>
            <w:pPr>
              <w:pStyle w:val="TableParagraph"/>
              <w:rPr>
                <w:sz w:val="20"/>
              </w:rPr>
            </w:pPr>
          </w:p>
        </w:tc>
      </w:tr>
      <w:tr>
        <w:trPr>
          <w:trHeight w:val="2466" w:hRule="atLeast"/>
        </w:trPr>
        <w:tc>
          <w:tcPr>
            <w:tcW w:w="2082" w:type="dxa"/>
            <w:vMerge/>
            <w:tcBorders>
              <w:top w:val="nil"/>
            </w:tcBorders>
            <w:textDirection w:val="btLr"/>
          </w:tcPr>
          <w:p>
            <w:pPr>
              <w:rPr>
                <w:sz w:val="2"/>
                <w:szCs w:val="2"/>
              </w:rPr>
            </w:pPr>
          </w:p>
        </w:tc>
        <w:tc>
          <w:tcPr>
            <w:tcW w:w="1810" w:type="dxa"/>
            <w:vMerge/>
            <w:tcBorders>
              <w:top w:val="nil"/>
            </w:tcBorders>
          </w:tcPr>
          <w:p>
            <w:pPr>
              <w:rPr>
                <w:sz w:val="2"/>
                <w:szCs w:val="2"/>
              </w:rPr>
            </w:pPr>
          </w:p>
        </w:tc>
        <w:tc>
          <w:tcPr>
            <w:tcW w:w="3257" w:type="dxa"/>
            <w:tcBorders>
              <w:top w:val="nil"/>
            </w:tcBorders>
          </w:tcPr>
          <w:p>
            <w:pPr>
              <w:pStyle w:val="TableParagraph"/>
              <w:spacing w:line="276" w:lineRule="auto" w:before="118"/>
              <w:ind w:left="128" w:right="117" w:hanging="2"/>
              <w:jc w:val="center"/>
              <w:rPr>
                <w:sz w:val="20"/>
              </w:rPr>
            </w:pPr>
            <w:r>
              <w:rPr>
                <w:sz w:val="20"/>
              </w:rPr>
              <w:t>Mirëmbajtja dhe furnizimi i vazhdueshëm</w:t>
            </w:r>
            <w:r>
              <w:rPr>
                <w:spacing w:val="-10"/>
                <w:sz w:val="20"/>
              </w:rPr>
              <w:t> </w:t>
            </w:r>
            <w:r>
              <w:rPr>
                <w:sz w:val="20"/>
              </w:rPr>
              <w:t>me</w:t>
            </w:r>
            <w:r>
              <w:rPr>
                <w:spacing w:val="-10"/>
                <w:sz w:val="20"/>
              </w:rPr>
              <w:t> </w:t>
            </w:r>
            <w:r>
              <w:rPr>
                <w:sz w:val="20"/>
              </w:rPr>
              <w:t>inventar</w:t>
            </w:r>
            <w:r>
              <w:rPr>
                <w:spacing w:val="-10"/>
                <w:sz w:val="20"/>
              </w:rPr>
              <w:t> </w:t>
            </w:r>
            <w:r>
              <w:rPr>
                <w:sz w:val="20"/>
              </w:rPr>
              <w:t>dhe</w:t>
            </w:r>
            <w:r>
              <w:rPr>
                <w:spacing w:val="-10"/>
                <w:sz w:val="20"/>
              </w:rPr>
              <w:t> </w:t>
            </w:r>
            <w:r>
              <w:rPr>
                <w:sz w:val="20"/>
              </w:rPr>
              <w:t>pajisje të nevojshme për instucionet</w:t>
            </w:r>
            <w:r>
              <w:rPr>
                <w:spacing w:val="40"/>
                <w:sz w:val="20"/>
              </w:rPr>
              <w:t> </w:t>
            </w:r>
            <w:r>
              <w:rPr>
                <w:spacing w:val="-2"/>
                <w:sz w:val="20"/>
              </w:rPr>
              <w:t>arsimore</w:t>
            </w:r>
          </w:p>
        </w:tc>
        <w:tc>
          <w:tcPr>
            <w:tcW w:w="1991" w:type="dxa"/>
            <w:tcBorders>
              <w:top w:val="nil"/>
            </w:tcBorders>
          </w:tcPr>
          <w:p>
            <w:pPr>
              <w:pStyle w:val="TableParagraph"/>
              <w:rPr>
                <w:sz w:val="20"/>
              </w:rPr>
            </w:pPr>
          </w:p>
        </w:tc>
        <w:tc>
          <w:tcPr>
            <w:tcW w:w="1899" w:type="dxa"/>
            <w:tcBorders>
              <w:top w:val="nil"/>
            </w:tcBorders>
          </w:tcPr>
          <w:p>
            <w:pPr>
              <w:pStyle w:val="TableParagraph"/>
              <w:rPr>
                <w:sz w:val="20"/>
              </w:rPr>
            </w:pPr>
          </w:p>
        </w:tc>
        <w:tc>
          <w:tcPr>
            <w:tcW w:w="1839" w:type="dxa"/>
            <w:tcBorders>
              <w:top w:val="nil"/>
            </w:tcBorders>
          </w:tcPr>
          <w:p>
            <w:pPr>
              <w:pStyle w:val="TableParagraph"/>
              <w:spacing w:before="98"/>
              <w:ind w:left="520"/>
              <w:rPr>
                <w:sz w:val="20"/>
              </w:rPr>
            </w:pPr>
            <w:r>
              <w:rPr>
                <w:spacing w:val="-2"/>
                <w:sz w:val="20"/>
              </w:rPr>
              <w:t>50,000.00</w:t>
            </w:r>
          </w:p>
        </w:tc>
        <w:tc>
          <w:tcPr>
            <w:tcW w:w="1955" w:type="dxa"/>
            <w:tcBorders>
              <w:top w:val="nil"/>
            </w:tcBorders>
          </w:tcPr>
          <w:p>
            <w:pPr>
              <w:pStyle w:val="TableParagraph"/>
              <w:rPr>
                <w:sz w:val="20"/>
              </w:rPr>
            </w:pPr>
          </w:p>
        </w:tc>
      </w:tr>
    </w:tbl>
    <w:p>
      <w:pPr>
        <w:spacing w:after="0"/>
        <w:rPr>
          <w:sz w:val="20"/>
        </w:rPr>
        <w:sectPr>
          <w:pgSz w:w="15840" w:h="12240" w:orient="landscape"/>
          <w:pgMar w:header="0" w:footer="990" w:top="1380" w:bottom="1180" w:left="420" w:right="160"/>
        </w:sectPr>
      </w:pPr>
    </w:p>
    <w:p>
      <w:pPr>
        <w:pStyle w:val="BodyText"/>
        <w:spacing w:before="2"/>
        <w:rPr>
          <w:b/>
          <w:sz w:val="5"/>
        </w:rPr>
      </w:pPr>
    </w:p>
    <w:tbl>
      <w:tblPr>
        <w:tblW w:w="0" w:type="auto"/>
        <w:jc w:val="left"/>
        <w:tblInd w:w="139" w:type="dxa"/>
        <w:tblBorders>
          <w:top w:val="single" w:sz="4" w:space="0" w:color="AB610D"/>
          <w:left w:val="single" w:sz="4" w:space="0" w:color="AB610D"/>
          <w:bottom w:val="single" w:sz="4" w:space="0" w:color="AB610D"/>
          <w:right w:val="single" w:sz="4" w:space="0" w:color="AB610D"/>
          <w:insideH w:val="single" w:sz="4" w:space="0" w:color="AB610D"/>
          <w:insideV w:val="single" w:sz="4" w:space="0" w:color="AB610D"/>
        </w:tblBorders>
        <w:tblLayout w:type="fixed"/>
        <w:tblCellMar>
          <w:top w:w="0" w:type="dxa"/>
          <w:left w:w="0" w:type="dxa"/>
          <w:bottom w:w="0" w:type="dxa"/>
          <w:right w:w="0" w:type="dxa"/>
        </w:tblCellMar>
        <w:tblLook w:val="01E0"/>
      </w:tblPr>
      <w:tblGrid>
        <w:gridCol w:w="2082"/>
        <w:gridCol w:w="1810"/>
        <w:gridCol w:w="3257"/>
        <w:gridCol w:w="1991"/>
        <w:gridCol w:w="1899"/>
        <w:gridCol w:w="1839"/>
        <w:gridCol w:w="1955"/>
      </w:tblGrid>
      <w:tr>
        <w:trPr>
          <w:trHeight w:val="10161" w:hRule="atLeast"/>
        </w:trPr>
        <w:tc>
          <w:tcPr>
            <w:tcW w:w="2082" w:type="dxa"/>
            <w:textDirection w:val="btLr"/>
          </w:tcPr>
          <w:p>
            <w:pPr>
              <w:pStyle w:val="TableParagraph"/>
              <w:spacing w:before="5"/>
              <w:rPr>
                <w:b/>
                <w:sz w:val="23"/>
              </w:rPr>
            </w:pPr>
          </w:p>
          <w:p>
            <w:pPr>
              <w:pStyle w:val="TableParagraph"/>
              <w:tabs>
                <w:tab w:pos="2719" w:val="left" w:leader="none"/>
              </w:tabs>
              <w:spacing w:before="1"/>
              <w:ind w:left="2359"/>
              <w:rPr>
                <w:b/>
                <w:sz w:val="20"/>
              </w:rPr>
            </w:pPr>
            <w:r>
              <w:rPr>
                <w:b/>
                <w:spacing w:val="-5"/>
                <w:sz w:val="20"/>
              </w:rPr>
              <w:t>2.</w:t>
            </w:r>
            <w:r>
              <w:rPr>
                <w:b/>
                <w:sz w:val="20"/>
              </w:rPr>
              <w:tab/>
              <w:t>NGRITJA</w:t>
            </w:r>
            <w:r>
              <w:rPr>
                <w:b/>
                <w:spacing w:val="-2"/>
                <w:sz w:val="20"/>
              </w:rPr>
              <w:t> </w:t>
            </w:r>
            <w:r>
              <w:rPr>
                <w:b/>
                <w:sz w:val="20"/>
              </w:rPr>
              <w:t>E</w:t>
            </w:r>
            <w:r>
              <w:rPr>
                <w:b/>
                <w:spacing w:val="-2"/>
                <w:sz w:val="20"/>
              </w:rPr>
              <w:t> </w:t>
            </w:r>
            <w:r>
              <w:rPr>
                <w:b/>
                <w:sz w:val="20"/>
              </w:rPr>
              <w:t>CILËSISË</w:t>
            </w:r>
            <w:r>
              <w:rPr>
                <w:b/>
                <w:spacing w:val="-2"/>
                <w:sz w:val="20"/>
              </w:rPr>
              <w:t> </w:t>
            </w:r>
            <w:r>
              <w:rPr>
                <w:b/>
                <w:sz w:val="20"/>
              </w:rPr>
              <w:t>NË</w:t>
            </w:r>
            <w:r>
              <w:rPr>
                <w:b/>
                <w:spacing w:val="-2"/>
                <w:sz w:val="20"/>
              </w:rPr>
              <w:t> </w:t>
            </w:r>
            <w:r>
              <w:rPr>
                <w:b/>
                <w:sz w:val="20"/>
              </w:rPr>
              <w:t>ARSIMIN</w:t>
            </w:r>
            <w:r>
              <w:rPr>
                <w:b/>
                <w:spacing w:val="-2"/>
                <w:sz w:val="20"/>
              </w:rPr>
              <w:t> PARAUNIVERSITAR</w:t>
            </w:r>
          </w:p>
        </w:tc>
        <w:tc>
          <w:tcPr>
            <w:tcW w:w="1810" w:type="dxa"/>
          </w:tcPr>
          <w:p>
            <w:pPr>
              <w:pStyle w:val="TableParagraph"/>
              <w:rPr>
                <w:sz w:val="20"/>
              </w:rPr>
            </w:pPr>
          </w:p>
        </w:tc>
        <w:tc>
          <w:tcPr>
            <w:tcW w:w="3257" w:type="dxa"/>
          </w:tcPr>
          <w:p>
            <w:pPr>
              <w:pStyle w:val="TableParagraph"/>
              <w:rPr>
                <w:b/>
                <w:sz w:val="22"/>
              </w:rPr>
            </w:pPr>
          </w:p>
          <w:p>
            <w:pPr>
              <w:pStyle w:val="TableParagraph"/>
              <w:spacing w:before="4"/>
              <w:rPr>
                <w:b/>
                <w:sz w:val="18"/>
              </w:rPr>
            </w:pPr>
          </w:p>
          <w:p>
            <w:pPr>
              <w:pStyle w:val="TableParagraph"/>
              <w:spacing w:line="276" w:lineRule="auto"/>
              <w:ind w:left="341" w:right="332" w:firstLine="2"/>
              <w:jc w:val="center"/>
              <w:rPr>
                <w:sz w:val="20"/>
              </w:rPr>
            </w:pPr>
            <w:r>
              <w:rPr>
                <w:sz w:val="20"/>
              </w:rPr>
              <w:t>Konsilidimi i mekanizmave për sigurim të cilësis dhe ofrimit të trajnimeve</w:t>
            </w:r>
            <w:r>
              <w:rPr>
                <w:spacing w:val="-13"/>
                <w:sz w:val="20"/>
              </w:rPr>
              <w:t> </w:t>
            </w:r>
            <w:r>
              <w:rPr>
                <w:sz w:val="20"/>
              </w:rPr>
              <w:t>për</w:t>
            </w:r>
            <w:r>
              <w:rPr>
                <w:spacing w:val="-12"/>
                <w:sz w:val="20"/>
              </w:rPr>
              <w:t> </w:t>
            </w:r>
            <w:r>
              <w:rPr>
                <w:sz w:val="20"/>
              </w:rPr>
              <w:t>mësimdhënje</w:t>
            </w:r>
            <w:r>
              <w:rPr>
                <w:spacing w:val="-13"/>
                <w:sz w:val="20"/>
              </w:rPr>
              <w:t> </w:t>
            </w:r>
            <w:r>
              <w:rPr>
                <w:sz w:val="20"/>
              </w:rPr>
              <w:t>më </w:t>
            </w:r>
            <w:r>
              <w:rPr>
                <w:spacing w:val="-2"/>
                <w:sz w:val="20"/>
              </w:rPr>
              <w:t>cilësore.</w:t>
            </w:r>
          </w:p>
          <w:p>
            <w:pPr>
              <w:pStyle w:val="TableParagraph"/>
              <w:rPr>
                <w:b/>
                <w:sz w:val="22"/>
              </w:rPr>
            </w:pPr>
          </w:p>
          <w:p>
            <w:pPr>
              <w:pStyle w:val="TableParagraph"/>
              <w:rPr>
                <w:b/>
                <w:sz w:val="22"/>
              </w:rPr>
            </w:pPr>
          </w:p>
          <w:p>
            <w:pPr>
              <w:pStyle w:val="TableParagraph"/>
              <w:spacing w:line="276" w:lineRule="auto" w:before="160"/>
              <w:ind w:left="191" w:right="180" w:hanging="2"/>
              <w:jc w:val="center"/>
              <w:rPr>
                <w:sz w:val="20"/>
              </w:rPr>
            </w:pPr>
            <w:r>
              <w:rPr>
                <w:sz w:val="20"/>
              </w:rPr>
              <w:t>Shtimi i stafit profesional, edukatoreve mbështetëse dhe asistentëve</w:t>
            </w:r>
            <w:r>
              <w:rPr>
                <w:spacing w:val="-7"/>
                <w:sz w:val="20"/>
              </w:rPr>
              <w:t> </w:t>
            </w:r>
            <w:r>
              <w:rPr>
                <w:sz w:val="20"/>
              </w:rPr>
              <w:t>për</w:t>
            </w:r>
            <w:r>
              <w:rPr>
                <w:spacing w:val="-8"/>
                <w:sz w:val="20"/>
              </w:rPr>
              <w:t> </w:t>
            </w:r>
            <w:r>
              <w:rPr>
                <w:sz w:val="20"/>
              </w:rPr>
              <w:t>fëmijët</w:t>
            </w:r>
            <w:r>
              <w:rPr>
                <w:spacing w:val="-8"/>
                <w:sz w:val="20"/>
              </w:rPr>
              <w:t> </w:t>
            </w:r>
            <w:r>
              <w:rPr>
                <w:sz w:val="20"/>
              </w:rPr>
              <w:t>me</w:t>
            </w:r>
            <w:r>
              <w:rPr>
                <w:spacing w:val="-8"/>
                <w:sz w:val="20"/>
              </w:rPr>
              <w:t> </w:t>
            </w:r>
            <w:r>
              <w:rPr>
                <w:sz w:val="20"/>
              </w:rPr>
              <w:t>nevoja</w:t>
            </w:r>
            <w:r>
              <w:rPr>
                <w:spacing w:val="-8"/>
                <w:sz w:val="20"/>
              </w:rPr>
              <w:t> </w:t>
            </w:r>
            <w:r>
              <w:rPr>
                <w:sz w:val="20"/>
              </w:rPr>
              <w:t>të </w:t>
            </w:r>
            <w:r>
              <w:rPr>
                <w:spacing w:val="-2"/>
                <w:sz w:val="20"/>
              </w:rPr>
              <w:t>veçanta</w:t>
            </w:r>
          </w:p>
          <w:p>
            <w:pPr>
              <w:pStyle w:val="TableParagraph"/>
              <w:rPr>
                <w:b/>
                <w:sz w:val="22"/>
              </w:rPr>
            </w:pPr>
          </w:p>
          <w:p>
            <w:pPr>
              <w:pStyle w:val="TableParagraph"/>
              <w:rPr>
                <w:b/>
                <w:sz w:val="22"/>
              </w:rPr>
            </w:pPr>
          </w:p>
          <w:p>
            <w:pPr>
              <w:pStyle w:val="TableParagraph"/>
              <w:spacing w:line="276" w:lineRule="auto" w:before="158"/>
              <w:ind w:left="217" w:right="163" w:hanging="44"/>
              <w:jc w:val="both"/>
              <w:rPr>
                <w:sz w:val="20"/>
              </w:rPr>
            </w:pPr>
            <w:r>
              <w:rPr>
                <w:sz w:val="20"/>
              </w:rPr>
              <w:t>Ngritja</w:t>
            </w:r>
            <w:r>
              <w:rPr>
                <w:spacing w:val="-11"/>
                <w:sz w:val="20"/>
              </w:rPr>
              <w:t> </w:t>
            </w:r>
            <w:r>
              <w:rPr>
                <w:sz w:val="20"/>
              </w:rPr>
              <w:t>e</w:t>
            </w:r>
            <w:r>
              <w:rPr>
                <w:spacing w:val="-10"/>
                <w:sz w:val="20"/>
              </w:rPr>
              <w:t> </w:t>
            </w:r>
            <w:r>
              <w:rPr>
                <w:sz w:val="20"/>
              </w:rPr>
              <w:t>efikasitetit</w:t>
            </w:r>
            <w:r>
              <w:rPr>
                <w:spacing w:val="-11"/>
                <w:sz w:val="20"/>
              </w:rPr>
              <w:t> </w:t>
            </w:r>
            <w:r>
              <w:rPr>
                <w:sz w:val="20"/>
              </w:rPr>
              <w:t>dhe</w:t>
            </w:r>
            <w:r>
              <w:rPr>
                <w:spacing w:val="-10"/>
                <w:sz w:val="20"/>
              </w:rPr>
              <w:t> </w:t>
            </w:r>
            <w:r>
              <w:rPr>
                <w:sz w:val="20"/>
              </w:rPr>
              <w:t>efektivitetit në menaxhim nëpërmjet forcimit të transparencës dhe llogaridhënjes</w:t>
            </w:r>
          </w:p>
        </w:tc>
        <w:tc>
          <w:tcPr>
            <w:tcW w:w="1991" w:type="dxa"/>
          </w:tcPr>
          <w:p>
            <w:pPr>
              <w:pStyle w:val="TableParagraph"/>
              <w:rPr>
                <w:b/>
                <w:sz w:val="22"/>
              </w:rPr>
            </w:pPr>
          </w:p>
          <w:p>
            <w:pPr>
              <w:pStyle w:val="TableParagraph"/>
              <w:spacing w:before="4"/>
              <w:rPr>
                <w:b/>
                <w:sz w:val="18"/>
              </w:rPr>
            </w:pPr>
          </w:p>
          <w:p>
            <w:pPr>
              <w:pStyle w:val="TableParagraph"/>
              <w:spacing w:line="484" w:lineRule="auto"/>
              <w:ind w:left="643" w:right="633"/>
              <w:jc w:val="center"/>
              <w:rPr>
                <w:sz w:val="20"/>
              </w:rPr>
            </w:pPr>
            <w:r>
              <w:rPr>
                <w:spacing w:val="-4"/>
                <w:sz w:val="20"/>
              </w:rPr>
              <w:t>DKA </w:t>
            </w:r>
            <w:r>
              <w:rPr>
                <w:spacing w:val="-2"/>
                <w:sz w:val="20"/>
              </w:rPr>
              <w:t>MASHT </w:t>
            </w:r>
            <w:r>
              <w:rPr>
                <w:spacing w:val="-4"/>
                <w:sz w:val="20"/>
              </w:rPr>
              <w:t>OJQ</w:t>
            </w:r>
          </w:p>
        </w:tc>
        <w:tc>
          <w:tcPr>
            <w:tcW w:w="1899" w:type="dxa"/>
          </w:tcPr>
          <w:p>
            <w:pPr>
              <w:pStyle w:val="TableParagraph"/>
              <w:rPr>
                <w:b/>
                <w:sz w:val="22"/>
              </w:rPr>
            </w:pPr>
          </w:p>
          <w:p>
            <w:pPr>
              <w:pStyle w:val="TableParagraph"/>
              <w:spacing w:before="5"/>
              <w:rPr>
                <w:b/>
                <w:sz w:val="19"/>
              </w:rPr>
            </w:pPr>
          </w:p>
          <w:p>
            <w:pPr>
              <w:pStyle w:val="TableParagraph"/>
              <w:ind w:left="514"/>
              <w:rPr>
                <w:sz w:val="20"/>
              </w:rPr>
            </w:pPr>
            <w:r>
              <w:rPr>
                <w:spacing w:val="-2"/>
                <w:sz w:val="20"/>
              </w:rPr>
              <w:t>2024-</w:t>
            </w:r>
            <w:r>
              <w:rPr>
                <w:spacing w:val="-4"/>
                <w:sz w:val="20"/>
              </w:rPr>
              <w:t>2026</w:t>
            </w:r>
          </w:p>
        </w:tc>
        <w:tc>
          <w:tcPr>
            <w:tcW w:w="1839" w:type="dxa"/>
          </w:tcPr>
          <w:p>
            <w:pPr>
              <w:pStyle w:val="TableParagraph"/>
              <w:rPr>
                <w:b/>
                <w:sz w:val="22"/>
              </w:rPr>
            </w:pPr>
          </w:p>
          <w:p>
            <w:pPr>
              <w:pStyle w:val="TableParagraph"/>
              <w:spacing w:before="5"/>
              <w:rPr>
                <w:b/>
                <w:sz w:val="19"/>
              </w:rPr>
            </w:pPr>
          </w:p>
          <w:p>
            <w:pPr>
              <w:pStyle w:val="TableParagraph"/>
              <w:ind w:left="520"/>
              <w:rPr>
                <w:sz w:val="20"/>
              </w:rPr>
            </w:pPr>
            <w:r>
              <w:rPr>
                <w:spacing w:val="-2"/>
                <w:sz w:val="20"/>
              </w:rPr>
              <w:t>10,000.00</w:t>
            </w:r>
          </w:p>
          <w:p>
            <w:pPr>
              <w:pStyle w:val="TableParagraph"/>
              <w:rPr>
                <w:b/>
                <w:sz w:val="22"/>
              </w:rPr>
            </w:pPr>
          </w:p>
          <w:p>
            <w:pPr>
              <w:pStyle w:val="TableParagraph"/>
              <w:rPr>
                <w:b/>
                <w:sz w:val="22"/>
              </w:rPr>
            </w:pPr>
          </w:p>
          <w:p>
            <w:pPr>
              <w:pStyle w:val="TableParagraph"/>
              <w:spacing w:before="9"/>
              <w:rPr>
                <w:b/>
                <w:sz w:val="18"/>
              </w:rPr>
            </w:pPr>
          </w:p>
          <w:p>
            <w:pPr>
              <w:pStyle w:val="TableParagraph"/>
              <w:ind w:left="520"/>
              <w:rPr>
                <w:sz w:val="20"/>
              </w:rPr>
            </w:pPr>
            <w:r>
              <w:rPr>
                <w:spacing w:val="-2"/>
                <w:sz w:val="20"/>
              </w:rPr>
              <w:t>50,000.00</w:t>
            </w:r>
          </w:p>
          <w:p>
            <w:pPr>
              <w:pStyle w:val="TableParagraph"/>
              <w:spacing w:before="5"/>
              <w:rPr>
                <w:b/>
                <w:sz w:val="21"/>
              </w:rPr>
            </w:pPr>
          </w:p>
          <w:p>
            <w:pPr>
              <w:pStyle w:val="TableParagraph"/>
              <w:ind w:left="570"/>
              <w:rPr>
                <w:sz w:val="20"/>
              </w:rPr>
            </w:pPr>
            <w:r>
              <w:rPr>
                <w:spacing w:val="-2"/>
                <w:sz w:val="20"/>
              </w:rPr>
              <w:t>3,000.00</w:t>
            </w:r>
          </w:p>
        </w:tc>
        <w:tc>
          <w:tcPr>
            <w:tcW w:w="1955" w:type="dxa"/>
          </w:tcPr>
          <w:p>
            <w:pPr>
              <w:pStyle w:val="TableParagraph"/>
              <w:rPr>
                <w:b/>
                <w:sz w:val="22"/>
              </w:rPr>
            </w:pPr>
          </w:p>
          <w:p>
            <w:pPr>
              <w:pStyle w:val="TableParagraph"/>
              <w:spacing w:before="5"/>
              <w:rPr>
                <w:b/>
                <w:sz w:val="19"/>
              </w:rPr>
            </w:pPr>
          </w:p>
          <w:p>
            <w:pPr>
              <w:pStyle w:val="TableParagraph"/>
              <w:spacing w:line="496" w:lineRule="auto"/>
              <w:ind w:left="633" w:right="619"/>
              <w:jc w:val="center"/>
              <w:rPr>
                <w:sz w:val="20"/>
              </w:rPr>
            </w:pPr>
            <w:r>
              <w:rPr>
                <w:spacing w:val="-2"/>
                <w:sz w:val="20"/>
              </w:rPr>
              <w:t>Komuna Mashti</w:t>
            </w:r>
          </w:p>
          <w:p>
            <w:pPr>
              <w:pStyle w:val="TableParagraph"/>
              <w:ind w:left="119" w:right="107"/>
              <w:jc w:val="center"/>
              <w:rPr>
                <w:sz w:val="20"/>
              </w:rPr>
            </w:pPr>
            <w:r>
              <w:rPr>
                <w:sz w:val="20"/>
              </w:rPr>
              <w:t>Donatorë</w:t>
            </w:r>
            <w:r>
              <w:rPr>
                <w:spacing w:val="-1"/>
                <w:sz w:val="20"/>
              </w:rPr>
              <w:t> </w:t>
            </w:r>
            <w:r>
              <w:rPr>
                <w:sz w:val="20"/>
              </w:rPr>
              <w:t>të </w:t>
            </w:r>
            <w:r>
              <w:rPr>
                <w:spacing w:val="-2"/>
                <w:sz w:val="20"/>
              </w:rPr>
              <w:t>Jashtëm</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26"/>
              </w:rPr>
            </w:pPr>
          </w:p>
          <w:p>
            <w:pPr>
              <w:pStyle w:val="TableParagraph"/>
              <w:ind w:left="119" w:right="337"/>
              <w:jc w:val="center"/>
              <w:rPr>
                <w:rFonts w:ascii="Calibri"/>
                <w:sz w:val="21"/>
              </w:rPr>
            </w:pPr>
            <w:r>
              <w:rPr>
                <w:rFonts w:ascii="Calibri"/>
                <w:spacing w:val="-5"/>
                <w:sz w:val="21"/>
              </w:rPr>
              <w:t>63</w:t>
            </w:r>
          </w:p>
        </w:tc>
      </w:tr>
    </w:tbl>
    <w:p>
      <w:pPr>
        <w:spacing w:after="0"/>
        <w:jc w:val="center"/>
        <w:rPr>
          <w:rFonts w:ascii="Calibri"/>
          <w:sz w:val="21"/>
        </w:rPr>
        <w:sectPr>
          <w:footerReference w:type="default" r:id="rId80"/>
          <w:pgSz w:w="15840" w:h="12240" w:orient="landscape"/>
          <w:pgMar w:footer="0" w:header="0" w:top="1380" w:bottom="280" w:left="420" w:right="160"/>
        </w:sectPr>
      </w:pPr>
    </w:p>
    <w:p>
      <w:pPr>
        <w:spacing w:before="60"/>
        <w:ind w:left="2487" w:right="2746" w:firstLine="0"/>
        <w:jc w:val="center"/>
        <w:rPr>
          <w:b/>
          <w:sz w:val="24"/>
        </w:rPr>
      </w:pPr>
      <w:r>
        <w:rPr>
          <w:b/>
          <w:sz w:val="24"/>
        </w:rPr>
        <w:t>OBJEKTIVAT</w:t>
      </w:r>
      <w:r>
        <w:rPr>
          <w:b/>
          <w:spacing w:val="-4"/>
          <w:sz w:val="24"/>
        </w:rPr>
        <w:t> </w:t>
      </w:r>
      <w:r>
        <w:rPr>
          <w:b/>
          <w:sz w:val="24"/>
        </w:rPr>
        <w:t>PËR</w:t>
      </w:r>
      <w:r>
        <w:rPr>
          <w:b/>
          <w:spacing w:val="-2"/>
          <w:sz w:val="24"/>
        </w:rPr>
        <w:t> </w:t>
      </w:r>
      <w:r>
        <w:rPr>
          <w:b/>
          <w:sz w:val="24"/>
        </w:rPr>
        <w:t>KULTURË</w:t>
      </w:r>
      <w:r>
        <w:rPr>
          <w:b/>
          <w:spacing w:val="-2"/>
          <w:sz w:val="24"/>
        </w:rPr>
        <w:t> </w:t>
      </w:r>
      <w:r>
        <w:rPr>
          <w:b/>
          <w:sz w:val="24"/>
        </w:rPr>
        <w:t>RINI</w:t>
      </w:r>
      <w:r>
        <w:rPr>
          <w:b/>
          <w:spacing w:val="-3"/>
          <w:sz w:val="24"/>
        </w:rPr>
        <w:t> </w:t>
      </w:r>
      <w:r>
        <w:rPr>
          <w:b/>
          <w:sz w:val="24"/>
        </w:rPr>
        <w:t>DHE</w:t>
      </w:r>
      <w:r>
        <w:rPr>
          <w:b/>
          <w:spacing w:val="-2"/>
          <w:sz w:val="24"/>
        </w:rPr>
        <w:t> SPORT</w:t>
      </w:r>
    </w:p>
    <w:p>
      <w:pPr>
        <w:pStyle w:val="BodyText"/>
        <w:rPr>
          <w:b/>
          <w:sz w:val="20"/>
        </w:rPr>
      </w:pPr>
    </w:p>
    <w:p>
      <w:pPr>
        <w:pStyle w:val="BodyText"/>
        <w:rPr>
          <w:b/>
          <w:sz w:val="20"/>
        </w:rPr>
      </w:pPr>
    </w:p>
    <w:p>
      <w:pPr>
        <w:pStyle w:val="BodyText"/>
        <w:rPr>
          <w:b/>
          <w:sz w:val="20"/>
        </w:rPr>
      </w:pPr>
    </w:p>
    <w:p>
      <w:pPr>
        <w:pStyle w:val="BodyText"/>
        <w:spacing w:before="3"/>
        <w:rPr>
          <w:b/>
          <w:sz w:val="10"/>
        </w:rPr>
      </w:pPr>
    </w:p>
    <w:tbl>
      <w:tblPr>
        <w:tblW w:w="0" w:type="auto"/>
        <w:jc w:val="left"/>
        <w:tblInd w:w="125" w:type="dxa"/>
        <w:tblBorders>
          <w:top w:val="single" w:sz="4" w:space="0" w:color="C2BB80"/>
          <w:left w:val="single" w:sz="4" w:space="0" w:color="C2BB80"/>
          <w:bottom w:val="single" w:sz="4" w:space="0" w:color="C2BB80"/>
          <w:right w:val="single" w:sz="4" w:space="0" w:color="C2BB80"/>
          <w:insideH w:val="single" w:sz="4" w:space="0" w:color="C2BB80"/>
          <w:insideV w:val="single" w:sz="4" w:space="0" w:color="C2BB80"/>
        </w:tblBorders>
        <w:tblLayout w:type="fixed"/>
        <w:tblCellMar>
          <w:top w:w="0" w:type="dxa"/>
          <w:left w:w="0" w:type="dxa"/>
          <w:bottom w:w="0" w:type="dxa"/>
          <w:right w:w="0" w:type="dxa"/>
        </w:tblCellMar>
        <w:tblLook w:val="01E0"/>
      </w:tblPr>
      <w:tblGrid>
        <w:gridCol w:w="2070"/>
        <w:gridCol w:w="1800"/>
        <w:gridCol w:w="3240"/>
        <w:gridCol w:w="1980"/>
        <w:gridCol w:w="1890"/>
        <w:gridCol w:w="1830"/>
        <w:gridCol w:w="2024"/>
      </w:tblGrid>
      <w:tr>
        <w:trPr>
          <w:trHeight w:val="1231" w:hRule="atLeast"/>
        </w:trPr>
        <w:tc>
          <w:tcPr>
            <w:tcW w:w="2070" w:type="dxa"/>
            <w:shd w:val="clear" w:color="auto" w:fill="F9DFC2"/>
          </w:tcPr>
          <w:p>
            <w:pPr>
              <w:pStyle w:val="TableParagraph"/>
              <w:rPr>
                <w:b/>
                <w:sz w:val="22"/>
              </w:rPr>
            </w:pPr>
          </w:p>
          <w:p>
            <w:pPr>
              <w:pStyle w:val="TableParagraph"/>
              <w:spacing w:before="4"/>
              <w:rPr>
                <w:b/>
                <w:sz w:val="18"/>
              </w:rPr>
            </w:pPr>
          </w:p>
          <w:p>
            <w:pPr>
              <w:pStyle w:val="TableParagraph"/>
              <w:ind w:left="628"/>
              <w:rPr>
                <w:b/>
                <w:sz w:val="20"/>
              </w:rPr>
            </w:pPr>
            <w:r>
              <w:rPr>
                <w:b/>
                <w:spacing w:val="-2"/>
                <w:sz w:val="20"/>
              </w:rPr>
              <w:t>Objektivi</w:t>
            </w:r>
          </w:p>
        </w:tc>
        <w:tc>
          <w:tcPr>
            <w:tcW w:w="1800" w:type="dxa"/>
            <w:shd w:val="clear" w:color="auto" w:fill="F9DFC2"/>
          </w:tcPr>
          <w:p>
            <w:pPr>
              <w:pStyle w:val="TableParagraph"/>
              <w:rPr>
                <w:b/>
                <w:sz w:val="22"/>
              </w:rPr>
            </w:pPr>
          </w:p>
          <w:p>
            <w:pPr>
              <w:pStyle w:val="TableParagraph"/>
              <w:spacing w:before="4"/>
              <w:rPr>
                <w:b/>
                <w:sz w:val="18"/>
              </w:rPr>
            </w:pPr>
          </w:p>
          <w:p>
            <w:pPr>
              <w:pStyle w:val="TableParagraph"/>
              <w:ind w:left="361"/>
              <w:rPr>
                <w:b/>
                <w:sz w:val="20"/>
              </w:rPr>
            </w:pPr>
            <w:r>
              <w:rPr>
                <w:b/>
                <w:spacing w:val="-2"/>
                <w:sz w:val="20"/>
              </w:rPr>
              <w:t>Pritshmëritë</w:t>
            </w:r>
          </w:p>
        </w:tc>
        <w:tc>
          <w:tcPr>
            <w:tcW w:w="3240" w:type="dxa"/>
            <w:shd w:val="clear" w:color="auto" w:fill="F9DFC2"/>
          </w:tcPr>
          <w:p>
            <w:pPr>
              <w:pStyle w:val="TableParagraph"/>
              <w:rPr>
                <w:b/>
                <w:sz w:val="22"/>
              </w:rPr>
            </w:pPr>
          </w:p>
          <w:p>
            <w:pPr>
              <w:pStyle w:val="TableParagraph"/>
              <w:spacing w:before="4"/>
              <w:rPr>
                <w:b/>
                <w:sz w:val="18"/>
              </w:rPr>
            </w:pPr>
          </w:p>
          <w:p>
            <w:pPr>
              <w:pStyle w:val="TableParagraph"/>
              <w:ind w:left="187" w:right="177"/>
              <w:jc w:val="center"/>
              <w:rPr>
                <w:b/>
                <w:sz w:val="20"/>
              </w:rPr>
            </w:pPr>
            <w:r>
              <w:rPr>
                <w:b/>
                <w:spacing w:val="-2"/>
                <w:sz w:val="20"/>
              </w:rPr>
              <w:t>Aktiviteti/Projekti</w:t>
            </w:r>
          </w:p>
        </w:tc>
        <w:tc>
          <w:tcPr>
            <w:tcW w:w="1980" w:type="dxa"/>
            <w:shd w:val="clear" w:color="auto" w:fill="F9DFC2"/>
          </w:tcPr>
          <w:p>
            <w:pPr>
              <w:pStyle w:val="TableParagraph"/>
              <w:rPr>
                <w:b/>
                <w:sz w:val="22"/>
              </w:rPr>
            </w:pPr>
          </w:p>
          <w:p>
            <w:pPr>
              <w:pStyle w:val="TableParagraph"/>
              <w:spacing w:before="4"/>
              <w:rPr>
                <w:b/>
                <w:sz w:val="18"/>
              </w:rPr>
            </w:pPr>
          </w:p>
          <w:p>
            <w:pPr>
              <w:pStyle w:val="TableParagraph"/>
              <w:spacing w:line="276" w:lineRule="auto"/>
              <w:ind w:left="411" w:right="333" w:hanging="64"/>
              <w:rPr>
                <w:b/>
                <w:sz w:val="20"/>
              </w:rPr>
            </w:pPr>
            <w:r>
              <w:rPr>
                <w:b/>
                <w:sz w:val="20"/>
              </w:rPr>
              <w:t>Përgjegjësi</w:t>
            </w:r>
            <w:r>
              <w:rPr>
                <w:b/>
                <w:spacing w:val="-13"/>
                <w:sz w:val="20"/>
              </w:rPr>
              <w:t> </w:t>
            </w:r>
            <w:r>
              <w:rPr>
                <w:b/>
                <w:sz w:val="20"/>
              </w:rPr>
              <w:t>për </w:t>
            </w:r>
            <w:r>
              <w:rPr>
                <w:b/>
                <w:spacing w:val="-2"/>
                <w:sz w:val="20"/>
              </w:rPr>
              <w:t>Implementim</w:t>
            </w:r>
          </w:p>
        </w:tc>
        <w:tc>
          <w:tcPr>
            <w:tcW w:w="1890" w:type="dxa"/>
            <w:shd w:val="clear" w:color="auto" w:fill="F9DFC2"/>
          </w:tcPr>
          <w:p>
            <w:pPr>
              <w:pStyle w:val="TableParagraph"/>
              <w:rPr>
                <w:b/>
                <w:sz w:val="22"/>
              </w:rPr>
            </w:pPr>
          </w:p>
          <w:p>
            <w:pPr>
              <w:pStyle w:val="TableParagraph"/>
              <w:spacing w:before="4"/>
              <w:rPr>
                <w:b/>
                <w:sz w:val="18"/>
              </w:rPr>
            </w:pPr>
          </w:p>
          <w:p>
            <w:pPr>
              <w:pStyle w:val="TableParagraph"/>
              <w:ind w:left="260" w:right="251"/>
              <w:jc w:val="center"/>
              <w:rPr>
                <w:b/>
                <w:sz w:val="20"/>
              </w:rPr>
            </w:pPr>
            <w:r>
              <w:rPr>
                <w:b/>
                <w:sz w:val="20"/>
              </w:rPr>
              <w:t>Afati i</w:t>
            </w:r>
            <w:r>
              <w:rPr>
                <w:b/>
                <w:spacing w:val="-1"/>
                <w:sz w:val="20"/>
              </w:rPr>
              <w:t> </w:t>
            </w:r>
            <w:r>
              <w:rPr>
                <w:b/>
                <w:spacing w:val="-2"/>
                <w:sz w:val="20"/>
              </w:rPr>
              <w:t>Zbatimit</w:t>
            </w:r>
          </w:p>
        </w:tc>
        <w:tc>
          <w:tcPr>
            <w:tcW w:w="1830" w:type="dxa"/>
            <w:shd w:val="clear" w:color="auto" w:fill="F9DFC2"/>
          </w:tcPr>
          <w:p>
            <w:pPr>
              <w:pStyle w:val="TableParagraph"/>
              <w:rPr>
                <w:b/>
                <w:sz w:val="22"/>
              </w:rPr>
            </w:pPr>
          </w:p>
          <w:p>
            <w:pPr>
              <w:pStyle w:val="TableParagraph"/>
              <w:spacing w:before="4"/>
              <w:rPr>
                <w:b/>
                <w:sz w:val="18"/>
              </w:rPr>
            </w:pPr>
          </w:p>
          <w:p>
            <w:pPr>
              <w:pStyle w:val="TableParagraph"/>
              <w:spacing w:line="276" w:lineRule="auto"/>
              <w:ind w:left="387" w:firstLine="124"/>
              <w:rPr>
                <w:b/>
                <w:sz w:val="20"/>
              </w:rPr>
            </w:pPr>
            <w:r>
              <w:rPr>
                <w:b/>
                <w:sz w:val="20"/>
              </w:rPr>
              <w:t>Kostoja e </w:t>
            </w:r>
            <w:r>
              <w:rPr>
                <w:b/>
                <w:spacing w:val="-2"/>
                <w:sz w:val="20"/>
              </w:rPr>
              <w:t>parashikuar</w:t>
            </w:r>
          </w:p>
        </w:tc>
        <w:tc>
          <w:tcPr>
            <w:tcW w:w="2024" w:type="dxa"/>
            <w:shd w:val="clear" w:color="auto" w:fill="F9DFC2"/>
          </w:tcPr>
          <w:p>
            <w:pPr>
              <w:pStyle w:val="TableParagraph"/>
              <w:rPr>
                <w:b/>
                <w:sz w:val="22"/>
              </w:rPr>
            </w:pPr>
          </w:p>
          <w:p>
            <w:pPr>
              <w:pStyle w:val="TableParagraph"/>
              <w:spacing w:before="155"/>
              <w:ind w:left="114" w:right="105"/>
              <w:jc w:val="center"/>
              <w:rPr>
                <w:b/>
                <w:sz w:val="20"/>
              </w:rPr>
            </w:pPr>
            <w:r>
              <w:rPr>
                <w:b/>
                <w:sz w:val="20"/>
              </w:rPr>
              <w:t>Burimi</w:t>
            </w:r>
            <w:r>
              <w:rPr>
                <w:b/>
                <w:spacing w:val="-2"/>
                <w:sz w:val="20"/>
              </w:rPr>
              <w:t> </w:t>
            </w:r>
            <w:r>
              <w:rPr>
                <w:b/>
                <w:sz w:val="20"/>
              </w:rPr>
              <w:t>i </w:t>
            </w:r>
            <w:r>
              <w:rPr>
                <w:b/>
                <w:spacing w:val="-2"/>
                <w:sz w:val="20"/>
              </w:rPr>
              <w:t>Financimit</w:t>
            </w:r>
          </w:p>
        </w:tc>
      </w:tr>
      <w:tr>
        <w:trPr>
          <w:trHeight w:val="717" w:hRule="atLeast"/>
        </w:trPr>
        <w:tc>
          <w:tcPr>
            <w:tcW w:w="2070" w:type="dxa"/>
            <w:vMerge w:val="restart"/>
            <w:textDirection w:val="btLr"/>
          </w:tcPr>
          <w:p>
            <w:pPr>
              <w:pStyle w:val="TableParagraph"/>
              <w:spacing w:before="5"/>
              <w:rPr>
                <w:b/>
                <w:sz w:val="23"/>
              </w:rPr>
            </w:pPr>
          </w:p>
          <w:p>
            <w:pPr>
              <w:pStyle w:val="TableParagraph"/>
              <w:tabs>
                <w:tab w:pos="915" w:val="left" w:leader="none"/>
              </w:tabs>
              <w:spacing w:line="266" w:lineRule="auto" w:before="1"/>
              <w:ind w:left="1017" w:right="304" w:hanging="462"/>
              <w:rPr>
                <w:b/>
                <w:sz w:val="20"/>
              </w:rPr>
            </w:pPr>
            <w:r>
              <w:rPr>
                <w:b/>
                <w:spacing w:val="-6"/>
                <w:sz w:val="20"/>
              </w:rPr>
              <w:t>1.</w:t>
            </w:r>
            <w:r>
              <w:rPr>
                <w:b/>
                <w:sz w:val="20"/>
              </w:rPr>
              <w:tab/>
              <w:t>PROMOVIMI</w:t>
            </w:r>
            <w:r>
              <w:rPr>
                <w:b/>
                <w:spacing w:val="-13"/>
                <w:sz w:val="20"/>
              </w:rPr>
              <w:t> </w:t>
            </w:r>
            <w:r>
              <w:rPr>
                <w:b/>
                <w:sz w:val="20"/>
              </w:rPr>
              <w:t>I</w:t>
            </w:r>
            <w:r>
              <w:rPr>
                <w:b/>
                <w:spacing w:val="-12"/>
                <w:sz w:val="20"/>
              </w:rPr>
              <w:t> </w:t>
            </w:r>
            <w:r>
              <w:rPr>
                <w:b/>
                <w:sz w:val="20"/>
              </w:rPr>
              <w:t>KULTURËS</w:t>
            </w:r>
            <w:r>
              <w:rPr>
                <w:b/>
                <w:spacing w:val="-13"/>
                <w:sz w:val="20"/>
              </w:rPr>
              <w:t> </w:t>
            </w:r>
            <w:r>
              <w:rPr>
                <w:b/>
                <w:sz w:val="20"/>
              </w:rPr>
              <w:t>DHE SPORTIT NË HAN TË ELEZIT</w:t>
            </w:r>
          </w:p>
        </w:tc>
        <w:tc>
          <w:tcPr>
            <w:tcW w:w="1800" w:type="dxa"/>
            <w:vMerge w:val="restart"/>
          </w:tcPr>
          <w:p>
            <w:pPr>
              <w:pStyle w:val="TableParagraph"/>
              <w:rPr>
                <w:sz w:val="20"/>
              </w:rPr>
            </w:pPr>
          </w:p>
        </w:tc>
        <w:tc>
          <w:tcPr>
            <w:tcW w:w="3240" w:type="dxa"/>
            <w:tcBorders>
              <w:bottom w:val="nil"/>
            </w:tcBorders>
          </w:tcPr>
          <w:p>
            <w:pPr>
              <w:pStyle w:val="TableParagraph"/>
              <w:rPr>
                <w:b/>
                <w:sz w:val="22"/>
              </w:rPr>
            </w:pPr>
          </w:p>
          <w:p>
            <w:pPr>
              <w:pStyle w:val="TableParagraph"/>
              <w:spacing w:before="5"/>
              <w:rPr>
                <w:b/>
                <w:sz w:val="18"/>
              </w:rPr>
            </w:pPr>
          </w:p>
          <w:p>
            <w:pPr>
              <w:pStyle w:val="TableParagraph"/>
              <w:spacing w:before="1"/>
              <w:ind w:left="185" w:right="177"/>
              <w:jc w:val="center"/>
              <w:rPr>
                <w:b/>
                <w:sz w:val="20"/>
              </w:rPr>
            </w:pPr>
            <w:r>
              <w:rPr>
                <w:b/>
                <w:sz w:val="20"/>
              </w:rPr>
              <w:t>Shënimi</w:t>
            </w:r>
            <w:r>
              <w:rPr>
                <w:b/>
                <w:spacing w:val="-2"/>
                <w:sz w:val="20"/>
              </w:rPr>
              <w:t> </w:t>
            </w:r>
            <w:r>
              <w:rPr>
                <w:b/>
                <w:sz w:val="20"/>
              </w:rPr>
              <w:t>i</w:t>
            </w:r>
            <w:r>
              <w:rPr>
                <w:b/>
                <w:spacing w:val="-3"/>
                <w:sz w:val="20"/>
              </w:rPr>
              <w:t> </w:t>
            </w:r>
            <w:r>
              <w:rPr>
                <w:b/>
                <w:sz w:val="20"/>
              </w:rPr>
              <w:t>aktiviteve</w:t>
            </w:r>
            <w:r>
              <w:rPr>
                <w:b/>
                <w:spacing w:val="-1"/>
                <w:sz w:val="20"/>
              </w:rPr>
              <w:t> </w:t>
            </w:r>
            <w:r>
              <w:rPr>
                <w:b/>
                <w:sz w:val="20"/>
              </w:rPr>
              <w:t>të</w:t>
            </w:r>
            <w:r>
              <w:rPr>
                <w:b/>
                <w:spacing w:val="-1"/>
                <w:sz w:val="20"/>
              </w:rPr>
              <w:t> </w:t>
            </w:r>
            <w:r>
              <w:rPr>
                <w:b/>
                <w:spacing w:val="-2"/>
                <w:sz w:val="20"/>
              </w:rPr>
              <w:t>kulturore</w:t>
            </w:r>
          </w:p>
        </w:tc>
        <w:tc>
          <w:tcPr>
            <w:tcW w:w="1980" w:type="dxa"/>
            <w:tcBorders>
              <w:bottom w:val="nil"/>
            </w:tcBorders>
          </w:tcPr>
          <w:p>
            <w:pPr>
              <w:pStyle w:val="TableParagraph"/>
              <w:rPr>
                <w:b/>
                <w:sz w:val="22"/>
              </w:rPr>
            </w:pPr>
          </w:p>
          <w:p>
            <w:pPr>
              <w:pStyle w:val="TableParagraph"/>
              <w:spacing w:before="5"/>
              <w:rPr>
                <w:b/>
                <w:sz w:val="18"/>
              </w:rPr>
            </w:pPr>
          </w:p>
          <w:p>
            <w:pPr>
              <w:pStyle w:val="TableParagraph"/>
              <w:spacing w:before="1"/>
              <w:ind w:right="699"/>
              <w:jc w:val="right"/>
              <w:rPr>
                <w:b/>
                <w:sz w:val="20"/>
              </w:rPr>
            </w:pPr>
            <w:r>
              <w:rPr>
                <w:b/>
                <w:spacing w:val="-4"/>
                <w:sz w:val="20"/>
              </w:rPr>
              <w:t>DKRS</w:t>
            </w:r>
          </w:p>
        </w:tc>
        <w:tc>
          <w:tcPr>
            <w:tcW w:w="1890" w:type="dxa"/>
            <w:tcBorders>
              <w:bottom w:val="nil"/>
            </w:tcBorders>
          </w:tcPr>
          <w:p>
            <w:pPr>
              <w:pStyle w:val="TableParagraph"/>
              <w:rPr>
                <w:b/>
                <w:sz w:val="22"/>
              </w:rPr>
            </w:pPr>
          </w:p>
          <w:p>
            <w:pPr>
              <w:pStyle w:val="TableParagraph"/>
              <w:spacing w:before="5"/>
              <w:rPr>
                <w:b/>
                <w:sz w:val="19"/>
              </w:rPr>
            </w:pPr>
          </w:p>
          <w:p>
            <w:pPr>
              <w:pStyle w:val="TableParagraph"/>
              <w:spacing w:line="221" w:lineRule="exact"/>
              <w:ind w:left="260" w:right="249"/>
              <w:jc w:val="center"/>
              <w:rPr>
                <w:b/>
                <w:sz w:val="20"/>
              </w:rPr>
            </w:pPr>
            <w:r>
              <w:rPr>
                <w:b/>
                <w:spacing w:val="-2"/>
                <w:sz w:val="20"/>
              </w:rPr>
              <w:t>2024-</w:t>
            </w:r>
            <w:r>
              <w:rPr>
                <w:b/>
                <w:spacing w:val="-4"/>
                <w:sz w:val="20"/>
              </w:rPr>
              <w:t>2026</w:t>
            </w:r>
          </w:p>
        </w:tc>
        <w:tc>
          <w:tcPr>
            <w:tcW w:w="1830" w:type="dxa"/>
            <w:tcBorders>
              <w:bottom w:val="nil"/>
            </w:tcBorders>
          </w:tcPr>
          <w:p>
            <w:pPr>
              <w:pStyle w:val="TableParagraph"/>
              <w:rPr>
                <w:b/>
                <w:sz w:val="22"/>
              </w:rPr>
            </w:pPr>
          </w:p>
          <w:p>
            <w:pPr>
              <w:pStyle w:val="TableParagraph"/>
              <w:spacing w:before="5"/>
              <w:rPr>
                <w:b/>
                <w:sz w:val="19"/>
              </w:rPr>
            </w:pPr>
          </w:p>
          <w:p>
            <w:pPr>
              <w:pStyle w:val="TableParagraph"/>
              <w:spacing w:line="221" w:lineRule="exact"/>
              <w:ind w:right="552"/>
              <w:jc w:val="right"/>
              <w:rPr>
                <w:b/>
                <w:sz w:val="20"/>
              </w:rPr>
            </w:pPr>
            <w:r>
              <w:rPr>
                <w:b/>
                <w:spacing w:val="-2"/>
                <w:sz w:val="20"/>
              </w:rPr>
              <w:t>3,000.00</w:t>
            </w:r>
          </w:p>
        </w:tc>
        <w:tc>
          <w:tcPr>
            <w:tcW w:w="2024" w:type="dxa"/>
            <w:tcBorders>
              <w:bottom w:val="nil"/>
            </w:tcBorders>
          </w:tcPr>
          <w:p>
            <w:pPr>
              <w:pStyle w:val="TableParagraph"/>
              <w:rPr>
                <w:b/>
                <w:sz w:val="22"/>
              </w:rPr>
            </w:pPr>
          </w:p>
          <w:p>
            <w:pPr>
              <w:pStyle w:val="TableParagraph"/>
              <w:spacing w:before="5"/>
              <w:rPr>
                <w:b/>
                <w:sz w:val="19"/>
              </w:rPr>
            </w:pPr>
          </w:p>
          <w:p>
            <w:pPr>
              <w:pStyle w:val="TableParagraph"/>
              <w:spacing w:line="221" w:lineRule="exact"/>
              <w:ind w:left="116" w:right="105"/>
              <w:jc w:val="center"/>
              <w:rPr>
                <w:b/>
                <w:sz w:val="20"/>
              </w:rPr>
            </w:pPr>
            <w:r>
              <w:rPr>
                <w:b/>
                <w:spacing w:val="-2"/>
                <w:sz w:val="20"/>
              </w:rPr>
              <w:t>Komuna</w:t>
            </w:r>
          </w:p>
        </w:tc>
      </w:tr>
      <w:tr>
        <w:trPr>
          <w:trHeight w:val="460"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before="2"/>
              <w:ind w:left="186" w:right="177"/>
              <w:jc w:val="center"/>
              <w:rPr>
                <w:b/>
                <w:sz w:val="20"/>
              </w:rPr>
            </w:pPr>
            <w:r>
              <w:rPr>
                <w:b/>
                <w:sz w:val="20"/>
              </w:rPr>
              <w:t>rinore</w:t>
            </w:r>
            <w:r>
              <w:rPr>
                <w:b/>
                <w:spacing w:val="-1"/>
                <w:sz w:val="20"/>
              </w:rPr>
              <w:t> </w:t>
            </w:r>
            <w:r>
              <w:rPr>
                <w:b/>
                <w:sz w:val="20"/>
              </w:rPr>
              <w:t>e</w:t>
            </w:r>
            <w:r>
              <w:rPr>
                <w:b/>
                <w:spacing w:val="-2"/>
                <w:sz w:val="20"/>
              </w:rPr>
              <w:t> sportive</w:t>
            </w:r>
          </w:p>
        </w:tc>
        <w:tc>
          <w:tcPr>
            <w:tcW w:w="1980" w:type="dxa"/>
            <w:tcBorders>
              <w:top w:val="nil"/>
              <w:bottom w:val="nil"/>
            </w:tcBorders>
          </w:tcPr>
          <w:p>
            <w:pPr>
              <w:pStyle w:val="TableParagraph"/>
              <w:spacing w:before="7"/>
              <w:rPr>
                <w:b/>
                <w:sz w:val="17"/>
              </w:rPr>
            </w:pPr>
          </w:p>
          <w:p>
            <w:pPr>
              <w:pStyle w:val="TableParagraph"/>
              <w:ind w:right="677"/>
              <w:jc w:val="right"/>
              <w:rPr>
                <w:b/>
                <w:sz w:val="20"/>
              </w:rPr>
            </w:pPr>
            <w:r>
              <w:rPr>
                <w:b/>
                <w:spacing w:val="-4"/>
                <w:sz w:val="20"/>
              </w:rPr>
              <w:t>MKRS</w:t>
            </w:r>
          </w:p>
        </w:tc>
        <w:tc>
          <w:tcPr>
            <w:tcW w:w="1890" w:type="dxa"/>
            <w:tcBorders>
              <w:top w:val="nil"/>
              <w:bottom w:val="nil"/>
            </w:tcBorders>
          </w:tcPr>
          <w:p>
            <w:pPr>
              <w:pStyle w:val="TableParagraph"/>
              <w:rPr>
                <w:sz w:val="20"/>
              </w:rPr>
            </w:pPr>
          </w:p>
        </w:tc>
        <w:tc>
          <w:tcPr>
            <w:tcW w:w="1830" w:type="dxa"/>
            <w:tcBorders>
              <w:top w:val="nil"/>
              <w:bottom w:val="nil"/>
            </w:tcBorders>
          </w:tcPr>
          <w:p>
            <w:pPr>
              <w:pStyle w:val="TableParagraph"/>
              <w:spacing w:before="7"/>
              <w:rPr>
                <w:b/>
                <w:sz w:val="19"/>
              </w:rPr>
            </w:pPr>
          </w:p>
          <w:p>
            <w:pPr>
              <w:pStyle w:val="TableParagraph"/>
              <w:spacing w:line="215" w:lineRule="exact"/>
              <w:ind w:right="552"/>
              <w:jc w:val="right"/>
              <w:rPr>
                <w:b/>
                <w:sz w:val="20"/>
              </w:rPr>
            </w:pPr>
            <w:r>
              <w:rPr>
                <w:b/>
                <w:spacing w:val="-2"/>
                <w:sz w:val="20"/>
              </w:rPr>
              <w:t>3,000.00</w:t>
            </w:r>
          </w:p>
        </w:tc>
        <w:tc>
          <w:tcPr>
            <w:tcW w:w="2024" w:type="dxa"/>
            <w:tcBorders>
              <w:top w:val="nil"/>
              <w:bottom w:val="nil"/>
            </w:tcBorders>
          </w:tcPr>
          <w:p>
            <w:pPr>
              <w:pStyle w:val="TableParagraph"/>
              <w:spacing w:before="7"/>
              <w:rPr>
                <w:b/>
                <w:sz w:val="19"/>
              </w:rPr>
            </w:pPr>
          </w:p>
          <w:p>
            <w:pPr>
              <w:pStyle w:val="TableParagraph"/>
              <w:spacing w:line="215" w:lineRule="exact"/>
              <w:ind w:left="116" w:right="105"/>
              <w:jc w:val="center"/>
              <w:rPr>
                <w:b/>
                <w:sz w:val="20"/>
              </w:rPr>
            </w:pPr>
            <w:r>
              <w:rPr>
                <w:b/>
                <w:spacing w:val="-4"/>
                <w:sz w:val="20"/>
              </w:rPr>
              <w:t>MKRS</w:t>
            </w:r>
          </w:p>
        </w:tc>
      </w:tr>
      <w:tr>
        <w:trPr>
          <w:trHeight w:val="460"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line="226" w:lineRule="exact"/>
              <w:ind w:left="185" w:right="177"/>
              <w:jc w:val="center"/>
              <w:rPr>
                <w:b/>
                <w:sz w:val="20"/>
              </w:rPr>
            </w:pPr>
            <w:r>
              <w:rPr>
                <w:b/>
                <w:sz w:val="20"/>
              </w:rPr>
              <w:t>Organizimi</w:t>
            </w:r>
            <w:r>
              <w:rPr>
                <w:b/>
                <w:spacing w:val="-2"/>
                <w:sz w:val="20"/>
              </w:rPr>
              <w:t> </w:t>
            </w:r>
            <w:r>
              <w:rPr>
                <w:b/>
                <w:sz w:val="20"/>
              </w:rPr>
              <w:t>i</w:t>
            </w:r>
            <w:r>
              <w:rPr>
                <w:b/>
                <w:spacing w:val="-3"/>
                <w:sz w:val="20"/>
              </w:rPr>
              <w:t> </w:t>
            </w:r>
            <w:r>
              <w:rPr>
                <w:b/>
                <w:sz w:val="20"/>
              </w:rPr>
              <w:t>garave</w:t>
            </w:r>
            <w:r>
              <w:rPr>
                <w:b/>
                <w:spacing w:val="-1"/>
                <w:sz w:val="20"/>
              </w:rPr>
              <w:t> </w:t>
            </w:r>
            <w:r>
              <w:rPr>
                <w:b/>
                <w:spacing w:val="-2"/>
                <w:sz w:val="20"/>
              </w:rPr>
              <w:t>sportive</w:t>
            </w:r>
          </w:p>
        </w:tc>
        <w:tc>
          <w:tcPr>
            <w:tcW w:w="1980" w:type="dxa"/>
            <w:tcBorders>
              <w:top w:val="nil"/>
              <w:bottom w:val="nil"/>
            </w:tcBorders>
          </w:tcPr>
          <w:p>
            <w:pPr>
              <w:pStyle w:val="TableParagraph"/>
              <w:spacing w:before="197"/>
              <w:ind w:right="771"/>
              <w:jc w:val="right"/>
              <w:rPr>
                <w:b/>
                <w:sz w:val="20"/>
              </w:rPr>
            </w:pPr>
            <w:r>
              <w:rPr>
                <w:b/>
                <w:spacing w:val="-5"/>
                <w:sz w:val="20"/>
              </w:rPr>
              <w:t>OJQ</w:t>
            </w:r>
          </w:p>
        </w:tc>
        <w:tc>
          <w:tcPr>
            <w:tcW w:w="1890" w:type="dxa"/>
            <w:tcBorders>
              <w:top w:val="nil"/>
              <w:bottom w:val="nil"/>
            </w:tcBorders>
          </w:tcPr>
          <w:p>
            <w:pPr>
              <w:pStyle w:val="TableParagraph"/>
              <w:rPr>
                <w:sz w:val="20"/>
              </w:rPr>
            </w:pPr>
          </w:p>
        </w:tc>
        <w:tc>
          <w:tcPr>
            <w:tcW w:w="1830" w:type="dxa"/>
            <w:tcBorders>
              <w:top w:val="nil"/>
              <w:bottom w:val="nil"/>
            </w:tcBorders>
          </w:tcPr>
          <w:p>
            <w:pPr>
              <w:pStyle w:val="TableParagraph"/>
              <w:spacing w:before="1"/>
              <w:rPr>
                <w:b/>
                <w:sz w:val="20"/>
              </w:rPr>
            </w:pPr>
          </w:p>
          <w:p>
            <w:pPr>
              <w:pStyle w:val="TableParagraph"/>
              <w:spacing w:line="209" w:lineRule="exact"/>
              <w:ind w:right="552"/>
              <w:jc w:val="right"/>
              <w:rPr>
                <w:b/>
                <w:sz w:val="20"/>
              </w:rPr>
            </w:pPr>
            <w:r>
              <w:rPr>
                <w:b/>
                <w:spacing w:val="-2"/>
                <w:sz w:val="20"/>
              </w:rPr>
              <w:t>3,000.00</w:t>
            </w:r>
          </w:p>
        </w:tc>
        <w:tc>
          <w:tcPr>
            <w:tcW w:w="2024" w:type="dxa"/>
            <w:tcBorders>
              <w:top w:val="nil"/>
              <w:bottom w:val="nil"/>
            </w:tcBorders>
          </w:tcPr>
          <w:p>
            <w:pPr>
              <w:pStyle w:val="TableParagraph"/>
              <w:spacing w:before="1"/>
              <w:rPr>
                <w:b/>
                <w:sz w:val="20"/>
              </w:rPr>
            </w:pPr>
          </w:p>
          <w:p>
            <w:pPr>
              <w:pStyle w:val="TableParagraph"/>
              <w:spacing w:line="209" w:lineRule="exact"/>
              <w:ind w:left="116" w:right="105"/>
              <w:jc w:val="center"/>
              <w:rPr>
                <w:b/>
                <w:sz w:val="20"/>
              </w:rPr>
            </w:pPr>
            <w:r>
              <w:rPr>
                <w:b/>
                <w:sz w:val="20"/>
              </w:rPr>
              <w:t>Donatorë</w:t>
            </w:r>
            <w:r>
              <w:rPr>
                <w:b/>
                <w:spacing w:val="-1"/>
                <w:sz w:val="20"/>
              </w:rPr>
              <w:t> </w:t>
            </w:r>
            <w:r>
              <w:rPr>
                <w:b/>
                <w:sz w:val="20"/>
              </w:rPr>
              <w:t>të </w:t>
            </w:r>
            <w:r>
              <w:rPr>
                <w:b/>
                <w:spacing w:val="-2"/>
                <w:sz w:val="20"/>
              </w:rPr>
              <w:t>Jashtëm</w:t>
            </w:r>
          </w:p>
        </w:tc>
      </w:tr>
      <w:tr>
        <w:trPr>
          <w:trHeight w:val="227"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line="208" w:lineRule="exact"/>
              <w:ind w:left="187" w:right="177"/>
              <w:jc w:val="center"/>
              <w:rPr>
                <w:b/>
                <w:sz w:val="20"/>
              </w:rPr>
            </w:pPr>
            <w:r>
              <w:rPr>
                <w:b/>
                <w:sz w:val="20"/>
              </w:rPr>
              <w:t>Kampanja</w:t>
            </w:r>
            <w:r>
              <w:rPr>
                <w:b/>
                <w:spacing w:val="-3"/>
                <w:sz w:val="20"/>
              </w:rPr>
              <w:t> </w:t>
            </w:r>
            <w:r>
              <w:rPr>
                <w:b/>
                <w:spacing w:val="-2"/>
                <w:sz w:val="20"/>
              </w:rPr>
              <w:t>promovuese</w:t>
            </w:r>
          </w:p>
        </w:tc>
        <w:tc>
          <w:tcPr>
            <w:tcW w:w="1980" w:type="dxa"/>
            <w:tcBorders>
              <w:top w:val="nil"/>
              <w:bottom w:val="nil"/>
            </w:tcBorders>
          </w:tcPr>
          <w:p>
            <w:pPr>
              <w:pStyle w:val="TableParagraph"/>
              <w:rPr>
                <w:sz w:val="16"/>
              </w:rPr>
            </w:pPr>
          </w:p>
        </w:tc>
        <w:tc>
          <w:tcPr>
            <w:tcW w:w="1890" w:type="dxa"/>
            <w:tcBorders>
              <w:top w:val="nil"/>
              <w:bottom w:val="nil"/>
            </w:tcBorders>
          </w:tcPr>
          <w:p>
            <w:pPr>
              <w:pStyle w:val="TableParagraph"/>
              <w:rPr>
                <w:sz w:val="16"/>
              </w:rPr>
            </w:pPr>
          </w:p>
        </w:tc>
        <w:tc>
          <w:tcPr>
            <w:tcW w:w="1830" w:type="dxa"/>
            <w:tcBorders>
              <w:top w:val="nil"/>
              <w:bottom w:val="nil"/>
            </w:tcBorders>
          </w:tcPr>
          <w:p>
            <w:pPr>
              <w:pStyle w:val="TableParagraph"/>
              <w:rPr>
                <w:sz w:val="16"/>
              </w:rPr>
            </w:pPr>
          </w:p>
        </w:tc>
        <w:tc>
          <w:tcPr>
            <w:tcW w:w="2024" w:type="dxa"/>
            <w:tcBorders>
              <w:top w:val="nil"/>
              <w:bottom w:val="nil"/>
            </w:tcBorders>
          </w:tcPr>
          <w:p>
            <w:pPr>
              <w:pStyle w:val="TableParagraph"/>
              <w:rPr>
                <w:sz w:val="16"/>
              </w:rPr>
            </w:pPr>
          </w:p>
        </w:tc>
      </w:tr>
      <w:tr>
        <w:trPr>
          <w:trHeight w:val="460"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before="10"/>
              <w:rPr>
                <w:b/>
                <w:sz w:val="18"/>
              </w:rPr>
            </w:pPr>
          </w:p>
          <w:p>
            <w:pPr>
              <w:pStyle w:val="TableParagraph"/>
              <w:spacing w:line="223" w:lineRule="exact"/>
              <w:ind w:left="187" w:right="176"/>
              <w:jc w:val="center"/>
              <w:rPr>
                <w:b/>
                <w:sz w:val="20"/>
              </w:rPr>
            </w:pPr>
            <w:r>
              <w:rPr>
                <w:b/>
                <w:sz w:val="20"/>
              </w:rPr>
              <w:t>Akademi</w:t>
            </w:r>
            <w:r>
              <w:rPr>
                <w:b/>
                <w:spacing w:val="-1"/>
                <w:sz w:val="20"/>
              </w:rPr>
              <w:t> </w:t>
            </w:r>
            <w:r>
              <w:rPr>
                <w:b/>
                <w:sz w:val="20"/>
              </w:rPr>
              <w:t>dhe</w:t>
            </w:r>
            <w:r>
              <w:rPr>
                <w:b/>
                <w:spacing w:val="-2"/>
                <w:sz w:val="20"/>
              </w:rPr>
              <w:t> </w:t>
            </w:r>
            <w:r>
              <w:rPr>
                <w:b/>
                <w:sz w:val="20"/>
              </w:rPr>
              <w:t>evente</w:t>
            </w:r>
            <w:r>
              <w:rPr>
                <w:b/>
                <w:spacing w:val="-1"/>
                <w:sz w:val="20"/>
              </w:rPr>
              <w:t> </w:t>
            </w:r>
            <w:r>
              <w:rPr>
                <w:b/>
                <w:sz w:val="20"/>
              </w:rPr>
              <w:t>të</w:t>
            </w:r>
            <w:r>
              <w:rPr>
                <w:b/>
                <w:spacing w:val="-2"/>
                <w:sz w:val="20"/>
              </w:rPr>
              <w:t> ndryshme</w:t>
            </w:r>
          </w:p>
        </w:tc>
        <w:tc>
          <w:tcPr>
            <w:tcW w:w="1980" w:type="dxa"/>
            <w:tcBorders>
              <w:top w:val="nil"/>
              <w:bottom w:val="nil"/>
            </w:tcBorders>
          </w:tcPr>
          <w:p>
            <w:pPr>
              <w:pStyle w:val="TableParagraph"/>
              <w:rPr>
                <w:sz w:val="20"/>
              </w:rPr>
            </w:pPr>
          </w:p>
        </w:tc>
        <w:tc>
          <w:tcPr>
            <w:tcW w:w="1890" w:type="dxa"/>
            <w:tcBorders>
              <w:top w:val="nil"/>
              <w:bottom w:val="nil"/>
            </w:tcBorders>
          </w:tcPr>
          <w:p>
            <w:pPr>
              <w:pStyle w:val="TableParagraph"/>
              <w:rPr>
                <w:sz w:val="20"/>
              </w:rPr>
            </w:pPr>
          </w:p>
        </w:tc>
        <w:tc>
          <w:tcPr>
            <w:tcW w:w="1830" w:type="dxa"/>
            <w:tcBorders>
              <w:top w:val="nil"/>
              <w:bottom w:val="nil"/>
            </w:tcBorders>
          </w:tcPr>
          <w:p>
            <w:pPr>
              <w:pStyle w:val="TableParagraph"/>
              <w:spacing w:line="229" w:lineRule="exact"/>
              <w:ind w:right="552"/>
              <w:jc w:val="right"/>
              <w:rPr>
                <w:b/>
                <w:sz w:val="20"/>
              </w:rPr>
            </w:pPr>
            <w:r>
              <w:rPr>
                <w:b/>
                <w:spacing w:val="-2"/>
                <w:sz w:val="20"/>
              </w:rPr>
              <w:t>5,000.00</w:t>
            </w:r>
          </w:p>
        </w:tc>
        <w:tc>
          <w:tcPr>
            <w:tcW w:w="2024" w:type="dxa"/>
            <w:tcBorders>
              <w:top w:val="nil"/>
              <w:bottom w:val="nil"/>
            </w:tcBorders>
          </w:tcPr>
          <w:p>
            <w:pPr>
              <w:pStyle w:val="TableParagraph"/>
              <w:rPr>
                <w:sz w:val="20"/>
              </w:rPr>
            </w:pPr>
          </w:p>
        </w:tc>
      </w:tr>
      <w:tr>
        <w:trPr>
          <w:trHeight w:val="458"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before="4"/>
              <w:rPr>
                <w:b/>
                <w:sz w:val="18"/>
              </w:rPr>
            </w:pPr>
          </w:p>
          <w:p>
            <w:pPr>
              <w:pStyle w:val="TableParagraph"/>
              <w:spacing w:line="227" w:lineRule="exact"/>
              <w:ind w:left="186" w:right="177"/>
              <w:jc w:val="center"/>
              <w:rPr>
                <w:b/>
                <w:sz w:val="20"/>
              </w:rPr>
            </w:pPr>
            <w:r>
              <w:rPr>
                <w:b/>
                <w:sz w:val="20"/>
              </w:rPr>
              <w:t>Panaire</w:t>
            </w:r>
            <w:r>
              <w:rPr>
                <w:b/>
                <w:spacing w:val="-3"/>
                <w:sz w:val="20"/>
              </w:rPr>
              <w:t> </w:t>
            </w:r>
            <w:r>
              <w:rPr>
                <w:b/>
                <w:sz w:val="20"/>
              </w:rPr>
              <w:t>vendore </w:t>
            </w:r>
            <w:r>
              <w:rPr>
                <w:b/>
                <w:spacing w:val="-5"/>
                <w:sz w:val="20"/>
              </w:rPr>
              <w:t>dhe</w:t>
            </w:r>
          </w:p>
        </w:tc>
        <w:tc>
          <w:tcPr>
            <w:tcW w:w="1980" w:type="dxa"/>
            <w:tcBorders>
              <w:top w:val="nil"/>
              <w:bottom w:val="nil"/>
            </w:tcBorders>
          </w:tcPr>
          <w:p>
            <w:pPr>
              <w:pStyle w:val="TableParagraph"/>
              <w:rPr>
                <w:sz w:val="20"/>
              </w:rPr>
            </w:pPr>
          </w:p>
        </w:tc>
        <w:tc>
          <w:tcPr>
            <w:tcW w:w="1890" w:type="dxa"/>
            <w:tcBorders>
              <w:top w:val="nil"/>
              <w:bottom w:val="nil"/>
            </w:tcBorders>
          </w:tcPr>
          <w:p>
            <w:pPr>
              <w:pStyle w:val="TableParagraph"/>
              <w:rPr>
                <w:sz w:val="20"/>
              </w:rPr>
            </w:pPr>
          </w:p>
        </w:tc>
        <w:tc>
          <w:tcPr>
            <w:tcW w:w="1830" w:type="dxa"/>
            <w:tcBorders>
              <w:top w:val="nil"/>
              <w:bottom w:val="nil"/>
            </w:tcBorders>
          </w:tcPr>
          <w:p>
            <w:pPr>
              <w:pStyle w:val="TableParagraph"/>
              <w:spacing w:before="5"/>
              <w:ind w:right="552"/>
              <w:jc w:val="right"/>
              <w:rPr>
                <w:b/>
                <w:sz w:val="20"/>
              </w:rPr>
            </w:pPr>
            <w:r>
              <w:rPr>
                <w:b/>
                <w:spacing w:val="-2"/>
                <w:sz w:val="20"/>
              </w:rPr>
              <w:t>5,000.00</w:t>
            </w:r>
          </w:p>
        </w:tc>
        <w:tc>
          <w:tcPr>
            <w:tcW w:w="2024" w:type="dxa"/>
            <w:tcBorders>
              <w:top w:val="nil"/>
              <w:bottom w:val="nil"/>
            </w:tcBorders>
          </w:tcPr>
          <w:p>
            <w:pPr>
              <w:pStyle w:val="TableParagraph"/>
              <w:rPr>
                <w:sz w:val="20"/>
              </w:rPr>
            </w:pPr>
          </w:p>
        </w:tc>
      </w:tr>
      <w:tr>
        <w:trPr>
          <w:trHeight w:val="357"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bottom w:val="nil"/>
            </w:tcBorders>
          </w:tcPr>
          <w:p>
            <w:pPr>
              <w:pStyle w:val="TableParagraph"/>
              <w:spacing w:before="8"/>
              <w:ind w:left="187" w:right="177"/>
              <w:jc w:val="center"/>
              <w:rPr>
                <w:b/>
                <w:sz w:val="20"/>
              </w:rPr>
            </w:pPr>
            <w:r>
              <w:rPr>
                <w:b/>
                <w:spacing w:val="-2"/>
                <w:sz w:val="20"/>
              </w:rPr>
              <w:t>ndërkombëtare</w:t>
            </w:r>
          </w:p>
        </w:tc>
        <w:tc>
          <w:tcPr>
            <w:tcW w:w="1980" w:type="dxa"/>
            <w:tcBorders>
              <w:top w:val="nil"/>
              <w:bottom w:val="nil"/>
            </w:tcBorders>
          </w:tcPr>
          <w:p>
            <w:pPr>
              <w:pStyle w:val="TableParagraph"/>
              <w:rPr>
                <w:sz w:val="20"/>
              </w:rPr>
            </w:pPr>
          </w:p>
        </w:tc>
        <w:tc>
          <w:tcPr>
            <w:tcW w:w="1890" w:type="dxa"/>
            <w:tcBorders>
              <w:top w:val="nil"/>
              <w:bottom w:val="nil"/>
            </w:tcBorders>
          </w:tcPr>
          <w:p>
            <w:pPr>
              <w:pStyle w:val="TableParagraph"/>
              <w:rPr>
                <w:sz w:val="20"/>
              </w:rPr>
            </w:pPr>
          </w:p>
        </w:tc>
        <w:tc>
          <w:tcPr>
            <w:tcW w:w="1830" w:type="dxa"/>
            <w:tcBorders>
              <w:top w:val="nil"/>
              <w:bottom w:val="nil"/>
            </w:tcBorders>
          </w:tcPr>
          <w:p>
            <w:pPr>
              <w:pStyle w:val="TableParagraph"/>
              <w:spacing w:before="13"/>
              <w:ind w:right="501"/>
              <w:jc w:val="right"/>
              <w:rPr>
                <w:b/>
                <w:sz w:val="20"/>
              </w:rPr>
            </w:pPr>
            <w:r>
              <w:rPr>
                <w:b/>
                <w:spacing w:val="-2"/>
                <w:sz w:val="20"/>
              </w:rPr>
              <w:t>30,000.00</w:t>
            </w:r>
          </w:p>
        </w:tc>
        <w:tc>
          <w:tcPr>
            <w:tcW w:w="2024" w:type="dxa"/>
            <w:tcBorders>
              <w:top w:val="nil"/>
              <w:bottom w:val="nil"/>
            </w:tcBorders>
          </w:tcPr>
          <w:p>
            <w:pPr>
              <w:pStyle w:val="TableParagraph"/>
              <w:rPr>
                <w:sz w:val="20"/>
              </w:rPr>
            </w:pPr>
          </w:p>
        </w:tc>
      </w:tr>
      <w:tr>
        <w:trPr>
          <w:trHeight w:val="1027" w:hRule="atLeast"/>
        </w:trPr>
        <w:tc>
          <w:tcPr>
            <w:tcW w:w="2070" w:type="dxa"/>
            <w:vMerge/>
            <w:tcBorders>
              <w:top w:val="nil"/>
            </w:tcBorders>
            <w:textDirection w:val="btLr"/>
          </w:tcPr>
          <w:p>
            <w:pPr>
              <w:rPr>
                <w:sz w:val="2"/>
                <w:szCs w:val="2"/>
              </w:rPr>
            </w:pPr>
          </w:p>
        </w:tc>
        <w:tc>
          <w:tcPr>
            <w:tcW w:w="1800" w:type="dxa"/>
            <w:vMerge/>
            <w:tcBorders>
              <w:top w:val="nil"/>
            </w:tcBorders>
          </w:tcPr>
          <w:p>
            <w:pPr>
              <w:rPr>
                <w:sz w:val="2"/>
                <w:szCs w:val="2"/>
              </w:rPr>
            </w:pPr>
          </w:p>
        </w:tc>
        <w:tc>
          <w:tcPr>
            <w:tcW w:w="3240" w:type="dxa"/>
            <w:tcBorders>
              <w:top w:val="nil"/>
            </w:tcBorders>
          </w:tcPr>
          <w:p>
            <w:pPr>
              <w:pStyle w:val="TableParagraph"/>
              <w:spacing w:before="105"/>
              <w:ind w:left="187" w:right="175"/>
              <w:jc w:val="center"/>
              <w:rPr>
                <w:b/>
                <w:sz w:val="20"/>
              </w:rPr>
            </w:pPr>
            <w:r>
              <w:rPr>
                <w:b/>
                <w:sz w:val="20"/>
              </w:rPr>
              <w:t>Subvencionimi</w:t>
            </w:r>
            <w:r>
              <w:rPr>
                <w:b/>
                <w:spacing w:val="-4"/>
                <w:sz w:val="20"/>
              </w:rPr>
              <w:t> </w:t>
            </w:r>
            <w:r>
              <w:rPr>
                <w:b/>
                <w:sz w:val="20"/>
              </w:rPr>
              <w:t>i</w:t>
            </w:r>
            <w:r>
              <w:rPr>
                <w:b/>
                <w:spacing w:val="-3"/>
                <w:sz w:val="20"/>
              </w:rPr>
              <w:t> </w:t>
            </w:r>
            <w:r>
              <w:rPr>
                <w:b/>
                <w:sz w:val="20"/>
              </w:rPr>
              <w:t>OJQ-</w:t>
            </w:r>
            <w:r>
              <w:rPr>
                <w:b/>
                <w:spacing w:val="-5"/>
                <w:sz w:val="20"/>
              </w:rPr>
              <w:t>ve</w:t>
            </w:r>
          </w:p>
        </w:tc>
        <w:tc>
          <w:tcPr>
            <w:tcW w:w="1980" w:type="dxa"/>
            <w:tcBorders>
              <w:top w:val="nil"/>
            </w:tcBorders>
          </w:tcPr>
          <w:p>
            <w:pPr>
              <w:pStyle w:val="TableParagraph"/>
              <w:rPr>
                <w:sz w:val="20"/>
              </w:rPr>
            </w:pPr>
          </w:p>
        </w:tc>
        <w:tc>
          <w:tcPr>
            <w:tcW w:w="1890" w:type="dxa"/>
            <w:tcBorders>
              <w:top w:val="nil"/>
            </w:tcBorders>
          </w:tcPr>
          <w:p>
            <w:pPr>
              <w:pStyle w:val="TableParagraph"/>
              <w:rPr>
                <w:sz w:val="20"/>
              </w:rPr>
            </w:pPr>
          </w:p>
        </w:tc>
        <w:tc>
          <w:tcPr>
            <w:tcW w:w="1830" w:type="dxa"/>
            <w:tcBorders>
              <w:top w:val="nil"/>
            </w:tcBorders>
          </w:tcPr>
          <w:p>
            <w:pPr>
              <w:pStyle w:val="TableParagraph"/>
              <w:rPr>
                <w:sz w:val="20"/>
              </w:rPr>
            </w:pPr>
          </w:p>
        </w:tc>
        <w:tc>
          <w:tcPr>
            <w:tcW w:w="2024" w:type="dxa"/>
            <w:tcBorders>
              <w:top w:val="nil"/>
            </w:tcBorders>
          </w:tcPr>
          <w:p>
            <w:pPr>
              <w:pStyle w:val="TableParagraph"/>
              <w:rPr>
                <w:sz w:val="20"/>
              </w:rPr>
            </w:pPr>
          </w:p>
        </w:tc>
      </w:tr>
    </w:tbl>
    <w:p>
      <w:pPr>
        <w:spacing w:after="0"/>
        <w:rPr>
          <w:sz w:val="20"/>
        </w:rPr>
        <w:sectPr>
          <w:footerReference w:type="default" r:id="rId81"/>
          <w:pgSz w:w="15840" w:h="12240" w:orient="landscape"/>
          <w:pgMar w:footer="990" w:header="0" w:top="1380" w:bottom="1180" w:left="420" w:right="160"/>
          <w:pgNumType w:start="64"/>
        </w:sectPr>
      </w:pPr>
    </w:p>
    <w:p>
      <w:pPr>
        <w:pStyle w:val="BodyText"/>
        <w:spacing w:before="2"/>
        <w:rPr>
          <w:b/>
          <w:sz w:val="5"/>
        </w:rPr>
      </w:pPr>
    </w:p>
    <w:tbl>
      <w:tblPr>
        <w:tblW w:w="0" w:type="auto"/>
        <w:jc w:val="left"/>
        <w:tblInd w:w="125" w:type="dxa"/>
        <w:tblBorders>
          <w:top w:val="single" w:sz="4" w:space="0" w:color="C2BB80"/>
          <w:left w:val="single" w:sz="4" w:space="0" w:color="C2BB80"/>
          <w:bottom w:val="single" w:sz="4" w:space="0" w:color="C2BB80"/>
          <w:right w:val="single" w:sz="4" w:space="0" w:color="C2BB80"/>
          <w:insideH w:val="single" w:sz="4" w:space="0" w:color="C2BB80"/>
          <w:insideV w:val="single" w:sz="4" w:space="0" w:color="C2BB80"/>
        </w:tblBorders>
        <w:tblLayout w:type="fixed"/>
        <w:tblCellMar>
          <w:top w:w="0" w:type="dxa"/>
          <w:left w:w="0" w:type="dxa"/>
          <w:bottom w:w="0" w:type="dxa"/>
          <w:right w:w="0" w:type="dxa"/>
        </w:tblCellMar>
        <w:tblLook w:val="01E0"/>
      </w:tblPr>
      <w:tblGrid>
        <w:gridCol w:w="2070"/>
        <w:gridCol w:w="1800"/>
        <w:gridCol w:w="3240"/>
        <w:gridCol w:w="1980"/>
        <w:gridCol w:w="1890"/>
        <w:gridCol w:w="1830"/>
        <w:gridCol w:w="2024"/>
      </w:tblGrid>
      <w:tr>
        <w:trPr>
          <w:trHeight w:val="4238" w:hRule="atLeast"/>
        </w:trPr>
        <w:tc>
          <w:tcPr>
            <w:tcW w:w="2070" w:type="dxa"/>
            <w:textDirection w:val="btLr"/>
          </w:tcPr>
          <w:p>
            <w:pPr>
              <w:pStyle w:val="TableParagraph"/>
              <w:spacing w:before="5"/>
              <w:rPr>
                <w:b/>
                <w:sz w:val="23"/>
              </w:rPr>
            </w:pPr>
          </w:p>
          <w:p>
            <w:pPr>
              <w:pStyle w:val="TableParagraph"/>
              <w:tabs>
                <w:tab w:pos="947" w:val="left" w:leader="none"/>
              </w:tabs>
              <w:spacing w:before="1"/>
              <w:ind w:left="587"/>
              <w:rPr>
                <w:sz w:val="20"/>
              </w:rPr>
            </w:pPr>
            <w:r>
              <w:rPr>
                <w:spacing w:val="-5"/>
                <w:sz w:val="20"/>
              </w:rPr>
              <w:t>2.</w:t>
            </w:r>
            <w:r>
              <w:rPr>
                <w:sz w:val="20"/>
              </w:rPr>
              <w:tab/>
              <w:t>RIVITALIZIMI</w:t>
            </w:r>
            <w:r>
              <w:rPr>
                <w:spacing w:val="-3"/>
                <w:sz w:val="20"/>
              </w:rPr>
              <w:t> </w:t>
            </w:r>
            <w:r>
              <w:rPr>
                <w:sz w:val="20"/>
              </w:rPr>
              <w:t>I</w:t>
            </w:r>
            <w:r>
              <w:rPr>
                <w:spacing w:val="-2"/>
                <w:sz w:val="20"/>
              </w:rPr>
              <w:t> </w:t>
            </w:r>
            <w:r>
              <w:rPr>
                <w:sz w:val="20"/>
              </w:rPr>
              <w:t>OBJEKTEVE</w:t>
            </w:r>
            <w:r>
              <w:rPr>
                <w:spacing w:val="-2"/>
                <w:sz w:val="20"/>
              </w:rPr>
              <w:t> </w:t>
            </w:r>
            <w:r>
              <w:rPr>
                <w:spacing w:val="-5"/>
                <w:sz w:val="20"/>
              </w:rPr>
              <w:t>ME</w:t>
            </w:r>
          </w:p>
          <w:p>
            <w:pPr>
              <w:pStyle w:val="TableParagraph"/>
              <w:spacing w:before="25"/>
              <w:ind w:left="1805"/>
              <w:rPr>
                <w:sz w:val="20"/>
              </w:rPr>
            </w:pPr>
            <w:r>
              <w:rPr>
                <w:spacing w:val="-2"/>
                <w:sz w:val="20"/>
              </w:rPr>
              <w:t>TRASHËGIMI</w:t>
            </w:r>
          </w:p>
        </w:tc>
        <w:tc>
          <w:tcPr>
            <w:tcW w:w="1800" w:type="dxa"/>
          </w:tcPr>
          <w:p>
            <w:pPr>
              <w:pStyle w:val="TableParagraph"/>
              <w:rPr>
                <w:sz w:val="20"/>
              </w:rPr>
            </w:pPr>
          </w:p>
        </w:tc>
        <w:tc>
          <w:tcPr>
            <w:tcW w:w="3240" w:type="dxa"/>
          </w:tcPr>
          <w:p>
            <w:pPr>
              <w:pStyle w:val="TableParagraph"/>
              <w:rPr>
                <w:b/>
                <w:sz w:val="22"/>
              </w:rPr>
            </w:pPr>
          </w:p>
          <w:p>
            <w:pPr>
              <w:pStyle w:val="TableParagraph"/>
              <w:spacing w:before="4"/>
              <w:rPr>
                <w:b/>
                <w:sz w:val="18"/>
              </w:rPr>
            </w:pPr>
          </w:p>
          <w:p>
            <w:pPr>
              <w:pStyle w:val="TableParagraph"/>
              <w:spacing w:line="276" w:lineRule="auto"/>
              <w:ind w:left="187" w:right="177"/>
              <w:jc w:val="center"/>
              <w:rPr>
                <w:sz w:val="20"/>
              </w:rPr>
            </w:pPr>
            <w:r>
              <w:rPr>
                <w:sz w:val="20"/>
              </w:rPr>
              <w:t>Infrastrukturë</w:t>
            </w:r>
            <w:r>
              <w:rPr>
                <w:spacing w:val="-13"/>
                <w:sz w:val="20"/>
              </w:rPr>
              <w:t> </w:t>
            </w:r>
            <w:r>
              <w:rPr>
                <w:sz w:val="20"/>
              </w:rPr>
              <w:t>e</w:t>
            </w:r>
            <w:r>
              <w:rPr>
                <w:spacing w:val="-12"/>
                <w:sz w:val="20"/>
              </w:rPr>
              <w:t> </w:t>
            </w:r>
            <w:r>
              <w:rPr>
                <w:sz w:val="20"/>
              </w:rPr>
              <w:t>përmirësuar</w:t>
            </w:r>
            <w:r>
              <w:rPr>
                <w:spacing w:val="-13"/>
                <w:sz w:val="20"/>
              </w:rPr>
              <w:t> </w:t>
            </w:r>
            <w:r>
              <w:rPr>
                <w:sz w:val="20"/>
              </w:rPr>
              <w:t>tek shkolla Muze</w:t>
            </w:r>
          </w:p>
          <w:p>
            <w:pPr>
              <w:pStyle w:val="TableParagraph"/>
              <w:spacing w:before="6"/>
              <w:rPr>
                <w:b/>
                <w:sz w:val="17"/>
              </w:rPr>
            </w:pPr>
          </w:p>
          <w:p>
            <w:pPr>
              <w:pStyle w:val="TableParagraph"/>
              <w:spacing w:line="276" w:lineRule="auto"/>
              <w:ind w:left="249" w:right="239" w:firstLine="2"/>
              <w:jc w:val="center"/>
              <w:rPr>
                <w:sz w:val="20"/>
              </w:rPr>
            </w:pPr>
            <w:r>
              <w:rPr>
                <w:sz w:val="20"/>
              </w:rPr>
              <w:t>Konzervim dhe restaurimi i objekteve</w:t>
            </w:r>
            <w:r>
              <w:rPr>
                <w:spacing w:val="-7"/>
                <w:sz w:val="20"/>
              </w:rPr>
              <w:t> </w:t>
            </w:r>
            <w:r>
              <w:rPr>
                <w:sz w:val="20"/>
              </w:rPr>
              <w:t>me</w:t>
            </w:r>
            <w:r>
              <w:rPr>
                <w:spacing w:val="-8"/>
                <w:sz w:val="20"/>
              </w:rPr>
              <w:t> </w:t>
            </w:r>
            <w:r>
              <w:rPr>
                <w:sz w:val="20"/>
              </w:rPr>
              <w:t>trashegimi</w:t>
            </w:r>
            <w:r>
              <w:rPr>
                <w:spacing w:val="-9"/>
                <w:sz w:val="20"/>
              </w:rPr>
              <w:t> </w:t>
            </w:r>
            <w:r>
              <w:rPr>
                <w:sz w:val="20"/>
              </w:rPr>
              <w:t>në</w:t>
            </w:r>
            <w:r>
              <w:rPr>
                <w:spacing w:val="-7"/>
                <w:sz w:val="20"/>
              </w:rPr>
              <w:t> </w:t>
            </w:r>
            <w:r>
              <w:rPr>
                <w:sz w:val="20"/>
              </w:rPr>
              <w:t>Pust</w:t>
            </w:r>
            <w:r>
              <w:rPr>
                <w:spacing w:val="-7"/>
                <w:sz w:val="20"/>
              </w:rPr>
              <w:t> </w:t>
            </w:r>
            <w:r>
              <w:rPr>
                <w:sz w:val="20"/>
              </w:rPr>
              <w:t>e </w:t>
            </w:r>
            <w:r>
              <w:rPr>
                <w:spacing w:val="-2"/>
                <w:sz w:val="20"/>
              </w:rPr>
              <w:t>Nikës</w:t>
            </w:r>
          </w:p>
          <w:p>
            <w:pPr>
              <w:pStyle w:val="TableParagraph"/>
              <w:spacing w:before="4"/>
              <w:rPr>
                <w:b/>
                <w:sz w:val="17"/>
              </w:rPr>
            </w:pPr>
          </w:p>
          <w:p>
            <w:pPr>
              <w:pStyle w:val="TableParagraph"/>
              <w:spacing w:line="276" w:lineRule="auto" w:before="1"/>
              <w:ind w:left="197" w:right="187" w:firstLine="1"/>
              <w:jc w:val="center"/>
              <w:rPr>
                <w:sz w:val="20"/>
              </w:rPr>
            </w:pPr>
            <w:r>
              <w:rPr>
                <w:sz w:val="20"/>
              </w:rPr>
              <w:t>Intervenimi në depot e parkut të qytetit</w:t>
            </w:r>
            <w:r>
              <w:rPr>
                <w:spacing w:val="-6"/>
                <w:sz w:val="20"/>
              </w:rPr>
              <w:t> </w:t>
            </w:r>
            <w:r>
              <w:rPr>
                <w:sz w:val="20"/>
              </w:rPr>
              <w:t>dhe</w:t>
            </w:r>
            <w:r>
              <w:rPr>
                <w:spacing w:val="-6"/>
                <w:sz w:val="20"/>
              </w:rPr>
              <w:t> </w:t>
            </w:r>
            <w:r>
              <w:rPr>
                <w:sz w:val="20"/>
              </w:rPr>
              <w:t>kthimi</w:t>
            </w:r>
            <w:r>
              <w:rPr>
                <w:spacing w:val="-6"/>
                <w:sz w:val="20"/>
              </w:rPr>
              <w:t> </w:t>
            </w:r>
            <w:r>
              <w:rPr>
                <w:sz w:val="20"/>
              </w:rPr>
              <w:t>i</w:t>
            </w:r>
            <w:r>
              <w:rPr>
                <w:spacing w:val="-7"/>
                <w:sz w:val="20"/>
              </w:rPr>
              <w:t> </w:t>
            </w:r>
            <w:r>
              <w:rPr>
                <w:sz w:val="20"/>
              </w:rPr>
              <w:t>tyre</w:t>
            </w:r>
            <w:r>
              <w:rPr>
                <w:spacing w:val="-8"/>
                <w:sz w:val="20"/>
              </w:rPr>
              <w:t> </w:t>
            </w:r>
            <w:r>
              <w:rPr>
                <w:sz w:val="20"/>
              </w:rPr>
              <w:t>në</w:t>
            </w:r>
            <w:r>
              <w:rPr>
                <w:spacing w:val="-8"/>
                <w:sz w:val="20"/>
              </w:rPr>
              <w:t> </w:t>
            </w:r>
            <w:r>
              <w:rPr>
                <w:sz w:val="20"/>
              </w:rPr>
              <w:t>hapësira për ekspozita</w:t>
            </w:r>
          </w:p>
        </w:tc>
        <w:tc>
          <w:tcPr>
            <w:tcW w:w="1980" w:type="dxa"/>
          </w:tcPr>
          <w:p>
            <w:pPr>
              <w:pStyle w:val="TableParagraph"/>
              <w:rPr>
                <w:b/>
                <w:sz w:val="22"/>
              </w:rPr>
            </w:pPr>
          </w:p>
          <w:p>
            <w:pPr>
              <w:pStyle w:val="TableParagraph"/>
              <w:rPr>
                <w:b/>
                <w:sz w:val="22"/>
              </w:rPr>
            </w:pPr>
          </w:p>
          <w:p>
            <w:pPr>
              <w:pStyle w:val="TableParagraph"/>
              <w:rPr>
                <w:b/>
                <w:sz w:val="22"/>
              </w:rPr>
            </w:pPr>
          </w:p>
          <w:p>
            <w:pPr>
              <w:pStyle w:val="TableParagraph"/>
              <w:spacing w:line="484" w:lineRule="auto" w:before="170"/>
              <w:ind w:left="662" w:right="648" w:hanging="1"/>
              <w:jc w:val="center"/>
              <w:rPr>
                <w:sz w:val="20"/>
              </w:rPr>
            </w:pPr>
            <w:r>
              <w:rPr>
                <w:spacing w:val="-4"/>
                <w:sz w:val="20"/>
              </w:rPr>
              <w:t>DKRS MKRS </w:t>
            </w:r>
            <w:r>
              <w:rPr>
                <w:spacing w:val="-2"/>
                <w:sz w:val="20"/>
              </w:rPr>
              <w:t>DZHET </w:t>
            </w:r>
            <w:r>
              <w:rPr>
                <w:spacing w:val="-4"/>
                <w:sz w:val="20"/>
              </w:rPr>
              <w:t>OJQ</w:t>
            </w:r>
          </w:p>
        </w:tc>
        <w:tc>
          <w:tcPr>
            <w:tcW w:w="18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3"/>
              <w:ind w:right="498"/>
              <w:jc w:val="right"/>
              <w:rPr>
                <w:sz w:val="20"/>
              </w:rPr>
            </w:pPr>
            <w:r>
              <w:rPr>
                <w:spacing w:val="-2"/>
                <w:sz w:val="20"/>
              </w:rPr>
              <w:t>2024-</w:t>
            </w:r>
            <w:r>
              <w:rPr>
                <w:spacing w:val="-4"/>
                <w:sz w:val="20"/>
              </w:rPr>
              <w:t>2026</w:t>
            </w:r>
          </w:p>
        </w:tc>
        <w:tc>
          <w:tcPr>
            <w:tcW w:w="183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3"/>
              <w:ind w:left="465"/>
              <w:rPr>
                <w:sz w:val="20"/>
              </w:rPr>
            </w:pPr>
            <w:r>
              <w:rPr>
                <w:spacing w:val="-2"/>
                <w:sz w:val="20"/>
              </w:rPr>
              <w:t>100,000.00</w:t>
            </w:r>
          </w:p>
          <w:p>
            <w:pPr>
              <w:pStyle w:val="TableParagraph"/>
              <w:spacing w:before="5"/>
              <w:rPr>
                <w:b/>
                <w:sz w:val="21"/>
              </w:rPr>
            </w:pPr>
          </w:p>
          <w:p>
            <w:pPr>
              <w:pStyle w:val="TableParagraph"/>
              <w:ind w:left="515"/>
              <w:rPr>
                <w:sz w:val="20"/>
              </w:rPr>
            </w:pPr>
            <w:r>
              <w:rPr>
                <w:spacing w:val="-2"/>
                <w:sz w:val="20"/>
              </w:rPr>
              <w:t>50,000.00</w:t>
            </w:r>
          </w:p>
          <w:p>
            <w:pPr>
              <w:pStyle w:val="TableParagraph"/>
              <w:spacing w:before="5"/>
              <w:rPr>
                <w:b/>
                <w:sz w:val="21"/>
              </w:rPr>
            </w:pPr>
          </w:p>
          <w:p>
            <w:pPr>
              <w:pStyle w:val="TableParagraph"/>
              <w:ind w:left="515"/>
              <w:rPr>
                <w:sz w:val="20"/>
              </w:rPr>
            </w:pPr>
            <w:r>
              <w:rPr>
                <w:spacing w:val="-2"/>
                <w:sz w:val="20"/>
              </w:rPr>
              <w:t>50,000.00</w:t>
            </w:r>
          </w:p>
        </w:tc>
        <w:tc>
          <w:tcPr>
            <w:tcW w:w="2024" w:type="dxa"/>
          </w:tcPr>
          <w:p>
            <w:pPr>
              <w:pStyle w:val="TableParagraph"/>
              <w:rPr>
                <w:b/>
                <w:sz w:val="22"/>
              </w:rPr>
            </w:pPr>
          </w:p>
          <w:p>
            <w:pPr>
              <w:pStyle w:val="TableParagraph"/>
              <w:spacing w:before="5"/>
              <w:rPr>
                <w:b/>
                <w:sz w:val="19"/>
              </w:rPr>
            </w:pPr>
          </w:p>
          <w:p>
            <w:pPr>
              <w:pStyle w:val="TableParagraph"/>
              <w:spacing w:line="496" w:lineRule="auto"/>
              <w:ind w:left="668" w:right="653"/>
              <w:jc w:val="center"/>
              <w:rPr>
                <w:sz w:val="20"/>
              </w:rPr>
            </w:pPr>
            <w:r>
              <w:rPr>
                <w:spacing w:val="-2"/>
                <w:sz w:val="20"/>
              </w:rPr>
              <w:t>Komuna </w:t>
            </w:r>
            <w:r>
              <w:rPr>
                <w:spacing w:val="-4"/>
                <w:sz w:val="20"/>
              </w:rPr>
              <w:t>MKRS</w:t>
            </w:r>
          </w:p>
          <w:p>
            <w:pPr>
              <w:pStyle w:val="TableParagraph"/>
              <w:ind w:left="114" w:right="105"/>
              <w:jc w:val="center"/>
              <w:rPr>
                <w:sz w:val="20"/>
              </w:rPr>
            </w:pPr>
            <w:r>
              <w:rPr>
                <w:sz w:val="20"/>
              </w:rPr>
              <w:t>Donatorë</w:t>
            </w:r>
            <w:r>
              <w:rPr>
                <w:spacing w:val="-1"/>
                <w:sz w:val="20"/>
              </w:rPr>
              <w:t> </w:t>
            </w:r>
            <w:r>
              <w:rPr>
                <w:sz w:val="20"/>
              </w:rPr>
              <w:t>të </w:t>
            </w:r>
            <w:r>
              <w:rPr>
                <w:spacing w:val="-2"/>
                <w:sz w:val="20"/>
              </w:rPr>
              <w:t>Jashtëm</w:t>
            </w:r>
          </w:p>
        </w:tc>
      </w:tr>
      <w:tr>
        <w:trPr>
          <w:trHeight w:val="4238" w:hRule="atLeast"/>
        </w:trPr>
        <w:tc>
          <w:tcPr>
            <w:tcW w:w="2070" w:type="dxa"/>
            <w:textDirection w:val="btLr"/>
          </w:tcPr>
          <w:p>
            <w:pPr>
              <w:pStyle w:val="TableParagraph"/>
              <w:spacing w:before="5"/>
              <w:rPr>
                <w:b/>
                <w:sz w:val="23"/>
              </w:rPr>
            </w:pPr>
          </w:p>
          <w:p>
            <w:pPr>
              <w:pStyle w:val="TableParagraph"/>
              <w:tabs>
                <w:tab w:pos="1116" w:val="left" w:leader="none"/>
              </w:tabs>
              <w:spacing w:before="1"/>
              <w:ind w:left="757"/>
              <w:rPr>
                <w:sz w:val="20"/>
              </w:rPr>
            </w:pPr>
            <w:r>
              <w:rPr>
                <w:spacing w:val="-5"/>
                <w:sz w:val="20"/>
              </w:rPr>
              <w:t>3.</w:t>
            </w:r>
            <w:r>
              <w:rPr>
                <w:sz w:val="20"/>
              </w:rPr>
              <w:tab/>
              <w:t>HARTIMI</w:t>
            </w:r>
            <w:r>
              <w:rPr>
                <w:spacing w:val="-1"/>
                <w:sz w:val="20"/>
              </w:rPr>
              <w:t> </w:t>
            </w:r>
            <w:r>
              <w:rPr>
                <w:sz w:val="20"/>
              </w:rPr>
              <w:t>I</w:t>
            </w:r>
            <w:r>
              <w:rPr>
                <w:spacing w:val="-2"/>
                <w:sz w:val="20"/>
              </w:rPr>
              <w:t> </w:t>
            </w:r>
            <w:r>
              <w:rPr>
                <w:sz w:val="20"/>
              </w:rPr>
              <w:t>PLANIT</w:t>
            </w:r>
            <w:r>
              <w:rPr>
                <w:spacing w:val="-2"/>
                <w:sz w:val="20"/>
              </w:rPr>
              <w:t> </w:t>
            </w:r>
            <w:r>
              <w:rPr>
                <w:sz w:val="20"/>
              </w:rPr>
              <w:t>PËR </w:t>
            </w:r>
            <w:r>
              <w:rPr>
                <w:spacing w:val="-4"/>
                <w:sz w:val="20"/>
              </w:rPr>
              <w:t>RINI</w:t>
            </w:r>
          </w:p>
        </w:tc>
        <w:tc>
          <w:tcPr>
            <w:tcW w:w="1800" w:type="dxa"/>
          </w:tcPr>
          <w:p>
            <w:pPr>
              <w:pStyle w:val="TableParagraph"/>
              <w:rPr>
                <w:sz w:val="20"/>
              </w:rPr>
            </w:pPr>
          </w:p>
        </w:tc>
        <w:tc>
          <w:tcPr>
            <w:tcW w:w="3240" w:type="dxa"/>
          </w:tcPr>
          <w:p>
            <w:pPr>
              <w:pStyle w:val="TableParagraph"/>
              <w:rPr>
                <w:b/>
                <w:sz w:val="22"/>
              </w:rPr>
            </w:pPr>
          </w:p>
          <w:p>
            <w:pPr>
              <w:pStyle w:val="TableParagraph"/>
              <w:spacing w:before="4"/>
              <w:rPr>
                <w:b/>
                <w:sz w:val="18"/>
              </w:rPr>
            </w:pPr>
          </w:p>
          <w:p>
            <w:pPr>
              <w:pStyle w:val="TableParagraph"/>
              <w:spacing w:line="276" w:lineRule="auto"/>
              <w:ind w:left="187" w:right="176"/>
              <w:jc w:val="center"/>
              <w:rPr>
                <w:sz w:val="20"/>
              </w:rPr>
            </w:pPr>
            <w:r>
              <w:rPr>
                <w:sz w:val="20"/>
              </w:rPr>
              <w:t>Organizimi</w:t>
            </w:r>
            <w:r>
              <w:rPr>
                <w:spacing w:val="-13"/>
                <w:sz w:val="20"/>
              </w:rPr>
              <w:t> </w:t>
            </w:r>
            <w:r>
              <w:rPr>
                <w:sz w:val="20"/>
              </w:rPr>
              <w:t>i</w:t>
            </w:r>
            <w:r>
              <w:rPr>
                <w:spacing w:val="-12"/>
                <w:sz w:val="20"/>
              </w:rPr>
              <w:t> </w:t>
            </w:r>
            <w:r>
              <w:rPr>
                <w:sz w:val="20"/>
              </w:rPr>
              <w:t>festivale,</w:t>
            </w:r>
            <w:r>
              <w:rPr>
                <w:spacing w:val="-13"/>
                <w:sz w:val="20"/>
              </w:rPr>
              <w:t> </w:t>
            </w:r>
            <w:r>
              <w:rPr>
                <w:sz w:val="20"/>
              </w:rPr>
              <w:t>Teatrove, Muzikaleve, Shfaqjeve </w:t>
            </w:r>
            <w:r>
              <w:rPr>
                <w:spacing w:val="-2"/>
                <w:sz w:val="20"/>
              </w:rPr>
              <w:t>Dokumentareve</w:t>
            </w:r>
          </w:p>
          <w:p>
            <w:pPr>
              <w:pStyle w:val="TableParagraph"/>
              <w:spacing w:before="5"/>
              <w:rPr>
                <w:b/>
                <w:sz w:val="17"/>
              </w:rPr>
            </w:pPr>
          </w:p>
          <w:p>
            <w:pPr>
              <w:pStyle w:val="TableParagraph"/>
              <w:spacing w:line="276" w:lineRule="auto" w:before="1"/>
              <w:ind w:left="187" w:right="177"/>
              <w:jc w:val="center"/>
              <w:rPr>
                <w:sz w:val="20"/>
              </w:rPr>
            </w:pPr>
            <w:r>
              <w:rPr>
                <w:sz w:val="20"/>
              </w:rPr>
              <w:t>Organizimi</w:t>
            </w:r>
            <w:r>
              <w:rPr>
                <w:spacing w:val="-10"/>
                <w:sz w:val="20"/>
              </w:rPr>
              <w:t> </w:t>
            </w:r>
            <w:r>
              <w:rPr>
                <w:sz w:val="20"/>
              </w:rPr>
              <w:t>i</w:t>
            </w:r>
            <w:r>
              <w:rPr>
                <w:spacing w:val="-9"/>
                <w:sz w:val="20"/>
              </w:rPr>
              <w:t> </w:t>
            </w:r>
            <w:r>
              <w:rPr>
                <w:sz w:val="20"/>
              </w:rPr>
              <w:t>ekspozitave</w:t>
            </w:r>
            <w:r>
              <w:rPr>
                <w:spacing w:val="-10"/>
                <w:sz w:val="20"/>
              </w:rPr>
              <w:t> </w:t>
            </w:r>
            <w:r>
              <w:rPr>
                <w:sz w:val="20"/>
              </w:rPr>
              <w:t>në</w:t>
            </w:r>
            <w:r>
              <w:rPr>
                <w:spacing w:val="-11"/>
                <w:sz w:val="20"/>
              </w:rPr>
              <w:t> </w:t>
            </w:r>
            <w:r>
              <w:rPr>
                <w:sz w:val="20"/>
              </w:rPr>
              <w:t>pikturë dhe skulpturë</w:t>
            </w:r>
          </w:p>
          <w:p>
            <w:pPr>
              <w:pStyle w:val="TableParagraph"/>
              <w:spacing w:before="4"/>
              <w:rPr>
                <w:b/>
                <w:sz w:val="17"/>
              </w:rPr>
            </w:pPr>
          </w:p>
          <w:p>
            <w:pPr>
              <w:pStyle w:val="TableParagraph"/>
              <w:spacing w:before="1"/>
              <w:ind w:left="817"/>
              <w:rPr>
                <w:sz w:val="20"/>
              </w:rPr>
            </w:pPr>
            <w:r>
              <w:rPr>
                <w:sz w:val="20"/>
              </w:rPr>
              <w:t>Hiking ecje</w:t>
            </w:r>
            <w:r>
              <w:rPr>
                <w:spacing w:val="-2"/>
                <w:sz w:val="20"/>
              </w:rPr>
              <w:t> </w:t>
            </w:r>
            <w:r>
              <w:rPr>
                <w:sz w:val="20"/>
              </w:rPr>
              <w:t>në</w:t>
            </w:r>
            <w:r>
              <w:rPr>
                <w:spacing w:val="-2"/>
                <w:sz w:val="20"/>
              </w:rPr>
              <w:t> </w:t>
            </w:r>
            <w:r>
              <w:rPr>
                <w:spacing w:val="-4"/>
                <w:sz w:val="20"/>
              </w:rPr>
              <w:t>male</w:t>
            </w:r>
          </w:p>
        </w:tc>
        <w:tc>
          <w:tcPr>
            <w:tcW w:w="1980" w:type="dxa"/>
          </w:tcPr>
          <w:p>
            <w:pPr>
              <w:pStyle w:val="TableParagraph"/>
              <w:rPr>
                <w:b/>
                <w:sz w:val="22"/>
              </w:rPr>
            </w:pPr>
          </w:p>
          <w:p>
            <w:pPr>
              <w:pStyle w:val="TableParagraph"/>
              <w:spacing w:before="4"/>
              <w:rPr>
                <w:b/>
                <w:sz w:val="18"/>
              </w:rPr>
            </w:pPr>
          </w:p>
          <w:p>
            <w:pPr>
              <w:pStyle w:val="TableParagraph"/>
              <w:spacing w:line="484" w:lineRule="auto"/>
              <w:ind w:left="662" w:right="648" w:hanging="1"/>
              <w:jc w:val="center"/>
              <w:rPr>
                <w:sz w:val="20"/>
              </w:rPr>
            </w:pPr>
            <w:r>
              <w:rPr>
                <w:spacing w:val="-4"/>
                <w:sz w:val="20"/>
              </w:rPr>
              <w:t>DKRS MKRS </w:t>
            </w:r>
            <w:r>
              <w:rPr>
                <w:spacing w:val="-2"/>
                <w:sz w:val="20"/>
              </w:rPr>
              <w:t>DZHET </w:t>
            </w:r>
            <w:r>
              <w:rPr>
                <w:spacing w:val="-4"/>
                <w:sz w:val="20"/>
              </w:rPr>
              <w:t>OJQ</w:t>
            </w:r>
          </w:p>
        </w:tc>
        <w:tc>
          <w:tcPr>
            <w:tcW w:w="1890" w:type="dxa"/>
          </w:tcPr>
          <w:p>
            <w:pPr>
              <w:pStyle w:val="TableParagraph"/>
              <w:rPr>
                <w:b/>
                <w:sz w:val="22"/>
              </w:rPr>
            </w:pPr>
          </w:p>
          <w:p>
            <w:pPr>
              <w:pStyle w:val="TableParagraph"/>
              <w:rPr>
                <w:b/>
                <w:sz w:val="22"/>
              </w:rPr>
            </w:pPr>
          </w:p>
          <w:p>
            <w:pPr>
              <w:pStyle w:val="TableParagraph"/>
              <w:rPr>
                <w:b/>
                <w:sz w:val="22"/>
              </w:rPr>
            </w:pPr>
          </w:p>
          <w:p>
            <w:pPr>
              <w:pStyle w:val="TableParagraph"/>
              <w:spacing w:before="194"/>
              <w:ind w:right="498"/>
              <w:jc w:val="right"/>
              <w:rPr>
                <w:sz w:val="20"/>
              </w:rPr>
            </w:pPr>
            <w:r>
              <w:rPr>
                <w:spacing w:val="-2"/>
                <w:sz w:val="20"/>
              </w:rPr>
              <w:t>2024-</w:t>
            </w:r>
            <w:r>
              <w:rPr>
                <w:spacing w:val="-4"/>
                <w:sz w:val="20"/>
              </w:rPr>
              <w:t>2026</w:t>
            </w:r>
          </w:p>
        </w:tc>
        <w:tc>
          <w:tcPr>
            <w:tcW w:w="1830" w:type="dxa"/>
          </w:tcPr>
          <w:p>
            <w:pPr>
              <w:pStyle w:val="TableParagraph"/>
              <w:rPr>
                <w:b/>
                <w:sz w:val="22"/>
              </w:rPr>
            </w:pPr>
          </w:p>
          <w:p>
            <w:pPr>
              <w:pStyle w:val="TableParagraph"/>
              <w:rPr>
                <w:b/>
                <w:sz w:val="22"/>
              </w:rPr>
            </w:pPr>
          </w:p>
          <w:p>
            <w:pPr>
              <w:pStyle w:val="TableParagraph"/>
              <w:rPr>
                <w:b/>
                <w:sz w:val="22"/>
              </w:rPr>
            </w:pPr>
          </w:p>
          <w:p>
            <w:pPr>
              <w:pStyle w:val="TableParagraph"/>
              <w:spacing w:before="194"/>
              <w:ind w:left="515"/>
              <w:rPr>
                <w:sz w:val="20"/>
              </w:rPr>
            </w:pPr>
            <w:r>
              <w:rPr>
                <w:spacing w:val="-2"/>
                <w:sz w:val="20"/>
              </w:rPr>
              <w:t>50,000.00</w:t>
            </w:r>
          </w:p>
          <w:p>
            <w:pPr>
              <w:pStyle w:val="TableParagraph"/>
              <w:spacing w:before="4"/>
              <w:rPr>
                <w:b/>
                <w:sz w:val="21"/>
              </w:rPr>
            </w:pPr>
          </w:p>
          <w:p>
            <w:pPr>
              <w:pStyle w:val="TableParagraph"/>
              <w:ind w:left="565"/>
              <w:rPr>
                <w:sz w:val="20"/>
              </w:rPr>
            </w:pPr>
            <w:r>
              <w:rPr>
                <w:spacing w:val="-2"/>
                <w:sz w:val="20"/>
              </w:rPr>
              <w:t>5,000.00</w:t>
            </w:r>
          </w:p>
          <w:p>
            <w:pPr>
              <w:pStyle w:val="TableParagraph"/>
              <w:spacing w:before="5"/>
              <w:rPr>
                <w:b/>
                <w:sz w:val="21"/>
              </w:rPr>
            </w:pPr>
          </w:p>
          <w:p>
            <w:pPr>
              <w:pStyle w:val="TableParagraph"/>
              <w:ind w:left="565"/>
              <w:rPr>
                <w:sz w:val="20"/>
              </w:rPr>
            </w:pPr>
            <w:r>
              <w:rPr>
                <w:spacing w:val="-2"/>
                <w:sz w:val="20"/>
              </w:rPr>
              <w:t>1,000.00</w:t>
            </w:r>
          </w:p>
        </w:tc>
        <w:tc>
          <w:tcPr>
            <w:tcW w:w="2024" w:type="dxa"/>
          </w:tcPr>
          <w:p>
            <w:pPr>
              <w:pStyle w:val="TableParagraph"/>
              <w:rPr>
                <w:b/>
                <w:sz w:val="22"/>
              </w:rPr>
            </w:pPr>
          </w:p>
          <w:p>
            <w:pPr>
              <w:pStyle w:val="TableParagraph"/>
              <w:spacing w:before="5"/>
              <w:rPr>
                <w:b/>
                <w:sz w:val="19"/>
              </w:rPr>
            </w:pPr>
          </w:p>
          <w:p>
            <w:pPr>
              <w:pStyle w:val="TableParagraph"/>
              <w:spacing w:line="496" w:lineRule="auto"/>
              <w:ind w:left="668" w:right="653"/>
              <w:jc w:val="center"/>
              <w:rPr>
                <w:sz w:val="20"/>
              </w:rPr>
            </w:pPr>
            <w:r>
              <w:rPr>
                <w:spacing w:val="-2"/>
                <w:sz w:val="20"/>
              </w:rPr>
              <w:t>Komuna </w:t>
            </w:r>
            <w:r>
              <w:rPr>
                <w:spacing w:val="-4"/>
                <w:sz w:val="20"/>
              </w:rPr>
              <w:t>MKRS</w:t>
            </w:r>
          </w:p>
          <w:p>
            <w:pPr>
              <w:pStyle w:val="TableParagraph"/>
              <w:ind w:left="114" w:right="105"/>
              <w:jc w:val="center"/>
              <w:rPr>
                <w:sz w:val="20"/>
              </w:rPr>
            </w:pPr>
            <w:r>
              <w:rPr>
                <w:sz w:val="20"/>
              </w:rPr>
              <w:t>Donatorë</w:t>
            </w:r>
            <w:r>
              <w:rPr>
                <w:spacing w:val="-1"/>
                <w:sz w:val="20"/>
              </w:rPr>
              <w:t> </w:t>
            </w:r>
            <w:r>
              <w:rPr>
                <w:sz w:val="20"/>
              </w:rPr>
              <w:t>të </w:t>
            </w:r>
            <w:r>
              <w:rPr>
                <w:spacing w:val="-2"/>
                <w:sz w:val="20"/>
              </w:rPr>
              <w:t>Jashtëm</w:t>
            </w:r>
          </w:p>
        </w:tc>
      </w:tr>
    </w:tbl>
    <w:p>
      <w:pPr>
        <w:spacing w:after="0"/>
        <w:jc w:val="center"/>
        <w:rPr>
          <w:sz w:val="20"/>
        </w:rPr>
        <w:sectPr>
          <w:pgSz w:w="15840" w:h="12240" w:orient="landscape"/>
          <w:pgMar w:header="0" w:footer="990" w:top="1380" w:bottom="1180" w:left="420" w:right="160"/>
        </w:sectPr>
      </w:pPr>
    </w:p>
    <w:p>
      <w:pPr>
        <w:spacing w:before="60"/>
        <w:ind w:left="2486" w:right="2746" w:firstLine="0"/>
        <w:jc w:val="center"/>
        <w:rPr>
          <w:b/>
          <w:sz w:val="28"/>
        </w:rPr>
      </w:pPr>
      <w:r>
        <w:rPr>
          <w:b/>
          <w:sz w:val="28"/>
        </w:rPr>
        <w:t>OBJEKTIVAT</w:t>
      </w:r>
      <w:r>
        <w:rPr>
          <w:b/>
          <w:spacing w:val="-16"/>
          <w:sz w:val="28"/>
        </w:rPr>
        <w:t> </w:t>
      </w:r>
      <w:r>
        <w:rPr>
          <w:b/>
          <w:sz w:val="28"/>
        </w:rPr>
        <w:t>PËR</w:t>
      </w:r>
      <w:r>
        <w:rPr>
          <w:b/>
          <w:spacing w:val="-15"/>
          <w:sz w:val="28"/>
        </w:rPr>
        <w:t> </w:t>
      </w:r>
      <w:r>
        <w:rPr>
          <w:b/>
          <w:sz w:val="28"/>
        </w:rPr>
        <w:t>SHËNDETËSI</w:t>
      </w:r>
      <w:r>
        <w:rPr>
          <w:b/>
          <w:spacing w:val="-15"/>
          <w:sz w:val="28"/>
        </w:rPr>
        <w:t> </w:t>
      </w:r>
      <w:r>
        <w:rPr>
          <w:b/>
          <w:sz w:val="28"/>
        </w:rPr>
        <w:t>DHE</w:t>
      </w:r>
      <w:r>
        <w:rPr>
          <w:b/>
          <w:spacing w:val="-16"/>
          <w:sz w:val="28"/>
        </w:rPr>
        <w:t> </w:t>
      </w:r>
      <w:r>
        <w:rPr>
          <w:b/>
          <w:sz w:val="28"/>
        </w:rPr>
        <w:t>MIRËQENIA</w:t>
      </w:r>
      <w:r>
        <w:rPr>
          <w:b/>
          <w:spacing w:val="-15"/>
          <w:sz w:val="28"/>
        </w:rPr>
        <w:t> </w:t>
      </w:r>
      <w:r>
        <w:rPr>
          <w:b/>
          <w:spacing w:val="-2"/>
          <w:sz w:val="28"/>
        </w:rPr>
        <w:t>SOCIALE</w:t>
      </w:r>
    </w:p>
    <w:p>
      <w:pPr>
        <w:pStyle w:val="BodyText"/>
        <w:rPr>
          <w:b/>
          <w:sz w:val="21"/>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2424"/>
        <w:gridCol w:w="3826"/>
        <w:gridCol w:w="1795"/>
        <w:gridCol w:w="1883"/>
        <w:gridCol w:w="1822"/>
        <w:gridCol w:w="1599"/>
      </w:tblGrid>
      <w:tr>
        <w:trPr>
          <w:trHeight w:val="728" w:hRule="atLeast"/>
        </w:trPr>
        <w:tc>
          <w:tcPr>
            <w:tcW w:w="1255" w:type="dxa"/>
            <w:tcBorders>
              <w:bottom w:val="single" w:sz="12" w:space="0" w:color="DAD5B1"/>
            </w:tcBorders>
            <w:shd w:val="clear" w:color="auto" w:fill="F9DFC2"/>
          </w:tcPr>
          <w:p>
            <w:pPr>
              <w:pStyle w:val="TableParagraph"/>
              <w:ind w:left="221"/>
              <w:rPr>
                <w:b/>
                <w:sz w:val="20"/>
              </w:rPr>
            </w:pPr>
            <w:r>
              <w:rPr>
                <w:b/>
                <w:spacing w:val="-2"/>
                <w:sz w:val="20"/>
              </w:rPr>
              <w:t>Objektivi</w:t>
            </w:r>
          </w:p>
        </w:tc>
        <w:tc>
          <w:tcPr>
            <w:tcW w:w="2424" w:type="dxa"/>
            <w:tcBorders>
              <w:bottom w:val="single" w:sz="12" w:space="0" w:color="DAD5B1"/>
            </w:tcBorders>
            <w:shd w:val="clear" w:color="auto" w:fill="F9DFC2"/>
          </w:tcPr>
          <w:p>
            <w:pPr>
              <w:pStyle w:val="TableParagraph"/>
              <w:ind w:left="673"/>
              <w:rPr>
                <w:b/>
                <w:sz w:val="20"/>
              </w:rPr>
            </w:pPr>
            <w:r>
              <w:rPr>
                <w:b/>
                <w:spacing w:val="-2"/>
                <w:sz w:val="20"/>
              </w:rPr>
              <w:t>Pritshmëritë</w:t>
            </w:r>
          </w:p>
        </w:tc>
        <w:tc>
          <w:tcPr>
            <w:tcW w:w="3826" w:type="dxa"/>
            <w:tcBorders>
              <w:bottom w:val="single" w:sz="12" w:space="0" w:color="DAD5B1"/>
            </w:tcBorders>
            <w:shd w:val="clear" w:color="auto" w:fill="F9DFC2"/>
          </w:tcPr>
          <w:p>
            <w:pPr>
              <w:pStyle w:val="TableParagraph"/>
              <w:ind w:left="128" w:right="116"/>
              <w:jc w:val="center"/>
              <w:rPr>
                <w:b/>
                <w:sz w:val="20"/>
              </w:rPr>
            </w:pPr>
            <w:r>
              <w:rPr>
                <w:b/>
                <w:spacing w:val="-2"/>
                <w:sz w:val="20"/>
              </w:rPr>
              <w:t>Aktiviteti/Projekti</w:t>
            </w:r>
          </w:p>
        </w:tc>
        <w:tc>
          <w:tcPr>
            <w:tcW w:w="1795" w:type="dxa"/>
            <w:tcBorders>
              <w:bottom w:val="single" w:sz="12" w:space="0" w:color="DAD5B1"/>
            </w:tcBorders>
            <w:shd w:val="clear" w:color="auto" w:fill="F9DFC2"/>
          </w:tcPr>
          <w:p>
            <w:pPr>
              <w:pStyle w:val="TableParagraph"/>
              <w:spacing w:line="276" w:lineRule="auto"/>
              <w:ind w:left="320" w:right="239" w:hanging="64"/>
              <w:rPr>
                <w:b/>
                <w:sz w:val="20"/>
              </w:rPr>
            </w:pPr>
            <w:r>
              <w:rPr>
                <w:b/>
                <w:sz w:val="20"/>
              </w:rPr>
              <w:t>Përgjegjësi</w:t>
            </w:r>
            <w:r>
              <w:rPr>
                <w:b/>
                <w:spacing w:val="-13"/>
                <w:sz w:val="20"/>
              </w:rPr>
              <w:t> </w:t>
            </w:r>
            <w:r>
              <w:rPr>
                <w:b/>
                <w:sz w:val="20"/>
              </w:rPr>
              <w:t>për </w:t>
            </w:r>
            <w:r>
              <w:rPr>
                <w:b/>
                <w:spacing w:val="-2"/>
                <w:sz w:val="20"/>
              </w:rPr>
              <w:t>Implementim</w:t>
            </w:r>
          </w:p>
        </w:tc>
        <w:tc>
          <w:tcPr>
            <w:tcW w:w="1883" w:type="dxa"/>
            <w:tcBorders>
              <w:bottom w:val="single" w:sz="12" w:space="0" w:color="DAD5B1"/>
            </w:tcBorders>
            <w:shd w:val="clear" w:color="auto" w:fill="F9DFC2"/>
          </w:tcPr>
          <w:p>
            <w:pPr>
              <w:pStyle w:val="TableParagraph"/>
              <w:ind w:left="259" w:right="245"/>
              <w:jc w:val="center"/>
              <w:rPr>
                <w:b/>
                <w:sz w:val="20"/>
              </w:rPr>
            </w:pPr>
            <w:r>
              <w:rPr>
                <w:b/>
                <w:sz w:val="20"/>
              </w:rPr>
              <w:t>Afati i</w:t>
            </w:r>
            <w:r>
              <w:rPr>
                <w:b/>
                <w:spacing w:val="-1"/>
                <w:sz w:val="20"/>
              </w:rPr>
              <w:t> </w:t>
            </w:r>
            <w:r>
              <w:rPr>
                <w:b/>
                <w:spacing w:val="-2"/>
                <w:sz w:val="20"/>
              </w:rPr>
              <w:t>Zbatimit</w:t>
            </w:r>
          </w:p>
        </w:tc>
        <w:tc>
          <w:tcPr>
            <w:tcW w:w="1822" w:type="dxa"/>
            <w:tcBorders>
              <w:bottom w:val="single" w:sz="12" w:space="0" w:color="DAD5B1"/>
            </w:tcBorders>
            <w:shd w:val="clear" w:color="auto" w:fill="F9DFC2"/>
          </w:tcPr>
          <w:p>
            <w:pPr>
              <w:pStyle w:val="TableParagraph"/>
              <w:spacing w:line="276" w:lineRule="auto"/>
              <w:ind w:left="385" w:firstLine="219"/>
              <w:rPr>
                <w:b/>
                <w:sz w:val="20"/>
              </w:rPr>
            </w:pPr>
            <w:r>
              <w:rPr>
                <w:b/>
                <w:sz w:val="20"/>
              </w:rPr>
              <w:t>Vlera e </w:t>
            </w:r>
            <w:r>
              <w:rPr>
                <w:b/>
                <w:spacing w:val="-2"/>
                <w:sz w:val="20"/>
              </w:rPr>
              <w:t>parashikuar</w:t>
            </w:r>
          </w:p>
        </w:tc>
        <w:tc>
          <w:tcPr>
            <w:tcW w:w="1599" w:type="dxa"/>
            <w:tcBorders>
              <w:bottom w:val="single" w:sz="12" w:space="0" w:color="DAD5B1"/>
            </w:tcBorders>
            <w:shd w:val="clear" w:color="auto" w:fill="F9DFC2"/>
          </w:tcPr>
          <w:p>
            <w:pPr>
              <w:pStyle w:val="TableParagraph"/>
              <w:spacing w:line="259" w:lineRule="auto"/>
              <w:ind w:left="335" w:firstLine="108"/>
              <w:rPr>
                <w:b/>
                <w:sz w:val="20"/>
              </w:rPr>
            </w:pPr>
            <w:r>
              <w:rPr>
                <w:b/>
                <w:sz w:val="20"/>
              </w:rPr>
              <w:t>Burimi i </w:t>
            </w:r>
            <w:r>
              <w:rPr>
                <w:b/>
                <w:spacing w:val="-2"/>
                <w:sz w:val="20"/>
              </w:rPr>
              <w:t>Financimit</w:t>
            </w:r>
          </w:p>
        </w:tc>
      </w:tr>
      <w:tr>
        <w:trPr>
          <w:trHeight w:val="1253" w:hRule="atLeast"/>
        </w:trPr>
        <w:tc>
          <w:tcPr>
            <w:tcW w:w="1255" w:type="dxa"/>
            <w:vMerge w:val="restart"/>
            <w:tcBorders>
              <w:top w:val="single" w:sz="12" w:space="0" w:color="DAD5B1"/>
            </w:tcBorders>
            <w:textDirection w:val="btLr"/>
          </w:tcPr>
          <w:p>
            <w:pPr>
              <w:pStyle w:val="TableParagraph"/>
              <w:rPr>
                <w:b/>
                <w:sz w:val="22"/>
              </w:rPr>
            </w:pPr>
          </w:p>
          <w:p>
            <w:pPr>
              <w:pStyle w:val="TableParagraph"/>
              <w:tabs>
                <w:tab w:pos="497" w:val="left" w:leader="none"/>
              </w:tabs>
              <w:spacing w:before="129"/>
              <w:ind w:left="137"/>
              <w:rPr>
                <w:b/>
                <w:sz w:val="20"/>
              </w:rPr>
            </w:pPr>
            <w:r>
              <w:rPr>
                <w:b/>
                <w:spacing w:val="-5"/>
                <w:sz w:val="20"/>
              </w:rPr>
              <w:t>4.</w:t>
            </w:r>
            <w:r>
              <w:rPr>
                <w:b/>
                <w:sz w:val="20"/>
              </w:rPr>
              <w:tab/>
              <w:t>Përmirësimi</w:t>
            </w:r>
            <w:r>
              <w:rPr>
                <w:b/>
                <w:spacing w:val="-5"/>
                <w:sz w:val="20"/>
              </w:rPr>
              <w:t> </w:t>
            </w:r>
            <w:r>
              <w:rPr>
                <w:b/>
                <w:sz w:val="20"/>
              </w:rPr>
              <w:t>I</w:t>
            </w:r>
            <w:r>
              <w:rPr>
                <w:b/>
                <w:spacing w:val="-1"/>
                <w:sz w:val="20"/>
              </w:rPr>
              <w:t> </w:t>
            </w:r>
            <w:r>
              <w:rPr>
                <w:b/>
                <w:sz w:val="20"/>
              </w:rPr>
              <w:t>cilësisë</w:t>
            </w:r>
            <w:r>
              <w:rPr>
                <w:b/>
                <w:spacing w:val="-2"/>
                <w:sz w:val="20"/>
              </w:rPr>
              <w:t> </w:t>
            </w:r>
            <w:r>
              <w:rPr>
                <w:b/>
                <w:sz w:val="20"/>
              </w:rPr>
              <w:t>së</w:t>
            </w:r>
            <w:r>
              <w:rPr>
                <w:b/>
                <w:spacing w:val="-1"/>
                <w:sz w:val="20"/>
              </w:rPr>
              <w:t> </w:t>
            </w:r>
            <w:r>
              <w:rPr>
                <w:b/>
                <w:sz w:val="20"/>
              </w:rPr>
              <w:t>shërbimeve</w:t>
            </w:r>
            <w:r>
              <w:rPr>
                <w:b/>
                <w:spacing w:val="-1"/>
                <w:sz w:val="20"/>
              </w:rPr>
              <w:t> </w:t>
            </w:r>
            <w:r>
              <w:rPr>
                <w:b/>
                <w:spacing w:val="-2"/>
                <w:sz w:val="20"/>
              </w:rPr>
              <w:t>shëndetësore</w:t>
            </w:r>
          </w:p>
        </w:tc>
        <w:tc>
          <w:tcPr>
            <w:tcW w:w="2424" w:type="dxa"/>
            <w:vMerge w:val="restart"/>
            <w:tcBorders>
              <w:top w:val="single" w:sz="12" w:space="0" w:color="DAD5B1"/>
            </w:tcBorders>
          </w:tcPr>
          <w:p>
            <w:pPr>
              <w:pStyle w:val="TableParagraph"/>
              <w:spacing w:before="1"/>
              <w:rPr>
                <w:b/>
                <w:sz w:val="21"/>
              </w:rPr>
            </w:pPr>
          </w:p>
          <w:p>
            <w:pPr>
              <w:pStyle w:val="TableParagraph"/>
              <w:numPr>
                <w:ilvl w:val="0"/>
                <w:numId w:val="19"/>
              </w:numPr>
              <w:tabs>
                <w:tab w:pos="964" w:val="left" w:leader="none"/>
              </w:tabs>
              <w:spacing w:line="223" w:lineRule="auto" w:before="0" w:after="0"/>
              <w:ind w:left="1055" w:right="231" w:hanging="452"/>
              <w:jc w:val="left"/>
              <w:rPr>
                <w:sz w:val="20"/>
              </w:rPr>
            </w:pPr>
            <w:r>
              <w:rPr>
                <w:sz w:val="20"/>
              </w:rPr>
              <w:t>Rritje</w:t>
            </w:r>
            <w:r>
              <w:rPr>
                <w:spacing w:val="-13"/>
                <w:sz w:val="20"/>
              </w:rPr>
              <w:t> </w:t>
            </w:r>
            <w:r>
              <w:rPr>
                <w:sz w:val="20"/>
              </w:rPr>
              <w:t>kushteve </w:t>
            </w:r>
            <w:r>
              <w:rPr>
                <w:spacing w:val="-2"/>
                <w:sz w:val="20"/>
              </w:rPr>
              <w:t>shëndetësore</w:t>
            </w:r>
          </w:p>
          <w:p>
            <w:pPr>
              <w:pStyle w:val="TableParagraph"/>
              <w:numPr>
                <w:ilvl w:val="1"/>
                <w:numId w:val="19"/>
              </w:numPr>
              <w:tabs>
                <w:tab w:pos="1164" w:val="left" w:leader="none"/>
              </w:tabs>
              <w:spacing w:line="235" w:lineRule="auto" w:before="7" w:after="0"/>
              <w:ind w:left="958" w:right="226" w:hanging="156"/>
              <w:jc w:val="left"/>
              <w:rPr>
                <w:sz w:val="20"/>
              </w:rPr>
            </w:pPr>
            <w:r>
              <w:rPr>
                <w:sz w:val="20"/>
              </w:rPr>
              <w:t>Sigurimi I hapsirave</w:t>
            </w:r>
            <w:r>
              <w:rPr>
                <w:spacing w:val="-13"/>
                <w:sz w:val="20"/>
              </w:rPr>
              <w:t> </w:t>
            </w:r>
            <w:r>
              <w:rPr>
                <w:sz w:val="20"/>
              </w:rPr>
              <w:t>sipas standarteve të përcaktuara</w:t>
            </w:r>
            <w:r>
              <w:rPr>
                <w:spacing w:val="-13"/>
                <w:sz w:val="20"/>
              </w:rPr>
              <w:t> </w:t>
            </w:r>
            <w:r>
              <w:rPr>
                <w:sz w:val="20"/>
              </w:rPr>
              <w:t>me</w:t>
            </w:r>
          </w:p>
          <w:p>
            <w:pPr>
              <w:pStyle w:val="TableParagraph"/>
              <w:ind w:left="1016" w:right="167" w:firstLine="188"/>
              <w:rPr>
                <w:sz w:val="20"/>
              </w:rPr>
            </w:pPr>
            <w:r>
              <w:rPr>
                <w:spacing w:val="-2"/>
                <w:sz w:val="20"/>
              </w:rPr>
              <w:t>Udhëzim Administrativ</w:t>
            </w:r>
          </w:p>
          <w:p>
            <w:pPr>
              <w:pStyle w:val="TableParagraph"/>
              <w:spacing w:before="9"/>
              <w:rPr>
                <w:b/>
                <w:sz w:val="20"/>
              </w:rPr>
            </w:pPr>
          </w:p>
          <w:p>
            <w:pPr>
              <w:pStyle w:val="TableParagraph"/>
              <w:numPr>
                <w:ilvl w:val="1"/>
                <w:numId w:val="19"/>
              </w:numPr>
              <w:tabs>
                <w:tab w:pos="1164" w:val="left" w:leader="none"/>
              </w:tabs>
              <w:spacing w:line="223" w:lineRule="auto" w:before="0" w:after="0"/>
              <w:ind w:left="1091" w:right="359" w:hanging="289"/>
              <w:jc w:val="left"/>
              <w:rPr>
                <w:sz w:val="20"/>
              </w:rPr>
            </w:pPr>
            <w:r>
              <w:rPr/>
              <w:tab/>
            </w:r>
            <w:r>
              <w:rPr>
                <w:sz w:val="20"/>
              </w:rPr>
              <w:t>Sigurimi I hapsirave</w:t>
            </w:r>
            <w:r>
              <w:rPr>
                <w:spacing w:val="-3"/>
                <w:sz w:val="20"/>
              </w:rPr>
              <w:t> </w:t>
            </w:r>
            <w:r>
              <w:rPr>
                <w:spacing w:val="-5"/>
                <w:sz w:val="20"/>
              </w:rPr>
              <w:t>të</w:t>
            </w:r>
          </w:p>
          <w:p>
            <w:pPr>
              <w:pStyle w:val="TableParagraph"/>
              <w:spacing w:before="4"/>
              <w:ind w:left="921" w:right="167" w:hanging="20"/>
              <w:rPr>
                <w:sz w:val="20"/>
              </w:rPr>
            </w:pPr>
            <w:r>
              <w:rPr>
                <w:sz w:val="20"/>
              </w:rPr>
              <w:t>mjaftueshme</w:t>
            </w:r>
            <w:r>
              <w:rPr>
                <w:spacing w:val="-13"/>
                <w:sz w:val="20"/>
              </w:rPr>
              <w:t> </w:t>
            </w:r>
            <w:r>
              <w:rPr>
                <w:sz w:val="20"/>
              </w:rPr>
              <w:t>për punë më </w:t>
            </w:r>
            <w:r>
              <w:rPr>
                <w:spacing w:val="-2"/>
                <w:sz w:val="20"/>
              </w:rPr>
              <w:t>efikase</w:t>
            </w:r>
          </w:p>
        </w:tc>
        <w:tc>
          <w:tcPr>
            <w:tcW w:w="3826" w:type="dxa"/>
            <w:tcBorders>
              <w:top w:val="single" w:sz="12" w:space="0" w:color="DAD5B1"/>
            </w:tcBorders>
          </w:tcPr>
          <w:p>
            <w:pPr>
              <w:pStyle w:val="TableParagraph"/>
              <w:ind w:left="919" w:hanging="674"/>
              <w:rPr>
                <w:sz w:val="20"/>
              </w:rPr>
            </w:pPr>
            <w:r>
              <w:rPr>
                <w:sz w:val="20"/>
              </w:rPr>
              <w:t>Fushata</w:t>
            </w:r>
            <w:r>
              <w:rPr>
                <w:spacing w:val="-10"/>
                <w:sz w:val="20"/>
              </w:rPr>
              <w:t> </w:t>
            </w:r>
            <w:r>
              <w:rPr>
                <w:sz w:val="20"/>
              </w:rPr>
              <w:t>sensibilizuese</w:t>
            </w:r>
            <w:r>
              <w:rPr>
                <w:spacing w:val="-10"/>
                <w:sz w:val="20"/>
              </w:rPr>
              <w:t> </w:t>
            </w:r>
            <w:r>
              <w:rPr>
                <w:sz w:val="20"/>
              </w:rPr>
              <w:t>për</w:t>
            </w:r>
            <w:r>
              <w:rPr>
                <w:spacing w:val="-10"/>
                <w:sz w:val="20"/>
              </w:rPr>
              <w:t> </w:t>
            </w:r>
            <w:r>
              <w:rPr>
                <w:sz w:val="20"/>
              </w:rPr>
              <w:t>parandalimin</w:t>
            </w:r>
            <w:r>
              <w:rPr>
                <w:spacing w:val="-10"/>
                <w:sz w:val="20"/>
              </w:rPr>
              <w:t> </w:t>
            </w:r>
            <w:r>
              <w:rPr>
                <w:sz w:val="20"/>
              </w:rPr>
              <w:t>e sëmundjeve të ndryshme</w:t>
            </w:r>
          </w:p>
        </w:tc>
        <w:tc>
          <w:tcPr>
            <w:tcW w:w="1795" w:type="dxa"/>
            <w:tcBorders>
              <w:top w:val="single" w:sz="12" w:space="0" w:color="DAD5B1"/>
            </w:tcBorders>
          </w:tcPr>
          <w:p>
            <w:pPr>
              <w:pStyle w:val="TableParagraph"/>
              <w:rPr>
                <w:b/>
                <w:sz w:val="20"/>
              </w:rPr>
            </w:pPr>
          </w:p>
          <w:p>
            <w:pPr>
              <w:pStyle w:val="TableParagraph"/>
              <w:spacing w:before="1"/>
              <w:ind w:left="142" w:right="129" w:firstLine="2"/>
              <w:jc w:val="center"/>
              <w:rPr>
                <w:sz w:val="20"/>
              </w:rPr>
            </w:pPr>
            <w:r>
              <w:rPr>
                <w:sz w:val="20"/>
              </w:rPr>
              <w:t>Drejtoria e Shëndetësisë dhe Mirëqenie</w:t>
            </w:r>
            <w:r>
              <w:rPr>
                <w:spacing w:val="-13"/>
                <w:sz w:val="20"/>
              </w:rPr>
              <w:t> </w:t>
            </w:r>
            <w:r>
              <w:rPr>
                <w:sz w:val="20"/>
              </w:rPr>
              <w:t>Sociale, OJQ të ndryshme</w:t>
            </w:r>
          </w:p>
        </w:tc>
        <w:tc>
          <w:tcPr>
            <w:tcW w:w="1883" w:type="dxa"/>
            <w:tcBorders>
              <w:top w:val="single" w:sz="12" w:space="0" w:color="DAD5B1"/>
            </w:tcBorders>
          </w:tcPr>
          <w:p>
            <w:pPr>
              <w:pStyle w:val="TableParagraph"/>
              <w:rPr>
                <w:b/>
                <w:sz w:val="20"/>
              </w:rPr>
            </w:pPr>
          </w:p>
          <w:p>
            <w:pPr>
              <w:pStyle w:val="TableParagraph"/>
              <w:spacing w:before="1"/>
              <w:ind w:left="259" w:right="244"/>
              <w:jc w:val="center"/>
              <w:rPr>
                <w:sz w:val="20"/>
              </w:rPr>
            </w:pPr>
            <w:r>
              <w:rPr>
                <w:spacing w:val="-2"/>
                <w:sz w:val="20"/>
              </w:rPr>
              <w:t>2023-</w:t>
            </w:r>
            <w:r>
              <w:rPr>
                <w:spacing w:val="-4"/>
                <w:sz w:val="20"/>
              </w:rPr>
              <w:t>2027</w:t>
            </w:r>
          </w:p>
        </w:tc>
        <w:tc>
          <w:tcPr>
            <w:tcW w:w="1822" w:type="dxa"/>
            <w:tcBorders>
              <w:top w:val="single" w:sz="12" w:space="0" w:color="DAD5B1"/>
            </w:tcBorders>
          </w:tcPr>
          <w:p>
            <w:pPr>
              <w:pStyle w:val="TableParagraph"/>
              <w:rPr>
                <w:b/>
                <w:sz w:val="20"/>
              </w:rPr>
            </w:pPr>
          </w:p>
          <w:p>
            <w:pPr>
              <w:pStyle w:val="TableParagraph"/>
              <w:spacing w:before="1"/>
              <w:ind w:left="488"/>
              <w:rPr>
                <w:sz w:val="20"/>
              </w:rPr>
            </w:pPr>
            <w:r>
              <w:rPr>
                <w:sz w:val="20"/>
              </w:rPr>
              <w:t>5,000.00</w:t>
            </w:r>
            <w:r>
              <w:rPr>
                <w:spacing w:val="-3"/>
                <w:sz w:val="20"/>
              </w:rPr>
              <w:t> </w:t>
            </w:r>
            <w:r>
              <w:rPr>
                <w:spacing w:val="-10"/>
                <w:sz w:val="20"/>
              </w:rPr>
              <w:t>€</w:t>
            </w:r>
          </w:p>
        </w:tc>
        <w:tc>
          <w:tcPr>
            <w:tcW w:w="1599" w:type="dxa"/>
            <w:tcBorders>
              <w:top w:val="single" w:sz="12" w:space="0" w:color="DAD5B1"/>
            </w:tcBorders>
          </w:tcPr>
          <w:p>
            <w:pPr>
              <w:pStyle w:val="TableParagraph"/>
              <w:rPr>
                <w:b/>
                <w:sz w:val="20"/>
              </w:rPr>
            </w:pPr>
          </w:p>
          <w:p>
            <w:pPr>
              <w:pStyle w:val="TableParagraph"/>
              <w:spacing w:before="1"/>
              <w:ind w:right="280"/>
              <w:jc w:val="right"/>
              <w:rPr>
                <w:sz w:val="20"/>
              </w:rPr>
            </w:pPr>
            <w:r>
              <w:rPr>
                <w:sz w:val="20"/>
              </w:rPr>
              <w:t>Komuna</w:t>
            </w:r>
            <w:r>
              <w:rPr>
                <w:spacing w:val="-1"/>
                <w:sz w:val="20"/>
              </w:rPr>
              <w:t> </w:t>
            </w:r>
            <w:r>
              <w:rPr>
                <w:spacing w:val="-5"/>
                <w:sz w:val="20"/>
              </w:rPr>
              <w:t>HE</w:t>
            </w:r>
          </w:p>
        </w:tc>
      </w:tr>
      <w:tr>
        <w:trPr>
          <w:trHeight w:val="753" w:hRule="atLeast"/>
        </w:trPr>
        <w:tc>
          <w:tcPr>
            <w:tcW w:w="1255" w:type="dxa"/>
            <w:vMerge/>
            <w:tcBorders>
              <w:top w:val="nil"/>
            </w:tcBorders>
            <w:textDirection w:val="btLr"/>
          </w:tcPr>
          <w:p>
            <w:pPr>
              <w:rPr>
                <w:sz w:val="2"/>
                <w:szCs w:val="2"/>
              </w:rPr>
            </w:pPr>
          </w:p>
        </w:tc>
        <w:tc>
          <w:tcPr>
            <w:tcW w:w="2424" w:type="dxa"/>
            <w:vMerge/>
            <w:tcBorders>
              <w:top w:val="nil"/>
            </w:tcBorders>
          </w:tcPr>
          <w:p>
            <w:pPr>
              <w:rPr>
                <w:sz w:val="2"/>
                <w:szCs w:val="2"/>
              </w:rPr>
            </w:pPr>
          </w:p>
        </w:tc>
        <w:tc>
          <w:tcPr>
            <w:tcW w:w="3826" w:type="dxa"/>
          </w:tcPr>
          <w:p>
            <w:pPr>
              <w:pStyle w:val="TableParagraph"/>
              <w:ind w:left="1442" w:hanging="1107"/>
              <w:rPr>
                <w:sz w:val="20"/>
              </w:rPr>
            </w:pPr>
            <w:r>
              <w:rPr>
                <w:sz w:val="20"/>
              </w:rPr>
              <w:t>Shtim</w:t>
            </w:r>
            <w:r>
              <w:rPr>
                <w:spacing w:val="-6"/>
                <w:sz w:val="20"/>
              </w:rPr>
              <w:t> </w:t>
            </w:r>
            <w:r>
              <w:rPr>
                <w:sz w:val="20"/>
              </w:rPr>
              <w:t>i</w:t>
            </w:r>
            <w:r>
              <w:rPr>
                <w:spacing w:val="-6"/>
                <w:sz w:val="20"/>
              </w:rPr>
              <w:t> </w:t>
            </w:r>
            <w:r>
              <w:rPr>
                <w:sz w:val="20"/>
              </w:rPr>
              <w:t>stafit</w:t>
            </w:r>
            <w:r>
              <w:rPr>
                <w:spacing w:val="-7"/>
                <w:sz w:val="20"/>
              </w:rPr>
              <w:t> </w:t>
            </w:r>
            <w:r>
              <w:rPr>
                <w:sz w:val="20"/>
              </w:rPr>
              <w:t>të</w:t>
            </w:r>
            <w:r>
              <w:rPr>
                <w:spacing w:val="-8"/>
                <w:sz w:val="20"/>
              </w:rPr>
              <w:t> </w:t>
            </w:r>
            <w:r>
              <w:rPr>
                <w:sz w:val="20"/>
              </w:rPr>
              <w:t>paraparë</w:t>
            </w:r>
            <w:r>
              <w:rPr>
                <w:spacing w:val="-5"/>
                <w:sz w:val="20"/>
              </w:rPr>
              <w:t> </w:t>
            </w:r>
            <w:r>
              <w:rPr>
                <w:sz w:val="20"/>
              </w:rPr>
              <w:t>sipas</w:t>
            </w:r>
            <w:r>
              <w:rPr>
                <w:spacing w:val="-7"/>
                <w:sz w:val="20"/>
              </w:rPr>
              <w:t> </w:t>
            </w:r>
            <w:r>
              <w:rPr>
                <w:sz w:val="20"/>
              </w:rPr>
              <w:t>udhëzimit </w:t>
            </w:r>
            <w:r>
              <w:rPr>
                <w:spacing w:val="-2"/>
                <w:sz w:val="20"/>
              </w:rPr>
              <w:t>administrativ</w:t>
            </w:r>
          </w:p>
        </w:tc>
        <w:tc>
          <w:tcPr>
            <w:tcW w:w="1795" w:type="dxa"/>
          </w:tcPr>
          <w:p>
            <w:pPr>
              <w:pStyle w:val="TableParagraph"/>
              <w:rPr>
                <w:b/>
                <w:sz w:val="20"/>
              </w:rPr>
            </w:pPr>
          </w:p>
          <w:p>
            <w:pPr>
              <w:pStyle w:val="TableParagraph"/>
              <w:ind w:left="382" w:right="239" w:firstLine="55"/>
              <w:rPr>
                <w:sz w:val="20"/>
              </w:rPr>
            </w:pPr>
            <w:r>
              <w:rPr>
                <w:sz w:val="20"/>
              </w:rPr>
              <w:t>Ministria</w:t>
            </w:r>
            <w:r>
              <w:rPr>
                <w:spacing w:val="40"/>
                <w:sz w:val="20"/>
              </w:rPr>
              <w:t> </w:t>
            </w:r>
            <w:r>
              <w:rPr>
                <w:sz w:val="20"/>
              </w:rPr>
              <w:t>e </w:t>
            </w:r>
            <w:r>
              <w:rPr>
                <w:spacing w:val="-2"/>
                <w:sz w:val="20"/>
              </w:rPr>
              <w:t>Shëndetësisë</w:t>
            </w:r>
          </w:p>
        </w:tc>
        <w:tc>
          <w:tcPr>
            <w:tcW w:w="1883" w:type="dxa"/>
          </w:tcPr>
          <w:p>
            <w:pPr>
              <w:pStyle w:val="TableParagraph"/>
              <w:rPr>
                <w:b/>
                <w:sz w:val="20"/>
              </w:rPr>
            </w:pPr>
          </w:p>
          <w:p>
            <w:pPr>
              <w:pStyle w:val="TableParagraph"/>
              <w:ind w:left="259" w:right="244"/>
              <w:jc w:val="center"/>
              <w:rPr>
                <w:sz w:val="20"/>
              </w:rPr>
            </w:pPr>
            <w:r>
              <w:rPr>
                <w:spacing w:val="-2"/>
                <w:sz w:val="20"/>
              </w:rPr>
              <w:t>2024-</w:t>
            </w:r>
            <w:r>
              <w:rPr>
                <w:spacing w:val="-4"/>
                <w:sz w:val="20"/>
              </w:rPr>
              <w:t>2025</w:t>
            </w:r>
          </w:p>
        </w:tc>
        <w:tc>
          <w:tcPr>
            <w:tcW w:w="1822" w:type="dxa"/>
          </w:tcPr>
          <w:p>
            <w:pPr>
              <w:pStyle w:val="TableParagraph"/>
              <w:rPr>
                <w:sz w:val="20"/>
              </w:rPr>
            </w:pPr>
          </w:p>
        </w:tc>
        <w:tc>
          <w:tcPr>
            <w:tcW w:w="1599" w:type="dxa"/>
          </w:tcPr>
          <w:p>
            <w:pPr>
              <w:pStyle w:val="TableParagraph"/>
              <w:rPr>
                <w:b/>
                <w:sz w:val="20"/>
              </w:rPr>
            </w:pPr>
          </w:p>
          <w:p>
            <w:pPr>
              <w:pStyle w:val="TableParagraph"/>
              <w:ind w:left="285" w:firstLine="55"/>
              <w:rPr>
                <w:sz w:val="20"/>
              </w:rPr>
            </w:pPr>
            <w:r>
              <w:rPr>
                <w:sz w:val="20"/>
              </w:rPr>
              <w:t>Ministria</w:t>
            </w:r>
            <w:r>
              <w:rPr>
                <w:spacing w:val="40"/>
                <w:sz w:val="20"/>
              </w:rPr>
              <w:t> </w:t>
            </w:r>
            <w:r>
              <w:rPr>
                <w:sz w:val="20"/>
              </w:rPr>
              <w:t>e </w:t>
            </w:r>
            <w:r>
              <w:rPr>
                <w:spacing w:val="-2"/>
                <w:sz w:val="20"/>
              </w:rPr>
              <w:t>Shëndetësisë</w:t>
            </w:r>
          </w:p>
        </w:tc>
      </w:tr>
      <w:tr>
        <w:trPr>
          <w:trHeight w:val="919" w:hRule="atLeast"/>
        </w:trPr>
        <w:tc>
          <w:tcPr>
            <w:tcW w:w="1255" w:type="dxa"/>
            <w:vMerge/>
            <w:tcBorders>
              <w:top w:val="nil"/>
            </w:tcBorders>
            <w:textDirection w:val="btLr"/>
          </w:tcPr>
          <w:p>
            <w:pPr>
              <w:rPr>
                <w:sz w:val="2"/>
                <w:szCs w:val="2"/>
              </w:rPr>
            </w:pPr>
          </w:p>
        </w:tc>
        <w:tc>
          <w:tcPr>
            <w:tcW w:w="2424" w:type="dxa"/>
            <w:vMerge/>
            <w:tcBorders>
              <w:top w:val="nil"/>
            </w:tcBorders>
          </w:tcPr>
          <w:p>
            <w:pPr>
              <w:rPr>
                <w:sz w:val="2"/>
                <w:szCs w:val="2"/>
              </w:rPr>
            </w:pPr>
          </w:p>
        </w:tc>
        <w:tc>
          <w:tcPr>
            <w:tcW w:w="3826" w:type="dxa"/>
          </w:tcPr>
          <w:p>
            <w:pPr>
              <w:pStyle w:val="TableParagraph"/>
              <w:ind w:left="240" w:right="116"/>
              <w:jc w:val="center"/>
              <w:rPr>
                <w:sz w:val="20"/>
              </w:rPr>
            </w:pPr>
            <w:r>
              <w:rPr>
                <w:sz w:val="20"/>
              </w:rPr>
              <w:t>Rifunksinalizimi</w:t>
            </w:r>
            <w:r>
              <w:rPr>
                <w:spacing w:val="-3"/>
                <w:sz w:val="20"/>
              </w:rPr>
              <w:t> </w:t>
            </w:r>
            <w:r>
              <w:rPr>
                <w:sz w:val="20"/>
              </w:rPr>
              <w:t>i</w:t>
            </w:r>
            <w:r>
              <w:rPr>
                <w:spacing w:val="-2"/>
                <w:sz w:val="20"/>
              </w:rPr>
              <w:t> </w:t>
            </w:r>
            <w:r>
              <w:rPr>
                <w:sz w:val="20"/>
              </w:rPr>
              <w:t>sektoir</w:t>
            </w:r>
            <w:r>
              <w:rPr>
                <w:spacing w:val="-1"/>
                <w:sz w:val="20"/>
              </w:rPr>
              <w:t> </w:t>
            </w:r>
            <w:r>
              <w:rPr>
                <w:sz w:val="20"/>
              </w:rPr>
              <w:t>të</w:t>
            </w:r>
            <w:r>
              <w:rPr>
                <w:spacing w:val="-3"/>
                <w:sz w:val="20"/>
              </w:rPr>
              <w:t> </w:t>
            </w:r>
            <w:r>
              <w:rPr>
                <w:spacing w:val="-2"/>
                <w:sz w:val="20"/>
              </w:rPr>
              <w:t>stomatologjisë</w:t>
            </w:r>
          </w:p>
        </w:tc>
        <w:tc>
          <w:tcPr>
            <w:tcW w:w="1795" w:type="dxa"/>
          </w:tcPr>
          <w:p>
            <w:pPr>
              <w:pStyle w:val="TableParagraph"/>
              <w:ind w:left="142" w:right="129" w:firstLine="2"/>
              <w:jc w:val="center"/>
              <w:rPr>
                <w:sz w:val="20"/>
              </w:rPr>
            </w:pPr>
            <w:r>
              <w:rPr>
                <w:sz w:val="20"/>
              </w:rPr>
              <w:t>Drejtoria e Shëndetësisë dhe Mirëqenie</w:t>
            </w:r>
            <w:r>
              <w:rPr>
                <w:spacing w:val="-4"/>
                <w:sz w:val="20"/>
              </w:rPr>
              <w:t> </w:t>
            </w:r>
            <w:r>
              <w:rPr>
                <w:spacing w:val="-2"/>
                <w:sz w:val="20"/>
              </w:rPr>
              <w:t>Sociale,</w:t>
            </w:r>
          </w:p>
          <w:p>
            <w:pPr>
              <w:pStyle w:val="TableParagraph"/>
              <w:spacing w:line="210" w:lineRule="exact"/>
              <w:ind w:left="186" w:right="174"/>
              <w:jc w:val="center"/>
              <w:rPr>
                <w:sz w:val="20"/>
              </w:rPr>
            </w:pPr>
            <w:r>
              <w:rPr>
                <w:sz w:val="20"/>
              </w:rPr>
              <w:t>OJQ të </w:t>
            </w:r>
            <w:r>
              <w:rPr>
                <w:spacing w:val="-2"/>
                <w:sz w:val="20"/>
              </w:rPr>
              <w:t>ndryshme</w:t>
            </w:r>
          </w:p>
        </w:tc>
        <w:tc>
          <w:tcPr>
            <w:tcW w:w="1883" w:type="dxa"/>
          </w:tcPr>
          <w:p>
            <w:pPr>
              <w:pStyle w:val="TableParagraph"/>
              <w:rPr>
                <w:b/>
                <w:sz w:val="20"/>
              </w:rPr>
            </w:pPr>
          </w:p>
          <w:p>
            <w:pPr>
              <w:pStyle w:val="TableParagraph"/>
              <w:ind w:left="259" w:right="244"/>
              <w:jc w:val="center"/>
              <w:rPr>
                <w:sz w:val="20"/>
              </w:rPr>
            </w:pPr>
            <w:r>
              <w:rPr>
                <w:spacing w:val="-2"/>
                <w:sz w:val="20"/>
              </w:rPr>
              <w:t>2023-</w:t>
            </w:r>
            <w:r>
              <w:rPr>
                <w:spacing w:val="-4"/>
                <w:sz w:val="20"/>
              </w:rPr>
              <w:t>2027</w:t>
            </w:r>
          </w:p>
        </w:tc>
        <w:tc>
          <w:tcPr>
            <w:tcW w:w="1822" w:type="dxa"/>
          </w:tcPr>
          <w:p>
            <w:pPr>
              <w:pStyle w:val="TableParagraph"/>
              <w:rPr>
                <w:b/>
                <w:sz w:val="20"/>
              </w:rPr>
            </w:pPr>
          </w:p>
          <w:p>
            <w:pPr>
              <w:pStyle w:val="TableParagraph"/>
              <w:ind w:left="438"/>
              <w:rPr>
                <w:sz w:val="20"/>
              </w:rPr>
            </w:pPr>
            <w:r>
              <w:rPr>
                <w:sz w:val="20"/>
              </w:rPr>
              <w:t>10,000.00</w:t>
            </w:r>
            <w:r>
              <w:rPr>
                <w:spacing w:val="-1"/>
                <w:sz w:val="20"/>
              </w:rPr>
              <w:t> </w:t>
            </w:r>
            <w:r>
              <w:rPr>
                <w:spacing w:val="-10"/>
                <w:sz w:val="20"/>
              </w:rPr>
              <w:t>€</w:t>
            </w:r>
          </w:p>
        </w:tc>
        <w:tc>
          <w:tcPr>
            <w:tcW w:w="1599" w:type="dxa"/>
          </w:tcPr>
          <w:p>
            <w:pPr>
              <w:pStyle w:val="TableParagraph"/>
              <w:rPr>
                <w:b/>
                <w:sz w:val="22"/>
              </w:rPr>
            </w:pPr>
          </w:p>
          <w:p>
            <w:pPr>
              <w:pStyle w:val="TableParagraph"/>
              <w:spacing w:line="230" w:lineRule="atLeast" w:before="187"/>
              <w:ind w:left="285" w:firstLine="55"/>
              <w:rPr>
                <w:sz w:val="20"/>
              </w:rPr>
            </w:pPr>
            <w:r>
              <w:rPr>
                <w:sz w:val="20"/>
              </w:rPr>
              <w:t>Ministria</w:t>
            </w:r>
            <w:r>
              <w:rPr>
                <w:spacing w:val="40"/>
                <w:sz w:val="20"/>
              </w:rPr>
              <w:t> </w:t>
            </w:r>
            <w:r>
              <w:rPr>
                <w:sz w:val="20"/>
              </w:rPr>
              <w:t>e </w:t>
            </w:r>
            <w:r>
              <w:rPr>
                <w:spacing w:val="-2"/>
                <w:sz w:val="20"/>
              </w:rPr>
              <w:t>Shëndetësisë</w:t>
            </w:r>
          </w:p>
        </w:tc>
      </w:tr>
      <w:tr>
        <w:trPr>
          <w:trHeight w:val="1610" w:hRule="atLeast"/>
        </w:trPr>
        <w:tc>
          <w:tcPr>
            <w:tcW w:w="1255" w:type="dxa"/>
            <w:vMerge/>
            <w:tcBorders>
              <w:top w:val="nil"/>
            </w:tcBorders>
            <w:textDirection w:val="btLr"/>
          </w:tcPr>
          <w:p>
            <w:pPr>
              <w:rPr>
                <w:sz w:val="2"/>
                <w:szCs w:val="2"/>
              </w:rPr>
            </w:pPr>
          </w:p>
        </w:tc>
        <w:tc>
          <w:tcPr>
            <w:tcW w:w="2424" w:type="dxa"/>
            <w:vMerge/>
            <w:tcBorders>
              <w:top w:val="nil"/>
            </w:tcBorders>
          </w:tcPr>
          <w:p>
            <w:pPr>
              <w:rPr>
                <w:sz w:val="2"/>
                <w:szCs w:val="2"/>
              </w:rPr>
            </w:pPr>
          </w:p>
        </w:tc>
        <w:tc>
          <w:tcPr>
            <w:tcW w:w="3826" w:type="dxa"/>
          </w:tcPr>
          <w:p>
            <w:pPr>
              <w:pStyle w:val="TableParagraph"/>
              <w:ind w:left="748" w:hanging="17"/>
              <w:rPr>
                <w:sz w:val="20"/>
              </w:rPr>
            </w:pPr>
            <w:r>
              <w:rPr>
                <w:sz w:val="20"/>
              </w:rPr>
              <w:t>Aktivitete</w:t>
            </w:r>
            <w:r>
              <w:rPr>
                <w:spacing w:val="-9"/>
                <w:sz w:val="20"/>
              </w:rPr>
              <w:t> </w:t>
            </w:r>
            <w:r>
              <w:rPr>
                <w:sz w:val="20"/>
              </w:rPr>
              <w:t>të</w:t>
            </w:r>
            <w:r>
              <w:rPr>
                <w:spacing w:val="-11"/>
                <w:sz w:val="20"/>
              </w:rPr>
              <w:t> </w:t>
            </w:r>
            <w:r>
              <w:rPr>
                <w:sz w:val="20"/>
              </w:rPr>
              <w:t>ndryshme</w:t>
            </w:r>
            <w:r>
              <w:rPr>
                <w:spacing w:val="-10"/>
                <w:sz w:val="20"/>
              </w:rPr>
              <w:t> </w:t>
            </w:r>
            <w:r>
              <w:rPr>
                <w:sz w:val="20"/>
              </w:rPr>
              <w:t>në</w:t>
            </w:r>
            <w:r>
              <w:rPr>
                <w:spacing w:val="-9"/>
                <w:sz w:val="20"/>
              </w:rPr>
              <w:t> </w:t>
            </w:r>
            <w:r>
              <w:rPr>
                <w:sz w:val="20"/>
              </w:rPr>
              <w:t>ditët ndërkombëtare</w:t>
            </w:r>
            <w:r>
              <w:rPr>
                <w:spacing w:val="-4"/>
                <w:sz w:val="20"/>
              </w:rPr>
              <w:t> </w:t>
            </w:r>
            <w:r>
              <w:rPr>
                <w:sz w:val="20"/>
              </w:rPr>
              <w:t>të</w:t>
            </w:r>
            <w:r>
              <w:rPr>
                <w:spacing w:val="-2"/>
                <w:sz w:val="20"/>
              </w:rPr>
              <w:t> shëndetësisë</w:t>
            </w:r>
          </w:p>
        </w:tc>
        <w:tc>
          <w:tcPr>
            <w:tcW w:w="1795" w:type="dxa"/>
          </w:tcPr>
          <w:p>
            <w:pPr>
              <w:pStyle w:val="TableParagraph"/>
              <w:ind w:left="142" w:right="129" w:firstLine="2"/>
              <w:jc w:val="center"/>
              <w:rPr>
                <w:sz w:val="20"/>
              </w:rPr>
            </w:pPr>
            <w:r>
              <w:rPr>
                <w:sz w:val="20"/>
              </w:rPr>
              <w:t>Drejtoria e Shëndetësisë dhe Mirëqenie</w:t>
            </w:r>
            <w:r>
              <w:rPr>
                <w:spacing w:val="-13"/>
                <w:sz w:val="20"/>
              </w:rPr>
              <w:t> </w:t>
            </w:r>
            <w:r>
              <w:rPr>
                <w:sz w:val="20"/>
              </w:rPr>
              <w:t>Sociale, OJQ të ndryshme</w:t>
            </w:r>
          </w:p>
        </w:tc>
        <w:tc>
          <w:tcPr>
            <w:tcW w:w="1883" w:type="dxa"/>
          </w:tcPr>
          <w:p>
            <w:pPr>
              <w:pStyle w:val="TableParagraph"/>
              <w:rPr>
                <w:b/>
                <w:sz w:val="20"/>
              </w:rPr>
            </w:pPr>
          </w:p>
          <w:p>
            <w:pPr>
              <w:pStyle w:val="TableParagraph"/>
              <w:ind w:left="259" w:right="244"/>
              <w:jc w:val="center"/>
              <w:rPr>
                <w:sz w:val="20"/>
              </w:rPr>
            </w:pPr>
            <w:r>
              <w:rPr>
                <w:spacing w:val="-2"/>
                <w:sz w:val="20"/>
              </w:rPr>
              <w:t>2023-</w:t>
            </w:r>
            <w:r>
              <w:rPr>
                <w:spacing w:val="-4"/>
                <w:sz w:val="20"/>
              </w:rPr>
              <w:t>2027</w:t>
            </w:r>
          </w:p>
        </w:tc>
        <w:tc>
          <w:tcPr>
            <w:tcW w:w="1822" w:type="dxa"/>
          </w:tcPr>
          <w:p>
            <w:pPr>
              <w:pStyle w:val="TableParagraph"/>
              <w:rPr>
                <w:b/>
                <w:sz w:val="20"/>
              </w:rPr>
            </w:pPr>
          </w:p>
          <w:p>
            <w:pPr>
              <w:pStyle w:val="TableParagraph"/>
              <w:ind w:left="438"/>
              <w:rPr>
                <w:sz w:val="20"/>
              </w:rPr>
            </w:pPr>
            <w:r>
              <w:rPr>
                <w:sz w:val="20"/>
              </w:rPr>
              <w:t>10,000.00</w:t>
            </w:r>
            <w:r>
              <w:rPr>
                <w:spacing w:val="-1"/>
                <w:sz w:val="20"/>
              </w:rPr>
              <w:t> </w:t>
            </w:r>
            <w:r>
              <w:rPr>
                <w:spacing w:val="-10"/>
                <w:sz w:val="20"/>
              </w:rPr>
              <w:t>€</w:t>
            </w:r>
          </w:p>
        </w:tc>
        <w:tc>
          <w:tcPr>
            <w:tcW w:w="1599" w:type="dxa"/>
          </w:tcPr>
          <w:p>
            <w:pPr>
              <w:pStyle w:val="TableParagraph"/>
              <w:rPr>
                <w:b/>
                <w:sz w:val="20"/>
              </w:rPr>
            </w:pPr>
          </w:p>
          <w:p>
            <w:pPr>
              <w:pStyle w:val="TableParagraph"/>
              <w:ind w:left="112" w:right="95" w:hanging="1"/>
              <w:jc w:val="center"/>
              <w:rPr>
                <w:sz w:val="20"/>
              </w:rPr>
            </w:pPr>
            <w:r>
              <w:rPr>
                <w:sz w:val="20"/>
              </w:rPr>
              <w:t>Ministria</w:t>
            </w:r>
            <w:r>
              <w:rPr>
                <w:spacing w:val="40"/>
                <w:sz w:val="20"/>
              </w:rPr>
              <w:t> </w:t>
            </w:r>
            <w:r>
              <w:rPr>
                <w:sz w:val="20"/>
              </w:rPr>
              <w:t>e Shëndetësisë</w:t>
            </w:r>
            <w:r>
              <w:rPr>
                <w:spacing w:val="-13"/>
                <w:sz w:val="20"/>
              </w:rPr>
              <w:t> </w:t>
            </w:r>
            <w:r>
              <w:rPr>
                <w:sz w:val="20"/>
              </w:rPr>
              <w:t>dhe </w:t>
            </w:r>
            <w:r>
              <w:rPr>
                <w:spacing w:val="-2"/>
                <w:sz w:val="20"/>
              </w:rPr>
              <w:t>Mirëqenies </w:t>
            </w:r>
            <w:r>
              <w:rPr>
                <w:sz w:val="20"/>
              </w:rPr>
              <w:t>Sociale,</w:t>
            </w:r>
            <w:r>
              <w:rPr>
                <w:spacing w:val="-13"/>
                <w:sz w:val="20"/>
              </w:rPr>
              <w:t> </w:t>
            </w:r>
            <w:r>
              <w:rPr>
                <w:sz w:val="20"/>
              </w:rPr>
              <w:t>Komuna HE dhe OJQ</w:t>
            </w:r>
            <w:r>
              <w:rPr>
                <w:spacing w:val="40"/>
                <w:sz w:val="20"/>
              </w:rPr>
              <w:t> </w:t>
            </w:r>
            <w:r>
              <w:rPr>
                <w:sz w:val="20"/>
              </w:rPr>
              <w:t>të</w:t>
            </w:r>
          </w:p>
          <w:p>
            <w:pPr>
              <w:pStyle w:val="TableParagraph"/>
              <w:spacing w:line="210" w:lineRule="exact"/>
              <w:ind w:left="372" w:right="356"/>
              <w:jc w:val="center"/>
              <w:rPr>
                <w:sz w:val="20"/>
              </w:rPr>
            </w:pPr>
            <w:r>
              <w:rPr>
                <w:spacing w:val="-2"/>
                <w:sz w:val="20"/>
              </w:rPr>
              <w:t>ndryshme.</w:t>
            </w:r>
          </w:p>
        </w:tc>
      </w:tr>
      <w:tr>
        <w:trPr>
          <w:trHeight w:val="275" w:hRule="atLeast"/>
        </w:trPr>
        <w:tc>
          <w:tcPr>
            <w:tcW w:w="1255" w:type="dxa"/>
            <w:vMerge/>
            <w:tcBorders>
              <w:top w:val="nil"/>
            </w:tcBorders>
            <w:textDirection w:val="btLr"/>
          </w:tcPr>
          <w:p>
            <w:pPr>
              <w:rPr>
                <w:sz w:val="2"/>
                <w:szCs w:val="2"/>
              </w:rPr>
            </w:pPr>
          </w:p>
        </w:tc>
        <w:tc>
          <w:tcPr>
            <w:tcW w:w="2424" w:type="dxa"/>
            <w:vMerge/>
            <w:tcBorders>
              <w:top w:val="nil"/>
            </w:tcBorders>
          </w:tcPr>
          <w:p>
            <w:pPr>
              <w:rPr>
                <w:sz w:val="2"/>
                <w:szCs w:val="2"/>
              </w:rPr>
            </w:pPr>
          </w:p>
        </w:tc>
        <w:tc>
          <w:tcPr>
            <w:tcW w:w="10925" w:type="dxa"/>
            <w:gridSpan w:val="5"/>
            <w:tcBorders>
              <w:right w:val="nil"/>
            </w:tcBorders>
          </w:tcPr>
          <w:p>
            <w:pPr>
              <w:pStyle w:val="TableParagraph"/>
              <w:rPr>
                <w:sz w:val="20"/>
              </w:rPr>
            </w:pPr>
          </w:p>
        </w:tc>
      </w:tr>
      <w:tr>
        <w:trPr>
          <w:trHeight w:val="753" w:hRule="atLeast"/>
        </w:trPr>
        <w:tc>
          <w:tcPr>
            <w:tcW w:w="1255" w:type="dxa"/>
            <w:vMerge w:val="restart"/>
            <w:textDirection w:val="btLr"/>
          </w:tcPr>
          <w:p>
            <w:pPr>
              <w:pStyle w:val="TableParagraph"/>
              <w:spacing w:line="283" w:lineRule="auto" w:before="110"/>
              <w:ind w:left="219" w:right="220" w:firstLine="2"/>
              <w:jc w:val="center"/>
              <w:rPr>
                <w:b/>
                <w:sz w:val="20"/>
              </w:rPr>
            </w:pPr>
            <w:r>
              <w:rPr>
                <w:b/>
                <w:sz w:val="20"/>
              </w:rPr>
              <w:t>Shërime të përmirësuara në shërbimet</w:t>
            </w:r>
            <w:r>
              <w:rPr>
                <w:b/>
                <w:spacing w:val="-2"/>
                <w:sz w:val="20"/>
              </w:rPr>
              <w:t> </w:t>
            </w:r>
            <w:r>
              <w:rPr>
                <w:b/>
                <w:spacing w:val="-2"/>
                <w:sz w:val="20"/>
              </w:rPr>
              <w:t>sociale</w:t>
            </w:r>
          </w:p>
        </w:tc>
        <w:tc>
          <w:tcPr>
            <w:tcW w:w="2424" w:type="dxa"/>
            <w:vMerge w:val="restart"/>
          </w:tcPr>
          <w:p>
            <w:pPr>
              <w:pStyle w:val="TableParagraph"/>
              <w:rPr>
                <w:b/>
                <w:sz w:val="20"/>
              </w:rPr>
            </w:pPr>
          </w:p>
          <w:p>
            <w:pPr>
              <w:pStyle w:val="TableParagraph"/>
              <w:ind w:left="314" w:right="301"/>
              <w:jc w:val="center"/>
              <w:rPr>
                <w:sz w:val="20"/>
              </w:rPr>
            </w:pPr>
            <w:r>
              <w:rPr>
                <w:sz w:val="20"/>
              </w:rPr>
              <w:t>Ofrimi</w:t>
            </w:r>
            <w:r>
              <w:rPr>
                <w:spacing w:val="-13"/>
                <w:sz w:val="20"/>
              </w:rPr>
              <w:t> </w:t>
            </w:r>
            <w:r>
              <w:rPr>
                <w:sz w:val="20"/>
              </w:rPr>
              <w:t>kushteve</w:t>
            </w:r>
            <w:r>
              <w:rPr>
                <w:spacing w:val="-11"/>
                <w:sz w:val="20"/>
              </w:rPr>
              <w:t> </w:t>
            </w:r>
            <w:r>
              <w:rPr>
                <w:sz w:val="20"/>
              </w:rPr>
              <w:t>më</w:t>
            </w:r>
            <w:r>
              <w:rPr>
                <w:spacing w:val="-12"/>
                <w:sz w:val="20"/>
              </w:rPr>
              <w:t> </w:t>
            </w:r>
            <w:r>
              <w:rPr>
                <w:sz w:val="20"/>
              </w:rPr>
              <w:t>të mira për banim social</w:t>
            </w:r>
          </w:p>
          <w:p>
            <w:pPr>
              <w:pStyle w:val="TableParagraph"/>
              <w:rPr>
                <w:b/>
                <w:sz w:val="20"/>
              </w:rPr>
            </w:pPr>
          </w:p>
          <w:p>
            <w:pPr>
              <w:pStyle w:val="TableParagraph"/>
              <w:ind w:left="156" w:right="144"/>
              <w:jc w:val="center"/>
              <w:rPr>
                <w:sz w:val="20"/>
              </w:rPr>
            </w:pPr>
            <w:r>
              <w:rPr>
                <w:sz w:val="20"/>
              </w:rPr>
              <w:t>Vetëdijesim</w:t>
            </w:r>
            <w:r>
              <w:rPr>
                <w:spacing w:val="-13"/>
                <w:sz w:val="20"/>
              </w:rPr>
              <w:t> </w:t>
            </w:r>
            <w:r>
              <w:rPr>
                <w:sz w:val="20"/>
              </w:rPr>
              <w:t>për</w:t>
            </w:r>
            <w:r>
              <w:rPr>
                <w:spacing w:val="-12"/>
                <w:sz w:val="20"/>
              </w:rPr>
              <w:t> </w:t>
            </w:r>
            <w:r>
              <w:rPr>
                <w:sz w:val="20"/>
              </w:rPr>
              <w:t>shërbimet </w:t>
            </w:r>
            <w:r>
              <w:rPr>
                <w:spacing w:val="-2"/>
                <w:sz w:val="20"/>
              </w:rPr>
              <w:t>sociale</w:t>
            </w:r>
          </w:p>
        </w:tc>
        <w:tc>
          <w:tcPr>
            <w:tcW w:w="3826" w:type="dxa"/>
          </w:tcPr>
          <w:p>
            <w:pPr>
              <w:pStyle w:val="TableParagraph"/>
              <w:ind w:left="126" w:right="116"/>
              <w:jc w:val="center"/>
              <w:rPr>
                <w:sz w:val="20"/>
              </w:rPr>
            </w:pPr>
            <w:r>
              <w:rPr>
                <w:sz w:val="20"/>
              </w:rPr>
              <w:t>Hartimi</w:t>
            </w:r>
            <w:r>
              <w:rPr>
                <w:spacing w:val="-1"/>
                <w:sz w:val="20"/>
              </w:rPr>
              <w:t> </w:t>
            </w:r>
            <w:r>
              <w:rPr>
                <w:sz w:val="20"/>
              </w:rPr>
              <w:t>i</w:t>
            </w:r>
            <w:r>
              <w:rPr>
                <w:spacing w:val="-3"/>
                <w:sz w:val="20"/>
              </w:rPr>
              <w:t> </w:t>
            </w:r>
            <w:r>
              <w:rPr>
                <w:sz w:val="20"/>
              </w:rPr>
              <w:t>planit</w:t>
            </w:r>
            <w:r>
              <w:rPr>
                <w:spacing w:val="-1"/>
                <w:sz w:val="20"/>
              </w:rPr>
              <w:t> </w:t>
            </w:r>
            <w:r>
              <w:rPr>
                <w:sz w:val="20"/>
              </w:rPr>
              <w:t>për</w:t>
            </w:r>
            <w:r>
              <w:rPr>
                <w:spacing w:val="-1"/>
                <w:sz w:val="20"/>
              </w:rPr>
              <w:t> </w:t>
            </w:r>
            <w:r>
              <w:rPr>
                <w:sz w:val="20"/>
              </w:rPr>
              <w:t>banim </w:t>
            </w:r>
            <w:r>
              <w:rPr>
                <w:spacing w:val="-2"/>
                <w:sz w:val="20"/>
              </w:rPr>
              <w:t>social</w:t>
            </w:r>
          </w:p>
        </w:tc>
        <w:tc>
          <w:tcPr>
            <w:tcW w:w="1795" w:type="dxa"/>
          </w:tcPr>
          <w:p>
            <w:pPr>
              <w:pStyle w:val="TableParagraph"/>
              <w:ind w:left="129" w:right="116" w:firstLine="1"/>
              <w:jc w:val="center"/>
              <w:rPr>
                <w:sz w:val="20"/>
              </w:rPr>
            </w:pPr>
            <w:r>
              <w:rPr>
                <w:sz w:val="20"/>
              </w:rPr>
              <w:t>Drejtoria e Shëndetësisë dhe Mirëqenies</w:t>
            </w:r>
            <w:r>
              <w:rPr>
                <w:spacing w:val="-5"/>
                <w:sz w:val="20"/>
              </w:rPr>
              <w:t> </w:t>
            </w:r>
            <w:r>
              <w:rPr>
                <w:spacing w:val="-2"/>
                <w:sz w:val="20"/>
              </w:rPr>
              <w:t>Sociale</w:t>
            </w:r>
          </w:p>
        </w:tc>
        <w:tc>
          <w:tcPr>
            <w:tcW w:w="1883" w:type="dxa"/>
          </w:tcPr>
          <w:p>
            <w:pPr>
              <w:pStyle w:val="TableParagraph"/>
              <w:ind w:left="259" w:right="245"/>
              <w:jc w:val="center"/>
              <w:rPr>
                <w:sz w:val="20"/>
              </w:rPr>
            </w:pPr>
            <w:r>
              <w:rPr>
                <w:spacing w:val="-4"/>
                <w:sz w:val="20"/>
              </w:rPr>
              <w:t>2024</w:t>
            </w:r>
          </w:p>
        </w:tc>
        <w:tc>
          <w:tcPr>
            <w:tcW w:w="1822" w:type="dxa"/>
          </w:tcPr>
          <w:p>
            <w:pPr>
              <w:pStyle w:val="TableParagraph"/>
              <w:ind w:left="488"/>
              <w:rPr>
                <w:sz w:val="20"/>
              </w:rPr>
            </w:pPr>
            <w:r>
              <w:rPr>
                <w:sz w:val="20"/>
              </w:rPr>
              <w:t>5,000.00</w:t>
            </w:r>
            <w:r>
              <w:rPr>
                <w:spacing w:val="-3"/>
                <w:sz w:val="20"/>
              </w:rPr>
              <w:t> </w:t>
            </w:r>
            <w:r>
              <w:rPr>
                <w:spacing w:val="-10"/>
                <w:sz w:val="20"/>
              </w:rPr>
              <w:t>€</w:t>
            </w:r>
          </w:p>
        </w:tc>
        <w:tc>
          <w:tcPr>
            <w:tcW w:w="1599" w:type="dxa"/>
          </w:tcPr>
          <w:p>
            <w:pPr>
              <w:pStyle w:val="TableParagraph"/>
              <w:ind w:left="136" w:right="119"/>
              <w:jc w:val="center"/>
              <w:rPr>
                <w:sz w:val="20"/>
              </w:rPr>
            </w:pPr>
            <w:r>
              <w:rPr>
                <w:sz w:val="20"/>
              </w:rPr>
              <w:t>Komuna</w:t>
            </w:r>
            <w:r>
              <w:rPr>
                <w:spacing w:val="-13"/>
                <w:sz w:val="20"/>
              </w:rPr>
              <w:t> </w:t>
            </w:r>
            <w:r>
              <w:rPr>
                <w:sz w:val="20"/>
              </w:rPr>
              <w:t>HE</w:t>
            </w:r>
            <w:r>
              <w:rPr>
                <w:spacing w:val="-12"/>
                <w:sz w:val="20"/>
              </w:rPr>
              <w:t> </w:t>
            </w:r>
            <w:r>
              <w:rPr>
                <w:sz w:val="20"/>
              </w:rPr>
              <w:t>dhe OJQ të</w:t>
            </w:r>
            <w:r>
              <w:rPr>
                <w:spacing w:val="40"/>
                <w:sz w:val="20"/>
              </w:rPr>
              <w:t> </w:t>
            </w:r>
            <w:r>
              <w:rPr>
                <w:spacing w:val="-2"/>
                <w:sz w:val="20"/>
              </w:rPr>
              <w:t>ndryshme</w:t>
            </w:r>
          </w:p>
        </w:tc>
      </w:tr>
      <w:tr>
        <w:trPr>
          <w:trHeight w:val="1150" w:hRule="atLeast"/>
        </w:trPr>
        <w:tc>
          <w:tcPr>
            <w:tcW w:w="1255" w:type="dxa"/>
            <w:vMerge/>
            <w:tcBorders>
              <w:top w:val="nil"/>
            </w:tcBorders>
            <w:textDirection w:val="btLr"/>
          </w:tcPr>
          <w:p>
            <w:pPr>
              <w:rPr>
                <w:sz w:val="2"/>
                <w:szCs w:val="2"/>
              </w:rPr>
            </w:pPr>
          </w:p>
        </w:tc>
        <w:tc>
          <w:tcPr>
            <w:tcW w:w="2424" w:type="dxa"/>
            <w:vMerge/>
            <w:tcBorders>
              <w:top w:val="nil"/>
            </w:tcBorders>
          </w:tcPr>
          <w:p>
            <w:pPr>
              <w:rPr>
                <w:sz w:val="2"/>
                <w:szCs w:val="2"/>
              </w:rPr>
            </w:pPr>
          </w:p>
        </w:tc>
        <w:tc>
          <w:tcPr>
            <w:tcW w:w="3826" w:type="dxa"/>
          </w:tcPr>
          <w:p>
            <w:pPr>
              <w:pStyle w:val="TableParagraph"/>
              <w:ind w:left="755" w:hanging="360"/>
              <w:rPr>
                <w:sz w:val="20"/>
              </w:rPr>
            </w:pPr>
            <w:r>
              <w:rPr>
                <w:sz w:val="20"/>
              </w:rPr>
              <w:t>Aktivitete</w:t>
            </w:r>
            <w:r>
              <w:rPr>
                <w:spacing w:val="-8"/>
                <w:sz w:val="20"/>
              </w:rPr>
              <w:t> </w:t>
            </w:r>
            <w:r>
              <w:rPr>
                <w:sz w:val="20"/>
              </w:rPr>
              <w:t>dhe</w:t>
            </w:r>
            <w:r>
              <w:rPr>
                <w:spacing w:val="-9"/>
                <w:sz w:val="20"/>
              </w:rPr>
              <w:t> </w:t>
            </w:r>
            <w:r>
              <w:rPr>
                <w:sz w:val="20"/>
              </w:rPr>
              <w:t>fushata</w:t>
            </w:r>
            <w:r>
              <w:rPr>
                <w:spacing w:val="-7"/>
                <w:sz w:val="20"/>
              </w:rPr>
              <w:t> </w:t>
            </w:r>
            <w:r>
              <w:rPr>
                <w:sz w:val="20"/>
              </w:rPr>
              <w:t>të</w:t>
            </w:r>
            <w:r>
              <w:rPr>
                <w:spacing w:val="-8"/>
                <w:sz w:val="20"/>
              </w:rPr>
              <w:t> </w:t>
            </w:r>
            <w:r>
              <w:rPr>
                <w:sz w:val="20"/>
              </w:rPr>
              <w:t>ndryshme</w:t>
            </w:r>
            <w:r>
              <w:rPr>
                <w:spacing w:val="-8"/>
                <w:sz w:val="20"/>
              </w:rPr>
              <w:t> </w:t>
            </w:r>
            <w:r>
              <w:rPr>
                <w:sz w:val="20"/>
              </w:rPr>
              <w:t>në kuadër të shërbimeve sociale</w:t>
            </w:r>
          </w:p>
        </w:tc>
        <w:tc>
          <w:tcPr>
            <w:tcW w:w="1795" w:type="dxa"/>
          </w:tcPr>
          <w:p>
            <w:pPr>
              <w:pStyle w:val="TableParagraph"/>
              <w:ind w:left="129" w:right="116" w:firstLine="1"/>
              <w:jc w:val="center"/>
              <w:rPr>
                <w:sz w:val="20"/>
              </w:rPr>
            </w:pPr>
            <w:r>
              <w:rPr>
                <w:sz w:val="20"/>
              </w:rPr>
              <w:t>Drejtoria e Shëndetësisë dhe Mirëqenies</w:t>
            </w:r>
            <w:r>
              <w:rPr>
                <w:spacing w:val="-5"/>
                <w:sz w:val="20"/>
              </w:rPr>
              <w:t> </w:t>
            </w:r>
            <w:r>
              <w:rPr>
                <w:spacing w:val="-2"/>
                <w:sz w:val="20"/>
              </w:rPr>
              <w:t>Sociale</w:t>
            </w:r>
          </w:p>
        </w:tc>
        <w:tc>
          <w:tcPr>
            <w:tcW w:w="1883" w:type="dxa"/>
          </w:tcPr>
          <w:p>
            <w:pPr>
              <w:pStyle w:val="TableParagraph"/>
              <w:ind w:left="259" w:right="244"/>
              <w:jc w:val="center"/>
              <w:rPr>
                <w:sz w:val="20"/>
              </w:rPr>
            </w:pPr>
            <w:r>
              <w:rPr>
                <w:spacing w:val="-2"/>
                <w:sz w:val="20"/>
              </w:rPr>
              <w:t>2023-</w:t>
            </w:r>
            <w:r>
              <w:rPr>
                <w:spacing w:val="-4"/>
                <w:sz w:val="20"/>
              </w:rPr>
              <w:t>2027</w:t>
            </w:r>
          </w:p>
        </w:tc>
        <w:tc>
          <w:tcPr>
            <w:tcW w:w="1822" w:type="dxa"/>
          </w:tcPr>
          <w:p>
            <w:pPr>
              <w:pStyle w:val="TableParagraph"/>
              <w:rPr>
                <w:b/>
                <w:sz w:val="20"/>
              </w:rPr>
            </w:pPr>
          </w:p>
          <w:p>
            <w:pPr>
              <w:pStyle w:val="TableParagraph"/>
              <w:ind w:left="488"/>
              <w:rPr>
                <w:sz w:val="20"/>
              </w:rPr>
            </w:pPr>
            <w:r>
              <w:rPr>
                <w:sz w:val="20"/>
              </w:rPr>
              <w:t>5,000.00</w:t>
            </w:r>
            <w:r>
              <w:rPr>
                <w:spacing w:val="-2"/>
                <w:sz w:val="20"/>
              </w:rPr>
              <w:t> </w:t>
            </w:r>
            <w:r>
              <w:rPr>
                <w:spacing w:val="-10"/>
                <w:sz w:val="20"/>
              </w:rPr>
              <w:t>€</w:t>
            </w:r>
          </w:p>
        </w:tc>
        <w:tc>
          <w:tcPr>
            <w:tcW w:w="1599" w:type="dxa"/>
          </w:tcPr>
          <w:p>
            <w:pPr>
              <w:pStyle w:val="TableParagraph"/>
              <w:rPr>
                <w:b/>
                <w:sz w:val="20"/>
              </w:rPr>
            </w:pPr>
          </w:p>
          <w:p>
            <w:pPr>
              <w:pStyle w:val="TableParagraph"/>
              <w:ind w:right="280"/>
              <w:jc w:val="right"/>
              <w:rPr>
                <w:sz w:val="20"/>
              </w:rPr>
            </w:pPr>
            <w:r>
              <w:rPr>
                <w:sz w:val="20"/>
              </w:rPr>
              <w:t>Komuna</w:t>
            </w:r>
            <w:r>
              <w:rPr>
                <w:spacing w:val="-1"/>
                <w:sz w:val="20"/>
              </w:rPr>
              <w:t> </w:t>
            </w:r>
            <w:r>
              <w:rPr>
                <w:spacing w:val="-5"/>
                <w:sz w:val="20"/>
              </w:rPr>
              <w:t>HE</w:t>
            </w:r>
          </w:p>
        </w:tc>
      </w:tr>
    </w:tbl>
    <w:p>
      <w:pPr>
        <w:spacing w:after="0"/>
        <w:jc w:val="right"/>
        <w:rPr>
          <w:sz w:val="20"/>
        </w:rPr>
        <w:sectPr>
          <w:pgSz w:w="15840" w:h="12240" w:orient="landscape"/>
          <w:pgMar w:header="0" w:footer="990" w:top="1380" w:bottom="1180" w:left="420" w:right="160"/>
        </w:sectPr>
      </w:pPr>
    </w:p>
    <w:p>
      <w:pPr>
        <w:pStyle w:val="BodyText"/>
        <w:spacing w:before="2"/>
        <w:rPr>
          <w:b/>
          <w:sz w:val="18"/>
        </w:rPr>
      </w:pPr>
    </w:p>
    <w:p>
      <w:pPr>
        <w:spacing w:before="91"/>
        <w:ind w:left="2489" w:right="2746" w:firstLine="0"/>
        <w:jc w:val="center"/>
        <w:rPr>
          <w:b/>
          <w:sz w:val="21"/>
        </w:rPr>
      </w:pPr>
      <w:r>
        <w:rPr>
          <w:b/>
          <w:sz w:val="21"/>
        </w:rPr>
        <w:t>OBJEKTIVAT</w:t>
      </w:r>
      <w:r>
        <w:rPr>
          <w:b/>
          <w:spacing w:val="-3"/>
          <w:sz w:val="21"/>
        </w:rPr>
        <w:t> </w:t>
      </w:r>
      <w:r>
        <w:rPr>
          <w:b/>
          <w:sz w:val="21"/>
        </w:rPr>
        <w:t>PËR</w:t>
      </w:r>
      <w:r>
        <w:rPr>
          <w:b/>
          <w:spacing w:val="-3"/>
          <w:sz w:val="21"/>
        </w:rPr>
        <w:t> </w:t>
      </w:r>
      <w:r>
        <w:rPr>
          <w:b/>
          <w:sz w:val="21"/>
        </w:rPr>
        <w:t>URBANIZËM</w:t>
      </w:r>
      <w:r>
        <w:rPr>
          <w:b/>
          <w:spacing w:val="-2"/>
          <w:sz w:val="21"/>
        </w:rPr>
        <w:t> </w:t>
      </w:r>
      <w:r>
        <w:rPr>
          <w:b/>
          <w:sz w:val="21"/>
        </w:rPr>
        <w:t>DHE</w:t>
      </w:r>
      <w:r>
        <w:rPr>
          <w:b/>
          <w:spacing w:val="-3"/>
          <w:sz w:val="21"/>
        </w:rPr>
        <w:t> </w:t>
      </w:r>
      <w:r>
        <w:rPr>
          <w:b/>
          <w:sz w:val="21"/>
        </w:rPr>
        <w:t>MBROJTJE</w:t>
      </w:r>
      <w:r>
        <w:rPr>
          <w:b/>
          <w:spacing w:val="-2"/>
          <w:sz w:val="21"/>
        </w:rPr>
        <w:t> </w:t>
      </w:r>
      <w:r>
        <w:rPr>
          <w:b/>
          <w:sz w:val="21"/>
        </w:rPr>
        <w:t>TË</w:t>
      </w:r>
      <w:r>
        <w:rPr>
          <w:b/>
          <w:spacing w:val="-1"/>
          <w:sz w:val="21"/>
        </w:rPr>
        <w:t> </w:t>
      </w:r>
      <w:r>
        <w:rPr>
          <w:b/>
          <w:spacing w:val="-2"/>
          <w:sz w:val="21"/>
        </w:rPr>
        <w:t>AMBIENTIT</w:t>
      </w:r>
    </w:p>
    <w:p>
      <w:pPr>
        <w:pStyle w:val="BodyText"/>
        <w:spacing w:before="2"/>
        <w:rPr>
          <w:b/>
          <w:sz w:val="21"/>
        </w:rPr>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2575"/>
        <w:gridCol w:w="2575"/>
        <w:gridCol w:w="2299"/>
        <w:gridCol w:w="1562"/>
        <w:gridCol w:w="1563"/>
        <w:gridCol w:w="1931"/>
      </w:tblGrid>
      <w:tr>
        <w:trPr>
          <w:trHeight w:val="1241" w:hRule="atLeast"/>
        </w:trPr>
        <w:tc>
          <w:tcPr>
            <w:tcW w:w="1471" w:type="dxa"/>
            <w:tcBorders>
              <w:bottom w:val="single" w:sz="12" w:space="0" w:color="DAD5B1"/>
            </w:tcBorders>
            <w:shd w:val="clear" w:color="auto" w:fill="F9DFC2"/>
          </w:tcPr>
          <w:p>
            <w:pPr>
              <w:pStyle w:val="TableParagraph"/>
              <w:rPr>
                <w:b/>
                <w:sz w:val="22"/>
              </w:rPr>
            </w:pPr>
          </w:p>
          <w:p>
            <w:pPr>
              <w:pStyle w:val="TableParagraph"/>
              <w:spacing w:before="5"/>
              <w:rPr>
                <w:b/>
                <w:sz w:val="19"/>
              </w:rPr>
            </w:pPr>
          </w:p>
          <w:p>
            <w:pPr>
              <w:pStyle w:val="TableParagraph"/>
              <w:ind w:left="309"/>
              <w:rPr>
                <w:b/>
                <w:sz w:val="21"/>
              </w:rPr>
            </w:pPr>
            <w:r>
              <w:rPr>
                <w:b/>
                <w:spacing w:val="-2"/>
                <w:sz w:val="21"/>
              </w:rPr>
              <w:t>Objektivi</w:t>
            </w:r>
          </w:p>
        </w:tc>
        <w:tc>
          <w:tcPr>
            <w:tcW w:w="2575"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ind w:left="749"/>
              <w:rPr>
                <w:b/>
                <w:sz w:val="20"/>
              </w:rPr>
            </w:pPr>
            <w:r>
              <w:rPr>
                <w:b/>
                <w:spacing w:val="-2"/>
                <w:sz w:val="20"/>
              </w:rPr>
              <w:t>Pritshmëritë</w:t>
            </w:r>
          </w:p>
        </w:tc>
        <w:tc>
          <w:tcPr>
            <w:tcW w:w="2575" w:type="dxa"/>
            <w:tcBorders>
              <w:bottom w:val="single" w:sz="12" w:space="0" w:color="DAD5B1"/>
            </w:tcBorders>
            <w:shd w:val="clear" w:color="auto" w:fill="F9DFC2"/>
          </w:tcPr>
          <w:p>
            <w:pPr>
              <w:pStyle w:val="TableParagraph"/>
              <w:rPr>
                <w:b/>
                <w:sz w:val="22"/>
              </w:rPr>
            </w:pPr>
          </w:p>
          <w:p>
            <w:pPr>
              <w:pStyle w:val="TableParagraph"/>
              <w:spacing w:before="5"/>
              <w:rPr>
                <w:b/>
                <w:sz w:val="19"/>
              </w:rPr>
            </w:pPr>
          </w:p>
          <w:p>
            <w:pPr>
              <w:pStyle w:val="TableParagraph"/>
              <w:ind w:left="465"/>
              <w:rPr>
                <w:b/>
                <w:sz w:val="21"/>
              </w:rPr>
            </w:pPr>
            <w:r>
              <w:rPr>
                <w:b/>
                <w:spacing w:val="-2"/>
                <w:sz w:val="21"/>
              </w:rPr>
              <w:t>Aktiviteti/Projekti</w:t>
            </w:r>
          </w:p>
        </w:tc>
        <w:tc>
          <w:tcPr>
            <w:tcW w:w="2299" w:type="dxa"/>
            <w:tcBorders>
              <w:bottom w:val="single" w:sz="12" w:space="0" w:color="DAD5B1"/>
            </w:tcBorders>
            <w:shd w:val="clear" w:color="auto" w:fill="F9DFC2"/>
          </w:tcPr>
          <w:p>
            <w:pPr>
              <w:pStyle w:val="TableParagraph"/>
              <w:rPr>
                <w:b/>
                <w:sz w:val="22"/>
              </w:rPr>
            </w:pPr>
          </w:p>
          <w:p>
            <w:pPr>
              <w:pStyle w:val="TableParagraph"/>
              <w:spacing w:before="4"/>
              <w:rPr>
                <w:b/>
                <w:sz w:val="18"/>
              </w:rPr>
            </w:pPr>
          </w:p>
          <w:p>
            <w:pPr>
              <w:pStyle w:val="TableParagraph"/>
              <w:spacing w:line="276" w:lineRule="auto"/>
              <w:ind w:left="572" w:right="491" w:hanging="64"/>
              <w:rPr>
                <w:b/>
                <w:sz w:val="20"/>
              </w:rPr>
            </w:pPr>
            <w:r>
              <w:rPr>
                <w:b/>
                <w:sz w:val="20"/>
              </w:rPr>
              <w:t>Përgjegjësi</w:t>
            </w:r>
            <w:r>
              <w:rPr>
                <w:b/>
                <w:spacing w:val="-13"/>
                <w:sz w:val="20"/>
              </w:rPr>
              <w:t> </w:t>
            </w:r>
            <w:r>
              <w:rPr>
                <w:b/>
                <w:sz w:val="20"/>
              </w:rPr>
              <w:t>për </w:t>
            </w:r>
            <w:r>
              <w:rPr>
                <w:b/>
                <w:spacing w:val="-2"/>
                <w:sz w:val="20"/>
              </w:rPr>
              <w:t>Implementim</w:t>
            </w:r>
          </w:p>
        </w:tc>
        <w:tc>
          <w:tcPr>
            <w:tcW w:w="1562" w:type="dxa"/>
            <w:tcBorders>
              <w:bottom w:val="single" w:sz="12" w:space="0" w:color="DAD5B1"/>
            </w:tcBorders>
            <w:shd w:val="clear" w:color="auto" w:fill="F9DFC2"/>
          </w:tcPr>
          <w:p>
            <w:pPr>
              <w:pStyle w:val="TableParagraph"/>
              <w:rPr>
                <w:b/>
                <w:sz w:val="22"/>
              </w:rPr>
            </w:pPr>
          </w:p>
          <w:p>
            <w:pPr>
              <w:pStyle w:val="TableParagraph"/>
              <w:spacing w:before="5"/>
              <w:rPr>
                <w:b/>
                <w:sz w:val="19"/>
              </w:rPr>
            </w:pPr>
          </w:p>
          <w:p>
            <w:pPr>
              <w:pStyle w:val="TableParagraph"/>
              <w:spacing w:line="276" w:lineRule="auto"/>
              <w:ind w:left="385" w:right="369" w:firstLine="112"/>
              <w:rPr>
                <w:b/>
                <w:sz w:val="21"/>
              </w:rPr>
            </w:pPr>
            <w:r>
              <w:rPr>
                <w:b/>
                <w:sz w:val="21"/>
              </w:rPr>
              <w:t>Afati i </w:t>
            </w:r>
            <w:r>
              <w:rPr>
                <w:b/>
                <w:spacing w:val="-2"/>
                <w:sz w:val="21"/>
              </w:rPr>
              <w:t>Zbatimit</w:t>
            </w:r>
          </w:p>
        </w:tc>
        <w:tc>
          <w:tcPr>
            <w:tcW w:w="1563" w:type="dxa"/>
            <w:tcBorders>
              <w:bottom w:val="single" w:sz="12" w:space="0" w:color="DAD5B1"/>
            </w:tcBorders>
            <w:shd w:val="clear" w:color="auto" w:fill="F9DFC2"/>
          </w:tcPr>
          <w:p>
            <w:pPr>
              <w:pStyle w:val="TableParagraph"/>
              <w:rPr>
                <w:b/>
                <w:sz w:val="22"/>
              </w:rPr>
            </w:pPr>
          </w:p>
          <w:p>
            <w:pPr>
              <w:pStyle w:val="TableParagraph"/>
              <w:spacing w:before="5"/>
              <w:rPr>
                <w:b/>
                <w:sz w:val="19"/>
              </w:rPr>
            </w:pPr>
          </w:p>
          <w:p>
            <w:pPr>
              <w:pStyle w:val="TableParagraph"/>
              <w:spacing w:line="276" w:lineRule="auto"/>
              <w:ind w:left="228" w:firstLine="132"/>
              <w:rPr>
                <w:b/>
                <w:sz w:val="21"/>
              </w:rPr>
            </w:pPr>
            <w:r>
              <w:rPr>
                <w:b/>
                <w:sz w:val="21"/>
              </w:rPr>
              <w:t>Kostoja e </w:t>
            </w:r>
            <w:r>
              <w:rPr>
                <w:b/>
                <w:spacing w:val="-2"/>
                <w:sz w:val="21"/>
              </w:rPr>
              <w:t>parashikuar</w:t>
            </w:r>
          </w:p>
        </w:tc>
        <w:tc>
          <w:tcPr>
            <w:tcW w:w="1931" w:type="dxa"/>
            <w:tcBorders>
              <w:bottom w:val="single" w:sz="12" w:space="0" w:color="DAD5B1"/>
            </w:tcBorders>
            <w:shd w:val="clear" w:color="auto" w:fill="F9DFC2"/>
          </w:tcPr>
          <w:p>
            <w:pPr>
              <w:pStyle w:val="TableParagraph"/>
              <w:rPr>
                <w:b/>
                <w:sz w:val="22"/>
              </w:rPr>
            </w:pPr>
          </w:p>
          <w:p>
            <w:pPr>
              <w:pStyle w:val="TableParagraph"/>
              <w:spacing w:line="259" w:lineRule="auto" w:before="167"/>
              <w:ind w:left="476" w:firstLine="112"/>
              <w:rPr>
                <w:b/>
                <w:sz w:val="21"/>
              </w:rPr>
            </w:pPr>
            <w:r>
              <w:rPr>
                <w:b/>
                <w:sz w:val="21"/>
              </w:rPr>
              <w:t>Burimi i </w:t>
            </w:r>
            <w:r>
              <w:rPr>
                <w:b/>
                <w:spacing w:val="-2"/>
                <w:sz w:val="21"/>
              </w:rPr>
              <w:t>Financimit</w:t>
            </w:r>
          </w:p>
        </w:tc>
      </w:tr>
      <w:tr>
        <w:trPr>
          <w:trHeight w:val="1640" w:hRule="atLeast"/>
        </w:trPr>
        <w:tc>
          <w:tcPr>
            <w:tcW w:w="1471" w:type="dxa"/>
            <w:vMerge w:val="restart"/>
            <w:tcBorders>
              <w:top w:val="single" w:sz="12" w:space="0" w:color="DAD5B1"/>
            </w:tcBorders>
            <w:textDirection w:val="btLr"/>
          </w:tcPr>
          <w:p>
            <w:pPr>
              <w:pStyle w:val="TableParagraph"/>
              <w:spacing w:line="283" w:lineRule="auto" w:before="110"/>
              <w:ind w:left="832" w:right="2038"/>
              <w:rPr>
                <w:b/>
                <w:sz w:val="20"/>
              </w:rPr>
            </w:pPr>
            <w:r>
              <w:rPr>
                <w:b/>
                <w:sz w:val="20"/>
              </w:rPr>
              <w:t>Paisja</w:t>
            </w:r>
            <w:r>
              <w:rPr>
                <w:b/>
                <w:spacing w:val="-8"/>
                <w:sz w:val="20"/>
              </w:rPr>
              <w:t> </w:t>
            </w:r>
            <w:r>
              <w:rPr>
                <w:b/>
                <w:sz w:val="20"/>
              </w:rPr>
              <w:t>e</w:t>
            </w:r>
            <w:r>
              <w:rPr>
                <w:b/>
                <w:spacing w:val="-10"/>
                <w:sz w:val="20"/>
              </w:rPr>
              <w:t> </w:t>
            </w:r>
            <w:r>
              <w:rPr>
                <w:b/>
                <w:sz w:val="20"/>
              </w:rPr>
              <w:t>Komunës</w:t>
            </w:r>
            <w:r>
              <w:rPr>
                <w:b/>
                <w:spacing w:val="-8"/>
                <w:sz w:val="20"/>
              </w:rPr>
              <w:t> </w:t>
            </w:r>
            <w:r>
              <w:rPr>
                <w:b/>
                <w:sz w:val="20"/>
              </w:rPr>
              <w:t>me</w:t>
            </w:r>
            <w:r>
              <w:rPr>
                <w:b/>
                <w:spacing w:val="-9"/>
                <w:sz w:val="20"/>
              </w:rPr>
              <w:t> </w:t>
            </w:r>
            <w:r>
              <w:rPr>
                <w:b/>
                <w:sz w:val="20"/>
              </w:rPr>
              <w:t>plane</w:t>
            </w:r>
            <w:r>
              <w:rPr>
                <w:b/>
                <w:spacing w:val="-10"/>
                <w:sz w:val="20"/>
              </w:rPr>
              <w:t> </w:t>
            </w:r>
            <w:r>
              <w:rPr>
                <w:b/>
                <w:sz w:val="20"/>
              </w:rPr>
              <w:t>hapësinore Mbrojtja e mjedisit</w:t>
            </w:r>
            <w:r>
              <w:rPr>
                <w:b/>
                <w:spacing w:val="40"/>
                <w:sz w:val="20"/>
              </w:rPr>
              <w:t> </w:t>
            </w:r>
            <w:r>
              <w:rPr>
                <w:b/>
                <w:sz w:val="20"/>
              </w:rPr>
              <w:t>nga ndotja</w:t>
            </w:r>
          </w:p>
        </w:tc>
        <w:tc>
          <w:tcPr>
            <w:tcW w:w="2575" w:type="dxa"/>
            <w:tcBorders>
              <w:top w:val="single" w:sz="12" w:space="0" w:color="DAD5B1"/>
              <w:bottom w:val="nil"/>
            </w:tcBorders>
          </w:tcPr>
          <w:p>
            <w:pPr>
              <w:pStyle w:val="TableParagraph"/>
              <w:tabs>
                <w:tab w:pos="467" w:val="left" w:leader="none"/>
              </w:tabs>
              <w:spacing w:line="288" w:lineRule="auto"/>
              <w:ind w:left="468" w:right="232" w:hanging="360"/>
              <w:rPr>
                <w:sz w:val="20"/>
              </w:rPr>
            </w:pPr>
            <w:r>
              <w:rPr>
                <w:spacing w:val="-6"/>
                <w:sz w:val="20"/>
              </w:rPr>
              <w:t>a.</w:t>
            </w:r>
            <w:r>
              <w:rPr>
                <w:sz w:val="20"/>
              </w:rPr>
              <w:tab/>
              <w:t>Përmes planifikimit hapësinor sigurimi i zhvillimit të qëndrueshëm socio- ekonomik</w:t>
            </w:r>
            <w:r>
              <w:rPr>
                <w:spacing w:val="26"/>
                <w:sz w:val="20"/>
              </w:rPr>
              <w:t> </w:t>
            </w:r>
            <w:r>
              <w:rPr>
                <w:sz w:val="20"/>
              </w:rPr>
              <w:t>të</w:t>
            </w:r>
            <w:r>
              <w:rPr>
                <w:spacing w:val="-13"/>
                <w:sz w:val="20"/>
              </w:rPr>
              <w:t> </w:t>
            </w:r>
            <w:r>
              <w:rPr>
                <w:sz w:val="20"/>
              </w:rPr>
              <w:t>Komunës</w:t>
            </w:r>
          </w:p>
        </w:tc>
        <w:tc>
          <w:tcPr>
            <w:tcW w:w="2575" w:type="dxa"/>
            <w:tcBorders>
              <w:top w:val="single" w:sz="12" w:space="0" w:color="DAD5B1"/>
            </w:tcBorders>
          </w:tcPr>
          <w:p>
            <w:pPr>
              <w:pStyle w:val="TableParagraph"/>
              <w:tabs>
                <w:tab w:pos="828" w:val="left" w:leader="none"/>
              </w:tabs>
              <w:spacing w:line="276" w:lineRule="auto"/>
              <w:ind w:left="828" w:right="123" w:hanging="360"/>
              <w:rPr>
                <w:sz w:val="20"/>
              </w:rPr>
            </w:pPr>
            <w:r>
              <w:rPr>
                <w:spacing w:val="-6"/>
                <w:sz w:val="20"/>
              </w:rPr>
              <w:t>1.</w:t>
            </w:r>
            <w:r>
              <w:rPr>
                <w:sz w:val="20"/>
              </w:rPr>
              <w:tab/>
              <w:t>Hartimi</w:t>
            </w:r>
            <w:r>
              <w:rPr>
                <w:spacing w:val="-10"/>
                <w:sz w:val="20"/>
              </w:rPr>
              <w:t> </w:t>
            </w:r>
            <w:r>
              <w:rPr>
                <w:sz w:val="20"/>
              </w:rPr>
              <w:t>i</w:t>
            </w:r>
            <w:r>
              <w:rPr>
                <w:spacing w:val="-10"/>
                <w:sz w:val="20"/>
              </w:rPr>
              <w:t> </w:t>
            </w:r>
            <w:r>
              <w:rPr>
                <w:sz w:val="20"/>
              </w:rPr>
              <w:t>Planit</w:t>
            </w:r>
            <w:r>
              <w:rPr>
                <w:spacing w:val="-10"/>
                <w:sz w:val="20"/>
              </w:rPr>
              <w:t> </w:t>
            </w:r>
            <w:r>
              <w:rPr>
                <w:sz w:val="20"/>
              </w:rPr>
              <w:t>të</w:t>
            </w:r>
            <w:r>
              <w:rPr>
                <w:spacing w:val="-10"/>
                <w:sz w:val="20"/>
              </w:rPr>
              <w:t> </w:t>
            </w:r>
            <w:r>
              <w:rPr>
                <w:sz w:val="20"/>
              </w:rPr>
              <w:t>ri Zhvillimor të </w:t>
            </w:r>
            <w:r>
              <w:rPr>
                <w:spacing w:val="-2"/>
                <w:sz w:val="20"/>
              </w:rPr>
              <w:t>Komunës</w:t>
            </w:r>
          </w:p>
        </w:tc>
        <w:tc>
          <w:tcPr>
            <w:tcW w:w="2299" w:type="dxa"/>
            <w:tcBorders>
              <w:top w:val="single" w:sz="12" w:space="0" w:color="DAD5B1"/>
            </w:tcBorders>
          </w:tcPr>
          <w:p>
            <w:pPr>
              <w:pStyle w:val="TableParagraph"/>
              <w:spacing w:line="276" w:lineRule="auto"/>
              <w:ind w:left="170" w:right="158"/>
              <w:jc w:val="center"/>
              <w:rPr>
                <w:sz w:val="20"/>
              </w:rPr>
            </w:pPr>
            <w:r>
              <w:rPr>
                <w:sz w:val="20"/>
              </w:rPr>
              <w:t>Drejtoria e Urbanizmit, Kadastrit</w:t>
            </w:r>
            <w:r>
              <w:rPr>
                <w:spacing w:val="-13"/>
                <w:sz w:val="20"/>
              </w:rPr>
              <w:t> </w:t>
            </w:r>
            <w:r>
              <w:rPr>
                <w:sz w:val="20"/>
              </w:rPr>
              <w:t>dhe</w:t>
            </w:r>
            <w:r>
              <w:rPr>
                <w:spacing w:val="-12"/>
                <w:sz w:val="20"/>
              </w:rPr>
              <w:t> </w:t>
            </w:r>
            <w:r>
              <w:rPr>
                <w:sz w:val="20"/>
              </w:rPr>
              <w:t>Mbrojtja</w:t>
            </w:r>
            <w:r>
              <w:rPr>
                <w:spacing w:val="-13"/>
                <w:sz w:val="20"/>
              </w:rPr>
              <w:t> </w:t>
            </w:r>
            <w:r>
              <w:rPr>
                <w:sz w:val="20"/>
              </w:rPr>
              <w:t>e </w:t>
            </w:r>
            <w:r>
              <w:rPr>
                <w:spacing w:val="-2"/>
                <w:sz w:val="20"/>
              </w:rPr>
              <w:t>Mjedisit</w:t>
            </w:r>
          </w:p>
        </w:tc>
        <w:tc>
          <w:tcPr>
            <w:tcW w:w="1562" w:type="dxa"/>
            <w:tcBorders>
              <w:top w:val="single" w:sz="12" w:space="0" w:color="DAD5B1"/>
            </w:tcBorders>
          </w:tcPr>
          <w:p>
            <w:pPr>
              <w:pStyle w:val="TableParagraph"/>
              <w:spacing w:line="241" w:lineRule="exact"/>
              <w:ind w:left="326"/>
              <w:rPr>
                <w:sz w:val="21"/>
              </w:rPr>
            </w:pPr>
            <w:r>
              <w:rPr>
                <w:sz w:val="21"/>
              </w:rPr>
              <w:t>2023-</w:t>
            </w:r>
            <w:r>
              <w:rPr>
                <w:spacing w:val="-4"/>
                <w:sz w:val="21"/>
              </w:rPr>
              <w:t>2031</w:t>
            </w:r>
          </w:p>
        </w:tc>
        <w:tc>
          <w:tcPr>
            <w:tcW w:w="1563" w:type="dxa"/>
            <w:tcBorders>
              <w:top w:val="single" w:sz="12" w:space="0" w:color="DAD5B1"/>
            </w:tcBorders>
          </w:tcPr>
          <w:p>
            <w:pPr>
              <w:pStyle w:val="TableParagraph"/>
              <w:spacing w:line="241" w:lineRule="exact"/>
              <w:ind w:left="109"/>
              <w:rPr>
                <w:sz w:val="21"/>
              </w:rPr>
            </w:pPr>
            <w:r>
              <w:rPr>
                <w:spacing w:val="-2"/>
                <w:sz w:val="21"/>
              </w:rPr>
              <w:t>12,000</w:t>
            </w:r>
          </w:p>
        </w:tc>
        <w:tc>
          <w:tcPr>
            <w:tcW w:w="1931" w:type="dxa"/>
            <w:tcBorders>
              <w:top w:val="single" w:sz="12" w:space="0" w:color="DAD5B1"/>
            </w:tcBorders>
          </w:tcPr>
          <w:p>
            <w:pPr>
              <w:pStyle w:val="TableParagraph"/>
              <w:spacing w:line="241" w:lineRule="exact"/>
              <w:ind w:left="109"/>
              <w:rPr>
                <w:sz w:val="21"/>
              </w:rPr>
            </w:pPr>
            <w:r>
              <w:rPr>
                <w:spacing w:val="-2"/>
                <w:sz w:val="21"/>
              </w:rPr>
              <w:t>Komuna</w:t>
            </w:r>
          </w:p>
        </w:tc>
      </w:tr>
      <w:tr>
        <w:trPr>
          <w:trHeight w:val="1640" w:hRule="atLeast"/>
        </w:trPr>
        <w:tc>
          <w:tcPr>
            <w:tcW w:w="1471" w:type="dxa"/>
            <w:vMerge/>
            <w:tcBorders>
              <w:top w:val="nil"/>
            </w:tcBorders>
            <w:textDirection w:val="btLr"/>
          </w:tcPr>
          <w:p>
            <w:pPr>
              <w:rPr>
                <w:sz w:val="2"/>
                <w:szCs w:val="2"/>
              </w:rPr>
            </w:pPr>
          </w:p>
        </w:tc>
        <w:tc>
          <w:tcPr>
            <w:tcW w:w="2575" w:type="dxa"/>
            <w:vMerge w:val="restart"/>
            <w:tcBorders>
              <w:top w:val="nil"/>
              <w:bottom w:val="nil"/>
            </w:tcBorders>
          </w:tcPr>
          <w:p>
            <w:pPr>
              <w:pStyle w:val="TableParagraph"/>
              <w:tabs>
                <w:tab w:pos="467" w:val="left" w:leader="none"/>
              </w:tabs>
              <w:spacing w:line="288" w:lineRule="auto" w:before="6"/>
              <w:ind w:left="468" w:right="266" w:hanging="360"/>
              <w:rPr>
                <w:sz w:val="20"/>
              </w:rPr>
            </w:pPr>
            <w:r>
              <w:rPr>
                <w:spacing w:val="-6"/>
                <w:sz w:val="20"/>
              </w:rPr>
              <w:t>b.</w:t>
            </w:r>
            <w:r>
              <w:rPr>
                <w:sz w:val="20"/>
              </w:rPr>
              <w:tab/>
              <w:t>Përmes zbatimit të legjislacionit</w:t>
            </w:r>
            <w:r>
              <w:rPr>
                <w:spacing w:val="-13"/>
                <w:sz w:val="20"/>
              </w:rPr>
              <w:t> </w:t>
            </w:r>
            <w:r>
              <w:rPr>
                <w:sz w:val="20"/>
              </w:rPr>
              <w:t>në</w:t>
            </w:r>
            <w:r>
              <w:rPr>
                <w:spacing w:val="-12"/>
                <w:sz w:val="20"/>
              </w:rPr>
              <w:t> </w:t>
            </w:r>
            <w:r>
              <w:rPr>
                <w:sz w:val="20"/>
              </w:rPr>
              <w:t>fuqi</w:t>
            </w:r>
            <w:r>
              <w:rPr>
                <w:spacing w:val="-12"/>
                <w:sz w:val="20"/>
              </w:rPr>
              <w:t> </w:t>
            </w:r>
            <w:r>
              <w:rPr>
                <w:sz w:val="20"/>
              </w:rPr>
              <w:t>si dhe zbatimit të planit lokal të veprimit në mjedis të përmirsohet gjendje mjedisore në territorin e</w:t>
            </w:r>
            <w:r>
              <w:rPr>
                <w:spacing w:val="40"/>
                <w:sz w:val="20"/>
              </w:rPr>
              <w:t> </w:t>
            </w:r>
            <w:r>
              <w:rPr>
                <w:sz w:val="20"/>
              </w:rPr>
              <w:t>Hanit të </w:t>
            </w:r>
            <w:r>
              <w:rPr>
                <w:spacing w:val="-2"/>
                <w:sz w:val="20"/>
              </w:rPr>
              <w:t>Elezit</w:t>
            </w:r>
          </w:p>
        </w:tc>
        <w:tc>
          <w:tcPr>
            <w:tcW w:w="2575" w:type="dxa"/>
          </w:tcPr>
          <w:p>
            <w:pPr>
              <w:pStyle w:val="TableParagraph"/>
              <w:tabs>
                <w:tab w:pos="828" w:val="left" w:leader="none"/>
              </w:tabs>
              <w:spacing w:line="276" w:lineRule="auto"/>
              <w:ind w:left="828" w:right="435" w:hanging="360"/>
              <w:rPr>
                <w:sz w:val="20"/>
              </w:rPr>
            </w:pPr>
            <w:r>
              <w:rPr>
                <w:spacing w:val="-6"/>
                <w:sz w:val="20"/>
              </w:rPr>
              <w:t>2.</w:t>
            </w:r>
            <w:r>
              <w:rPr>
                <w:sz w:val="20"/>
              </w:rPr>
              <w:tab/>
              <w:t>Hartimi</w:t>
            </w:r>
            <w:r>
              <w:rPr>
                <w:spacing w:val="-13"/>
                <w:sz w:val="20"/>
              </w:rPr>
              <w:t> </w:t>
            </w:r>
            <w:r>
              <w:rPr>
                <w:sz w:val="20"/>
              </w:rPr>
              <w:t>i</w:t>
            </w:r>
            <w:r>
              <w:rPr>
                <w:spacing w:val="-12"/>
                <w:sz w:val="20"/>
              </w:rPr>
              <w:t> </w:t>
            </w:r>
            <w:r>
              <w:rPr>
                <w:sz w:val="20"/>
              </w:rPr>
              <w:t>Hartës </w:t>
            </w:r>
            <w:r>
              <w:rPr>
                <w:spacing w:val="-2"/>
                <w:sz w:val="20"/>
              </w:rPr>
              <w:t>Zonale</w:t>
            </w:r>
          </w:p>
        </w:tc>
        <w:tc>
          <w:tcPr>
            <w:tcW w:w="2299" w:type="dxa"/>
          </w:tcPr>
          <w:p>
            <w:pPr>
              <w:pStyle w:val="TableParagraph"/>
              <w:spacing w:line="276" w:lineRule="auto"/>
              <w:ind w:left="170" w:right="158"/>
              <w:jc w:val="center"/>
              <w:rPr>
                <w:sz w:val="20"/>
              </w:rPr>
            </w:pPr>
            <w:r>
              <w:rPr>
                <w:sz w:val="20"/>
              </w:rPr>
              <w:t>Drejtoria e Urbanizmit, Kadastrit</w:t>
            </w:r>
            <w:r>
              <w:rPr>
                <w:spacing w:val="-13"/>
                <w:sz w:val="20"/>
              </w:rPr>
              <w:t> </w:t>
            </w:r>
            <w:r>
              <w:rPr>
                <w:sz w:val="20"/>
              </w:rPr>
              <w:t>dhe</w:t>
            </w:r>
            <w:r>
              <w:rPr>
                <w:spacing w:val="-12"/>
                <w:sz w:val="20"/>
              </w:rPr>
              <w:t> </w:t>
            </w:r>
            <w:r>
              <w:rPr>
                <w:sz w:val="20"/>
              </w:rPr>
              <w:t>Mbrojtja</w:t>
            </w:r>
            <w:r>
              <w:rPr>
                <w:spacing w:val="-13"/>
                <w:sz w:val="20"/>
              </w:rPr>
              <w:t> </w:t>
            </w:r>
            <w:r>
              <w:rPr>
                <w:sz w:val="20"/>
              </w:rPr>
              <w:t>e </w:t>
            </w:r>
            <w:r>
              <w:rPr>
                <w:spacing w:val="-2"/>
                <w:sz w:val="20"/>
              </w:rPr>
              <w:t>Mjedisit</w:t>
            </w:r>
          </w:p>
        </w:tc>
        <w:tc>
          <w:tcPr>
            <w:tcW w:w="1562" w:type="dxa"/>
          </w:tcPr>
          <w:p>
            <w:pPr>
              <w:pStyle w:val="TableParagraph"/>
              <w:spacing w:line="241" w:lineRule="exact"/>
              <w:ind w:left="108"/>
              <w:rPr>
                <w:sz w:val="21"/>
              </w:rPr>
            </w:pPr>
            <w:r>
              <w:rPr>
                <w:sz w:val="21"/>
              </w:rPr>
              <w:t>2024-</w:t>
            </w:r>
            <w:r>
              <w:rPr>
                <w:spacing w:val="-4"/>
                <w:sz w:val="21"/>
              </w:rPr>
              <w:t>2032</w:t>
            </w:r>
          </w:p>
        </w:tc>
        <w:tc>
          <w:tcPr>
            <w:tcW w:w="1563" w:type="dxa"/>
          </w:tcPr>
          <w:p>
            <w:pPr>
              <w:pStyle w:val="TableParagraph"/>
              <w:ind w:left="109"/>
              <w:rPr>
                <w:sz w:val="20"/>
              </w:rPr>
            </w:pPr>
            <w:r>
              <w:rPr>
                <w:spacing w:val="-2"/>
                <w:sz w:val="20"/>
              </w:rPr>
              <w:t>60,000</w:t>
            </w:r>
          </w:p>
        </w:tc>
        <w:tc>
          <w:tcPr>
            <w:tcW w:w="1931" w:type="dxa"/>
          </w:tcPr>
          <w:p>
            <w:pPr>
              <w:pStyle w:val="TableParagraph"/>
              <w:spacing w:line="487" w:lineRule="auto"/>
              <w:ind w:left="109" w:right="603"/>
              <w:rPr>
                <w:sz w:val="21"/>
              </w:rPr>
            </w:pPr>
            <w:r>
              <w:rPr>
                <w:spacing w:val="-2"/>
                <w:sz w:val="21"/>
              </w:rPr>
              <w:t>Komuna,</w:t>
            </w:r>
            <w:r>
              <w:rPr>
                <w:spacing w:val="40"/>
                <w:sz w:val="21"/>
              </w:rPr>
              <w:t> </w:t>
            </w:r>
            <w:r>
              <w:rPr>
                <w:sz w:val="21"/>
              </w:rPr>
              <w:t>GIZI</w:t>
            </w:r>
            <w:r>
              <w:rPr>
                <w:spacing w:val="-14"/>
                <w:sz w:val="21"/>
              </w:rPr>
              <w:t> </w:t>
            </w:r>
            <w:r>
              <w:rPr>
                <w:sz w:val="21"/>
              </w:rPr>
              <w:t>Gjerman</w:t>
            </w:r>
          </w:p>
        </w:tc>
      </w:tr>
      <w:tr>
        <w:trPr>
          <w:trHeight w:val="1811" w:hRule="atLeast"/>
        </w:trPr>
        <w:tc>
          <w:tcPr>
            <w:tcW w:w="1471" w:type="dxa"/>
            <w:vMerge/>
            <w:tcBorders>
              <w:top w:val="nil"/>
            </w:tcBorders>
            <w:textDirection w:val="btLr"/>
          </w:tcPr>
          <w:p>
            <w:pPr>
              <w:rPr>
                <w:sz w:val="2"/>
                <w:szCs w:val="2"/>
              </w:rPr>
            </w:pPr>
          </w:p>
        </w:tc>
        <w:tc>
          <w:tcPr>
            <w:tcW w:w="2575" w:type="dxa"/>
            <w:vMerge/>
            <w:tcBorders>
              <w:top w:val="nil"/>
              <w:bottom w:val="nil"/>
            </w:tcBorders>
          </w:tcPr>
          <w:p>
            <w:pPr>
              <w:rPr>
                <w:sz w:val="2"/>
                <w:szCs w:val="2"/>
              </w:rPr>
            </w:pPr>
          </w:p>
        </w:tc>
        <w:tc>
          <w:tcPr>
            <w:tcW w:w="2575" w:type="dxa"/>
          </w:tcPr>
          <w:p>
            <w:pPr>
              <w:pStyle w:val="TableParagraph"/>
              <w:tabs>
                <w:tab w:pos="828" w:val="left" w:leader="none"/>
              </w:tabs>
              <w:spacing w:line="276" w:lineRule="auto"/>
              <w:ind w:left="828" w:right="123" w:hanging="360"/>
              <w:rPr>
                <w:sz w:val="20"/>
              </w:rPr>
            </w:pPr>
            <w:r>
              <w:rPr>
                <w:spacing w:val="-6"/>
                <w:sz w:val="20"/>
              </w:rPr>
              <w:t>3.</w:t>
            </w:r>
            <w:r>
              <w:rPr>
                <w:sz w:val="20"/>
              </w:rPr>
              <w:tab/>
              <w:t>Hartimi</w:t>
            </w:r>
            <w:r>
              <w:rPr>
                <w:spacing w:val="-7"/>
                <w:sz w:val="20"/>
              </w:rPr>
              <w:t> </w:t>
            </w:r>
            <w:r>
              <w:rPr>
                <w:sz w:val="20"/>
              </w:rPr>
              <w:t>i</w:t>
            </w:r>
            <w:r>
              <w:rPr>
                <w:spacing w:val="-8"/>
                <w:sz w:val="20"/>
              </w:rPr>
              <w:t> </w:t>
            </w:r>
            <w:r>
              <w:rPr>
                <w:sz w:val="20"/>
              </w:rPr>
              <w:t>planit</w:t>
            </w:r>
            <w:r>
              <w:rPr>
                <w:spacing w:val="-7"/>
                <w:sz w:val="20"/>
              </w:rPr>
              <w:t> </w:t>
            </w:r>
            <w:r>
              <w:rPr>
                <w:sz w:val="20"/>
              </w:rPr>
              <w:t>të</w:t>
            </w:r>
            <w:r>
              <w:rPr>
                <w:spacing w:val="-7"/>
                <w:sz w:val="20"/>
              </w:rPr>
              <w:t> </w:t>
            </w:r>
            <w:r>
              <w:rPr>
                <w:sz w:val="20"/>
              </w:rPr>
              <w:t>ri rregullues</w:t>
            </w:r>
            <w:r>
              <w:rPr>
                <w:spacing w:val="-13"/>
                <w:sz w:val="20"/>
              </w:rPr>
              <w:t> </w:t>
            </w:r>
            <w:r>
              <w:rPr>
                <w:sz w:val="20"/>
              </w:rPr>
              <w:t>urban</w:t>
            </w:r>
            <w:r>
              <w:rPr>
                <w:spacing w:val="-12"/>
                <w:sz w:val="20"/>
              </w:rPr>
              <w:t> </w:t>
            </w:r>
            <w:r>
              <w:rPr>
                <w:sz w:val="20"/>
              </w:rPr>
              <w:t>për zonën qendër të Hanit të Elezit</w:t>
            </w:r>
          </w:p>
        </w:tc>
        <w:tc>
          <w:tcPr>
            <w:tcW w:w="2299" w:type="dxa"/>
          </w:tcPr>
          <w:p>
            <w:pPr>
              <w:pStyle w:val="TableParagraph"/>
              <w:spacing w:line="276" w:lineRule="auto"/>
              <w:ind w:left="170" w:right="158"/>
              <w:jc w:val="center"/>
              <w:rPr>
                <w:sz w:val="20"/>
              </w:rPr>
            </w:pPr>
            <w:r>
              <w:rPr>
                <w:sz w:val="20"/>
              </w:rPr>
              <w:t>Drejtoria e Urbanizmit, Kadastrit</w:t>
            </w:r>
            <w:r>
              <w:rPr>
                <w:spacing w:val="-13"/>
                <w:sz w:val="20"/>
              </w:rPr>
              <w:t> </w:t>
            </w:r>
            <w:r>
              <w:rPr>
                <w:sz w:val="20"/>
              </w:rPr>
              <w:t>dhe</w:t>
            </w:r>
            <w:r>
              <w:rPr>
                <w:spacing w:val="-12"/>
                <w:sz w:val="20"/>
              </w:rPr>
              <w:t> </w:t>
            </w:r>
            <w:r>
              <w:rPr>
                <w:sz w:val="20"/>
              </w:rPr>
              <w:t>Mbrojtja</w:t>
            </w:r>
            <w:r>
              <w:rPr>
                <w:spacing w:val="-13"/>
                <w:sz w:val="20"/>
              </w:rPr>
              <w:t> </w:t>
            </w:r>
            <w:r>
              <w:rPr>
                <w:sz w:val="20"/>
              </w:rPr>
              <w:t>e </w:t>
            </w:r>
            <w:r>
              <w:rPr>
                <w:spacing w:val="-2"/>
                <w:sz w:val="20"/>
              </w:rPr>
              <w:t>Mjedisit</w:t>
            </w:r>
          </w:p>
        </w:tc>
        <w:tc>
          <w:tcPr>
            <w:tcW w:w="1562" w:type="dxa"/>
          </w:tcPr>
          <w:p>
            <w:pPr>
              <w:pStyle w:val="TableParagraph"/>
              <w:spacing w:line="241" w:lineRule="exact"/>
              <w:ind w:left="108"/>
              <w:rPr>
                <w:sz w:val="21"/>
              </w:rPr>
            </w:pPr>
            <w:r>
              <w:rPr>
                <w:sz w:val="21"/>
              </w:rPr>
              <w:t>2025-</w:t>
            </w:r>
            <w:r>
              <w:rPr>
                <w:spacing w:val="-4"/>
                <w:sz w:val="21"/>
              </w:rPr>
              <w:t>2033</w:t>
            </w:r>
          </w:p>
        </w:tc>
        <w:tc>
          <w:tcPr>
            <w:tcW w:w="1563" w:type="dxa"/>
          </w:tcPr>
          <w:p>
            <w:pPr>
              <w:pStyle w:val="TableParagraph"/>
              <w:spacing w:line="241" w:lineRule="exact"/>
              <w:ind w:left="109"/>
              <w:rPr>
                <w:sz w:val="21"/>
              </w:rPr>
            </w:pPr>
            <w:r>
              <w:rPr>
                <w:spacing w:val="-2"/>
                <w:sz w:val="21"/>
              </w:rPr>
              <w:t>40,000</w:t>
            </w:r>
          </w:p>
        </w:tc>
        <w:tc>
          <w:tcPr>
            <w:tcW w:w="1931" w:type="dxa"/>
          </w:tcPr>
          <w:p>
            <w:pPr>
              <w:pStyle w:val="TableParagraph"/>
              <w:spacing w:line="487" w:lineRule="auto"/>
              <w:ind w:left="109" w:right="603"/>
              <w:rPr>
                <w:sz w:val="21"/>
              </w:rPr>
            </w:pPr>
            <w:r>
              <w:rPr>
                <w:spacing w:val="-2"/>
                <w:sz w:val="21"/>
              </w:rPr>
              <w:t>Komuna Donatorët</w:t>
            </w:r>
          </w:p>
        </w:tc>
      </w:tr>
      <w:tr>
        <w:trPr>
          <w:trHeight w:val="351" w:hRule="atLeast"/>
        </w:trPr>
        <w:tc>
          <w:tcPr>
            <w:tcW w:w="1471" w:type="dxa"/>
            <w:vMerge/>
            <w:tcBorders>
              <w:top w:val="nil"/>
            </w:tcBorders>
            <w:textDirection w:val="btLr"/>
          </w:tcPr>
          <w:p>
            <w:pPr>
              <w:rPr>
                <w:sz w:val="2"/>
                <w:szCs w:val="2"/>
              </w:rPr>
            </w:pPr>
          </w:p>
        </w:tc>
        <w:tc>
          <w:tcPr>
            <w:tcW w:w="2575" w:type="dxa"/>
            <w:tcBorders>
              <w:top w:val="nil"/>
              <w:bottom w:val="nil"/>
            </w:tcBorders>
          </w:tcPr>
          <w:p>
            <w:pPr>
              <w:pStyle w:val="TableParagraph"/>
              <w:rPr>
                <w:sz w:val="20"/>
              </w:rPr>
            </w:pPr>
          </w:p>
        </w:tc>
        <w:tc>
          <w:tcPr>
            <w:tcW w:w="2575" w:type="dxa"/>
            <w:vMerge w:val="restart"/>
          </w:tcPr>
          <w:p>
            <w:pPr>
              <w:pStyle w:val="TableParagraph"/>
              <w:tabs>
                <w:tab w:pos="828" w:val="left" w:leader="none"/>
              </w:tabs>
              <w:spacing w:line="276" w:lineRule="auto"/>
              <w:ind w:left="828" w:right="478" w:hanging="360"/>
              <w:rPr>
                <w:sz w:val="20"/>
              </w:rPr>
            </w:pPr>
            <w:r>
              <w:rPr>
                <w:spacing w:val="-6"/>
                <w:sz w:val="20"/>
              </w:rPr>
              <w:t>1.</w:t>
            </w:r>
            <w:r>
              <w:rPr>
                <w:sz w:val="20"/>
              </w:rPr>
              <w:tab/>
              <w:t>Zbatimi</w:t>
            </w:r>
            <w:r>
              <w:rPr>
                <w:spacing w:val="-13"/>
                <w:sz w:val="20"/>
              </w:rPr>
              <w:t> </w:t>
            </w:r>
            <w:r>
              <w:rPr>
                <w:sz w:val="20"/>
              </w:rPr>
              <w:t>i</w:t>
            </w:r>
            <w:r>
              <w:rPr>
                <w:spacing w:val="-12"/>
                <w:sz w:val="20"/>
              </w:rPr>
              <w:t> </w:t>
            </w:r>
            <w:r>
              <w:rPr>
                <w:sz w:val="20"/>
              </w:rPr>
              <w:t>Planit Lokal të</w:t>
            </w:r>
          </w:p>
          <w:p>
            <w:pPr>
              <w:pStyle w:val="TableParagraph"/>
              <w:ind w:left="828"/>
              <w:rPr>
                <w:sz w:val="20"/>
              </w:rPr>
            </w:pPr>
            <w:r>
              <w:rPr>
                <w:sz w:val="20"/>
              </w:rPr>
              <w:t>Veprimit</w:t>
            </w:r>
            <w:r>
              <w:rPr>
                <w:spacing w:val="-1"/>
                <w:sz w:val="20"/>
              </w:rPr>
              <w:t> </w:t>
            </w:r>
            <w:r>
              <w:rPr>
                <w:sz w:val="20"/>
              </w:rPr>
              <w:t>në</w:t>
            </w:r>
            <w:r>
              <w:rPr>
                <w:spacing w:val="-1"/>
                <w:sz w:val="20"/>
              </w:rPr>
              <w:t> </w:t>
            </w:r>
            <w:r>
              <w:rPr>
                <w:spacing w:val="-2"/>
                <w:sz w:val="20"/>
              </w:rPr>
              <w:t>Mjedis</w:t>
            </w:r>
          </w:p>
        </w:tc>
        <w:tc>
          <w:tcPr>
            <w:tcW w:w="2299" w:type="dxa"/>
            <w:tcBorders>
              <w:bottom w:val="nil"/>
            </w:tcBorders>
          </w:tcPr>
          <w:p>
            <w:pPr>
              <w:pStyle w:val="TableParagraph"/>
              <w:ind w:left="169" w:right="158"/>
              <w:jc w:val="center"/>
              <w:rPr>
                <w:sz w:val="20"/>
              </w:rPr>
            </w:pPr>
            <w:r>
              <w:rPr>
                <w:spacing w:val="-2"/>
                <w:sz w:val="20"/>
              </w:rPr>
              <w:t>DUKMM</w:t>
            </w:r>
          </w:p>
        </w:tc>
        <w:tc>
          <w:tcPr>
            <w:tcW w:w="1562" w:type="dxa"/>
            <w:tcBorders>
              <w:bottom w:val="nil"/>
            </w:tcBorders>
          </w:tcPr>
          <w:p>
            <w:pPr>
              <w:pStyle w:val="TableParagraph"/>
              <w:spacing w:line="241" w:lineRule="exact"/>
              <w:ind w:left="108"/>
              <w:rPr>
                <w:sz w:val="21"/>
              </w:rPr>
            </w:pPr>
            <w:r>
              <w:rPr>
                <w:sz w:val="21"/>
              </w:rPr>
              <w:t>2023-</w:t>
            </w:r>
            <w:r>
              <w:rPr>
                <w:spacing w:val="-4"/>
                <w:sz w:val="21"/>
              </w:rPr>
              <w:t>2028</w:t>
            </w:r>
          </w:p>
        </w:tc>
        <w:tc>
          <w:tcPr>
            <w:tcW w:w="1563" w:type="dxa"/>
            <w:tcBorders>
              <w:bottom w:val="nil"/>
            </w:tcBorders>
          </w:tcPr>
          <w:p>
            <w:pPr>
              <w:pStyle w:val="TableParagraph"/>
              <w:spacing w:line="241" w:lineRule="exact"/>
              <w:ind w:left="109"/>
              <w:rPr>
                <w:sz w:val="21"/>
              </w:rPr>
            </w:pPr>
            <w:r>
              <w:rPr>
                <w:spacing w:val="-2"/>
                <w:sz w:val="21"/>
              </w:rPr>
              <w:t>300,000</w:t>
            </w:r>
          </w:p>
        </w:tc>
        <w:tc>
          <w:tcPr>
            <w:tcW w:w="1931" w:type="dxa"/>
            <w:tcBorders>
              <w:bottom w:val="nil"/>
            </w:tcBorders>
          </w:tcPr>
          <w:p>
            <w:pPr>
              <w:pStyle w:val="TableParagraph"/>
              <w:spacing w:line="241" w:lineRule="exact"/>
              <w:ind w:left="109"/>
              <w:rPr>
                <w:sz w:val="21"/>
              </w:rPr>
            </w:pPr>
            <w:r>
              <w:rPr>
                <w:spacing w:val="-2"/>
                <w:sz w:val="21"/>
              </w:rPr>
              <w:t>Komuna</w:t>
            </w:r>
          </w:p>
        </w:tc>
      </w:tr>
      <w:tr>
        <w:trPr>
          <w:trHeight w:val="467" w:hRule="atLeast"/>
        </w:trPr>
        <w:tc>
          <w:tcPr>
            <w:tcW w:w="1471" w:type="dxa"/>
            <w:vMerge/>
            <w:tcBorders>
              <w:top w:val="nil"/>
            </w:tcBorders>
            <w:textDirection w:val="btLr"/>
          </w:tcPr>
          <w:p>
            <w:pPr>
              <w:rPr>
                <w:sz w:val="2"/>
                <w:szCs w:val="2"/>
              </w:rPr>
            </w:pPr>
          </w:p>
        </w:tc>
        <w:tc>
          <w:tcPr>
            <w:tcW w:w="2575" w:type="dxa"/>
            <w:tcBorders>
              <w:top w:val="nil"/>
              <w:bottom w:val="nil"/>
            </w:tcBorders>
          </w:tcPr>
          <w:p>
            <w:pPr>
              <w:pStyle w:val="TableParagraph"/>
              <w:rPr>
                <w:sz w:val="20"/>
              </w:rPr>
            </w:pPr>
          </w:p>
        </w:tc>
        <w:tc>
          <w:tcPr>
            <w:tcW w:w="2575" w:type="dxa"/>
            <w:vMerge/>
            <w:tcBorders>
              <w:top w:val="nil"/>
            </w:tcBorders>
          </w:tcPr>
          <w:p>
            <w:pPr>
              <w:rPr>
                <w:sz w:val="2"/>
                <w:szCs w:val="2"/>
              </w:rPr>
            </w:pPr>
          </w:p>
        </w:tc>
        <w:tc>
          <w:tcPr>
            <w:tcW w:w="2299" w:type="dxa"/>
            <w:tcBorders>
              <w:top w:val="nil"/>
              <w:bottom w:val="nil"/>
            </w:tcBorders>
          </w:tcPr>
          <w:p>
            <w:pPr>
              <w:pStyle w:val="TableParagraph"/>
              <w:spacing w:before="103"/>
              <w:ind w:left="170" w:right="158"/>
              <w:jc w:val="center"/>
              <w:rPr>
                <w:sz w:val="20"/>
              </w:rPr>
            </w:pPr>
            <w:r>
              <w:rPr>
                <w:spacing w:val="-4"/>
                <w:sz w:val="20"/>
              </w:rPr>
              <w:t>DSHP</w:t>
            </w:r>
          </w:p>
        </w:tc>
        <w:tc>
          <w:tcPr>
            <w:tcW w:w="1562" w:type="dxa"/>
            <w:tcBorders>
              <w:top w:val="nil"/>
              <w:bottom w:val="nil"/>
            </w:tcBorders>
          </w:tcPr>
          <w:p>
            <w:pPr>
              <w:pStyle w:val="TableParagraph"/>
              <w:rPr>
                <w:sz w:val="20"/>
              </w:rPr>
            </w:pPr>
          </w:p>
        </w:tc>
        <w:tc>
          <w:tcPr>
            <w:tcW w:w="1563" w:type="dxa"/>
            <w:tcBorders>
              <w:top w:val="nil"/>
              <w:bottom w:val="nil"/>
            </w:tcBorders>
          </w:tcPr>
          <w:p>
            <w:pPr>
              <w:pStyle w:val="TableParagraph"/>
              <w:rPr>
                <w:sz w:val="20"/>
              </w:rPr>
            </w:pPr>
          </w:p>
        </w:tc>
        <w:tc>
          <w:tcPr>
            <w:tcW w:w="1931" w:type="dxa"/>
            <w:tcBorders>
              <w:top w:val="nil"/>
              <w:bottom w:val="nil"/>
            </w:tcBorders>
          </w:tcPr>
          <w:p>
            <w:pPr>
              <w:pStyle w:val="TableParagraph"/>
              <w:spacing w:before="128"/>
              <w:ind w:left="109"/>
              <w:rPr>
                <w:sz w:val="21"/>
              </w:rPr>
            </w:pPr>
            <w:r>
              <w:rPr>
                <w:spacing w:val="-2"/>
                <w:sz w:val="21"/>
              </w:rPr>
              <w:t>SharrCem</w:t>
            </w:r>
          </w:p>
        </w:tc>
      </w:tr>
      <w:tr>
        <w:trPr>
          <w:trHeight w:val="963" w:hRule="atLeast"/>
        </w:trPr>
        <w:tc>
          <w:tcPr>
            <w:tcW w:w="1471" w:type="dxa"/>
            <w:vMerge/>
            <w:tcBorders>
              <w:top w:val="nil"/>
            </w:tcBorders>
            <w:textDirection w:val="btLr"/>
          </w:tcPr>
          <w:p>
            <w:pPr>
              <w:rPr>
                <w:sz w:val="2"/>
                <w:szCs w:val="2"/>
              </w:rPr>
            </w:pPr>
          </w:p>
        </w:tc>
        <w:tc>
          <w:tcPr>
            <w:tcW w:w="2575" w:type="dxa"/>
            <w:tcBorders>
              <w:top w:val="nil"/>
            </w:tcBorders>
          </w:tcPr>
          <w:p>
            <w:pPr>
              <w:pStyle w:val="TableParagraph"/>
              <w:rPr>
                <w:sz w:val="20"/>
              </w:rPr>
            </w:pPr>
          </w:p>
        </w:tc>
        <w:tc>
          <w:tcPr>
            <w:tcW w:w="2575" w:type="dxa"/>
            <w:vMerge/>
            <w:tcBorders>
              <w:top w:val="nil"/>
            </w:tcBorders>
          </w:tcPr>
          <w:p>
            <w:pPr>
              <w:rPr>
                <w:sz w:val="2"/>
                <w:szCs w:val="2"/>
              </w:rPr>
            </w:pPr>
          </w:p>
        </w:tc>
        <w:tc>
          <w:tcPr>
            <w:tcW w:w="2299" w:type="dxa"/>
            <w:tcBorders>
              <w:top w:val="nil"/>
            </w:tcBorders>
          </w:tcPr>
          <w:p>
            <w:pPr>
              <w:pStyle w:val="TableParagraph"/>
              <w:spacing w:before="89"/>
              <w:ind w:left="168" w:right="158"/>
              <w:jc w:val="center"/>
              <w:rPr>
                <w:sz w:val="20"/>
              </w:rPr>
            </w:pPr>
            <w:r>
              <w:rPr>
                <w:spacing w:val="-4"/>
                <w:sz w:val="20"/>
              </w:rPr>
              <w:t>DZHE</w:t>
            </w:r>
          </w:p>
        </w:tc>
        <w:tc>
          <w:tcPr>
            <w:tcW w:w="1562" w:type="dxa"/>
            <w:tcBorders>
              <w:top w:val="nil"/>
            </w:tcBorders>
          </w:tcPr>
          <w:p>
            <w:pPr>
              <w:pStyle w:val="TableParagraph"/>
              <w:rPr>
                <w:sz w:val="20"/>
              </w:rPr>
            </w:pPr>
          </w:p>
        </w:tc>
        <w:tc>
          <w:tcPr>
            <w:tcW w:w="1563" w:type="dxa"/>
            <w:tcBorders>
              <w:top w:val="nil"/>
            </w:tcBorders>
          </w:tcPr>
          <w:p>
            <w:pPr>
              <w:pStyle w:val="TableParagraph"/>
              <w:rPr>
                <w:sz w:val="20"/>
              </w:rPr>
            </w:pPr>
          </w:p>
        </w:tc>
        <w:tc>
          <w:tcPr>
            <w:tcW w:w="1931" w:type="dxa"/>
            <w:tcBorders>
              <w:top w:val="nil"/>
            </w:tcBorders>
          </w:tcPr>
          <w:p>
            <w:pPr>
              <w:pStyle w:val="TableParagraph"/>
              <w:spacing w:before="140"/>
              <w:ind w:left="109"/>
              <w:rPr>
                <w:sz w:val="21"/>
              </w:rPr>
            </w:pPr>
            <w:r>
              <w:rPr>
                <w:spacing w:val="-2"/>
                <w:sz w:val="21"/>
              </w:rPr>
              <w:t>Donatorët</w:t>
            </w:r>
          </w:p>
        </w:tc>
      </w:tr>
    </w:tbl>
    <w:p>
      <w:pPr>
        <w:spacing w:after="0"/>
        <w:rPr>
          <w:sz w:val="21"/>
        </w:rPr>
        <w:sectPr>
          <w:pgSz w:w="15840" w:h="12240" w:orient="landscape"/>
          <w:pgMar w:header="0" w:footer="990" w:top="1380" w:bottom="1180" w:left="420" w:right="160"/>
        </w:sectPr>
      </w:pPr>
    </w:p>
    <w:p>
      <w:pPr>
        <w:pStyle w:val="BodyText"/>
        <w:spacing w:before="5"/>
        <w:rPr>
          <w:b/>
          <w:sz w:val="21"/>
        </w:rPr>
      </w:pPr>
    </w:p>
    <w:p>
      <w:pPr>
        <w:spacing w:before="90"/>
        <w:ind w:left="2486" w:right="2746" w:firstLine="0"/>
        <w:jc w:val="center"/>
        <w:rPr>
          <w:b/>
          <w:sz w:val="24"/>
        </w:rPr>
      </w:pPr>
      <w:r>
        <w:rPr>
          <w:b/>
          <w:sz w:val="24"/>
        </w:rPr>
        <w:t>OBJEKTIVAT</w:t>
      </w:r>
      <w:r>
        <w:rPr>
          <w:b/>
          <w:spacing w:val="56"/>
          <w:sz w:val="24"/>
        </w:rPr>
        <w:t> </w:t>
      </w:r>
      <w:r>
        <w:rPr>
          <w:b/>
          <w:sz w:val="24"/>
        </w:rPr>
        <w:t>PËR</w:t>
      </w:r>
      <w:r>
        <w:rPr>
          <w:b/>
          <w:spacing w:val="58"/>
          <w:sz w:val="24"/>
        </w:rPr>
        <w:t> </w:t>
      </w:r>
      <w:r>
        <w:rPr>
          <w:b/>
          <w:sz w:val="24"/>
        </w:rPr>
        <w:t>BUJQËSI</w:t>
      </w:r>
      <w:r>
        <w:rPr>
          <w:b/>
          <w:spacing w:val="-2"/>
          <w:sz w:val="24"/>
        </w:rPr>
        <w:t> </w:t>
      </w:r>
      <w:r>
        <w:rPr>
          <w:b/>
          <w:sz w:val="24"/>
        </w:rPr>
        <w:t>DHE</w:t>
      </w:r>
      <w:r>
        <w:rPr>
          <w:b/>
          <w:spacing w:val="-1"/>
          <w:sz w:val="24"/>
        </w:rPr>
        <w:t> </w:t>
      </w:r>
      <w:r>
        <w:rPr>
          <w:b/>
          <w:sz w:val="24"/>
        </w:rPr>
        <w:t>ZHVILLIM</w:t>
      </w:r>
      <w:r>
        <w:rPr>
          <w:b/>
          <w:spacing w:val="-2"/>
          <w:sz w:val="24"/>
        </w:rPr>
        <w:t> RURAL</w:t>
      </w:r>
    </w:p>
    <w:p>
      <w:pPr>
        <w:pStyle w:val="BodyText"/>
        <w:spacing w:before="11"/>
        <w:rPr>
          <w:b/>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3848"/>
        <w:gridCol w:w="2321"/>
        <w:gridCol w:w="155"/>
        <w:gridCol w:w="1935"/>
        <w:gridCol w:w="1620"/>
        <w:gridCol w:w="1890"/>
        <w:gridCol w:w="1800"/>
      </w:tblGrid>
      <w:tr>
        <w:trPr>
          <w:trHeight w:val="729" w:hRule="atLeast"/>
        </w:trPr>
        <w:tc>
          <w:tcPr>
            <w:tcW w:w="1193" w:type="dxa"/>
            <w:tcBorders>
              <w:bottom w:val="single" w:sz="12" w:space="0" w:color="DAD5B1"/>
            </w:tcBorders>
            <w:shd w:val="clear" w:color="auto" w:fill="F9DFC2"/>
          </w:tcPr>
          <w:p>
            <w:pPr>
              <w:pStyle w:val="TableParagraph"/>
              <w:spacing w:before="1"/>
              <w:ind w:left="189"/>
              <w:rPr>
                <w:b/>
                <w:sz w:val="20"/>
              </w:rPr>
            </w:pPr>
            <w:r>
              <w:rPr>
                <w:b/>
                <w:spacing w:val="-2"/>
                <w:sz w:val="20"/>
              </w:rPr>
              <w:t>Objektivi</w:t>
            </w:r>
          </w:p>
        </w:tc>
        <w:tc>
          <w:tcPr>
            <w:tcW w:w="3848" w:type="dxa"/>
            <w:tcBorders>
              <w:bottom w:val="single" w:sz="12" w:space="0" w:color="DAD5B1"/>
            </w:tcBorders>
            <w:shd w:val="clear" w:color="auto" w:fill="F9DFC2"/>
          </w:tcPr>
          <w:p>
            <w:pPr>
              <w:pStyle w:val="TableParagraph"/>
              <w:spacing w:before="1"/>
              <w:ind w:left="1376" w:right="1367"/>
              <w:jc w:val="center"/>
              <w:rPr>
                <w:b/>
                <w:sz w:val="20"/>
              </w:rPr>
            </w:pPr>
            <w:r>
              <w:rPr>
                <w:b/>
                <w:spacing w:val="-2"/>
                <w:sz w:val="20"/>
              </w:rPr>
              <w:t>Pritshmëritë</w:t>
            </w:r>
          </w:p>
        </w:tc>
        <w:tc>
          <w:tcPr>
            <w:tcW w:w="2476" w:type="dxa"/>
            <w:gridSpan w:val="2"/>
            <w:tcBorders>
              <w:bottom w:val="single" w:sz="12" w:space="0" w:color="DAD5B1"/>
            </w:tcBorders>
            <w:shd w:val="clear" w:color="auto" w:fill="F9DFC2"/>
          </w:tcPr>
          <w:p>
            <w:pPr>
              <w:pStyle w:val="TableParagraph"/>
              <w:spacing w:before="1"/>
              <w:ind w:left="453"/>
              <w:rPr>
                <w:b/>
                <w:sz w:val="20"/>
              </w:rPr>
            </w:pPr>
            <w:r>
              <w:rPr>
                <w:b/>
                <w:spacing w:val="-2"/>
                <w:sz w:val="20"/>
              </w:rPr>
              <w:t>Aktiviteti/Projekti</w:t>
            </w:r>
          </w:p>
        </w:tc>
        <w:tc>
          <w:tcPr>
            <w:tcW w:w="1935" w:type="dxa"/>
            <w:tcBorders>
              <w:bottom w:val="single" w:sz="12" w:space="0" w:color="DAD5B1"/>
            </w:tcBorders>
            <w:shd w:val="clear" w:color="auto" w:fill="F9DFC2"/>
          </w:tcPr>
          <w:p>
            <w:pPr>
              <w:pStyle w:val="TableParagraph"/>
              <w:spacing w:line="276" w:lineRule="auto" w:before="1"/>
              <w:ind w:left="387" w:right="312" w:hanging="64"/>
              <w:rPr>
                <w:b/>
                <w:sz w:val="20"/>
              </w:rPr>
            </w:pPr>
            <w:r>
              <w:rPr>
                <w:b/>
                <w:sz w:val="20"/>
              </w:rPr>
              <w:t>Përgjegjësi</w:t>
            </w:r>
            <w:r>
              <w:rPr>
                <w:b/>
                <w:spacing w:val="-13"/>
                <w:sz w:val="20"/>
              </w:rPr>
              <w:t> </w:t>
            </w:r>
            <w:r>
              <w:rPr>
                <w:b/>
                <w:sz w:val="20"/>
              </w:rPr>
              <w:t>për </w:t>
            </w:r>
            <w:r>
              <w:rPr>
                <w:b/>
                <w:spacing w:val="-2"/>
                <w:sz w:val="20"/>
              </w:rPr>
              <w:t>Implementim</w:t>
            </w:r>
          </w:p>
        </w:tc>
        <w:tc>
          <w:tcPr>
            <w:tcW w:w="1620" w:type="dxa"/>
            <w:tcBorders>
              <w:bottom w:val="single" w:sz="12" w:space="0" w:color="DAD5B1"/>
            </w:tcBorders>
            <w:shd w:val="clear" w:color="auto" w:fill="F9DFC2"/>
          </w:tcPr>
          <w:p>
            <w:pPr>
              <w:pStyle w:val="TableParagraph"/>
              <w:spacing w:before="1"/>
              <w:ind w:left="136"/>
              <w:rPr>
                <w:b/>
                <w:sz w:val="20"/>
              </w:rPr>
            </w:pPr>
            <w:r>
              <w:rPr>
                <w:b/>
                <w:sz w:val="20"/>
              </w:rPr>
              <w:t>Afati i</w:t>
            </w:r>
            <w:r>
              <w:rPr>
                <w:b/>
                <w:spacing w:val="-1"/>
                <w:sz w:val="20"/>
              </w:rPr>
              <w:t> </w:t>
            </w:r>
            <w:r>
              <w:rPr>
                <w:b/>
                <w:spacing w:val="-2"/>
                <w:sz w:val="20"/>
              </w:rPr>
              <w:t>Zbatimit</w:t>
            </w:r>
          </w:p>
        </w:tc>
        <w:tc>
          <w:tcPr>
            <w:tcW w:w="1890" w:type="dxa"/>
            <w:tcBorders>
              <w:bottom w:val="single" w:sz="12" w:space="0" w:color="DAD5B1"/>
            </w:tcBorders>
            <w:shd w:val="clear" w:color="auto" w:fill="F9DFC2"/>
          </w:tcPr>
          <w:p>
            <w:pPr>
              <w:pStyle w:val="TableParagraph"/>
              <w:spacing w:before="1"/>
              <w:ind w:left="107"/>
              <w:rPr>
                <w:b/>
                <w:sz w:val="20"/>
              </w:rPr>
            </w:pPr>
            <w:r>
              <w:rPr>
                <w:b/>
                <w:sz w:val="20"/>
              </w:rPr>
              <w:t>Vlerae</w:t>
            </w:r>
            <w:r>
              <w:rPr>
                <w:b/>
                <w:spacing w:val="-1"/>
                <w:sz w:val="20"/>
              </w:rPr>
              <w:t> </w:t>
            </w:r>
            <w:r>
              <w:rPr>
                <w:b/>
                <w:spacing w:val="-2"/>
                <w:sz w:val="20"/>
              </w:rPr>
              <w:t>parashikuar</w:t>
            </w:r>
          </w:p>
        </w:tc>
        <w:tc>
          <w:tcPr>
            <w:tcW w:w="1800" w:type="dxa"/>
            <w:tcBorders>
              <w:bottom w:val="single" w:sz="12" w:space="0" w:color="DAD5B1"/>
            </w:tcBorders>
            <w:shd w:val="clear" w:color="auto" w:fill="F9DFC2"/>
          </w:tcPr>
          <w:p>
            <w:pPr>
              <w:pStyle w:val="TableParagraph"/>
              <w:spacing w:line="256" w:lineRule="auto" w:before="1"/>
              <w:ind w:left="431" w:firstLine="108"/>
              <w:rPr>
                <w:b/>
                <w:sz w:val="20"/>
              </w:rPr>
            </w:pPr>
            <w:r>
              <w:rPr>
                <w:b/>
                <w:sz w:val="20"/>
              </w:rPr>
              <w:t>Burimi i </w:t>
            </w:r>
            <w:r>
              <w:rPr>
                <w:b/>
                <w:spacing w:val="-2"/>
                <w:sz w:val="20"/>
              </w:rPr>
              <w:t>Financimit</w:t>
            </w:r>
          </w:p>
        </w:tc>
      </w:tr>
      <w:tr>
        <w:trPr>
          <w:trHeight w:val="920" w:hRule="atLeast"/>
        </w:trPr>
        <w:tc>
          <w:tcPr>
            <w:tcW w:w="1193" w:type="dxa"/>
            <w:vMerge w:val="restart"/>
            <w:tcBorders>
              <w:top w:val="single" w:sz="12" w:space="0" w:color="DAD5B1"/>
            </w:tcBorders>
            <w:textDirection w:val="btLr"/>
          </w:tcPr>
          <w:p>
            <w:pPr>
              <w:pStyle w:val="TableParagraph"/>
              <w:rPr>
                <w:b/>
                <w:sz w:val="22"/>
              </w:rPr>
            </w:pPr>
          </w:p>
          <w:p>
            <w:pPr>
              <w:pStyle w:val="TableParagraph"/>
              <w:tabs>
                <w:tab w:pos="1718" w:val="left" w:leader="none"/>
              </w:tabs>
              <w:spacing w:before="129"/>
              <w:ind w:left="1358"/>
              <w:rPr>
                <w:b/>
                <w:sz w:val="20"/>
              </w:rPr>
            </w:pPr>
            <w:r>
              <w:rPr>
                <w:b/>
                <w:spacing w:val="-5"/>
                <w:sz w:val="20"/>
              </w:rPr>
              <w:t>5.</w:t>
            </w:r>
            <w:r>
              <w:rPr>
                <w:b/>
                <w:sz w:val="20"/>
              </w:rPr>
              <w:tab/>
              <w:t>VETEDIJESIM</w:t>
            </w:r>
            <w:r>
              <w:rPr>
                <w:b/>
                <w:spacing w:val="-2"/>
                <w:sz w:val="20"/>
              </w:rPr>
              <w:t> </w:t>
            </w:r>
            <w:r>
              <w:rPr>
                <w:b/>
                <w:sz w:val="20"/>
              </w:rPr>
              <w:t>I</w:t>
            </w:r>
            <w:r>
              <w:rPr>
                <w:b/>
                <w:spacing w:val="-3"/>
                <w:sz w:val="20"/>
              </w:rPr>
              <w:t> </w:t>
            </w:r>
            <w:r>
              <w:rPr>
                <w:b/>
                <w:sz w:val="20"/>
              </w:rPr>
              <w:t>LARTE</w:t>
            </w:r>
            <w:r>
              <w:rPr>
                <w:b/>
                <w:spacing w:val="-3"/>
                <w:sz w:val="20"/>
              </w:rPr>
              <w:t> </w:t>
            </w:r>
            <w:r>
              <w:rPr>
                <w:b/>
                <w:sz w:val="20"/>
              </w:rPr>
              <w:t>RRETH</w:t>
            </w:r>
            <w:r>
              <w:rPr>
                <w:b/>
                <w:spacing w:val="-3"/>
                <w:sz w:val="20"/>
              </w:rPr>
              <w:t> </w:t>
            </w:r>
            <w:r>
              <w:rPr>
                <w:b/>
                <w:spacing w:val="-2"/>
                <w:sz w:val="20"/>
              </w:rPr>
              <w:t>FERMAVE</w:t>
            </w:r>
          </w:p>
        </w:tc>
        <w:tc>
          <w:tcPr>
            <w:tcW w:w="3848" w:type="dxa"/>
            <w:vMerge w:val="restart"/>
            <w:tcBorders>
              <w:top w:val="single" w:sz="12" w:space="0" w:color="DAD5B1"/>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31"/>
              </w:rPr>
            </w:pPr>
          </w:p>
          <w:p>
            <w:pPr>
              <w:pStyle w:val="TableParagraph"/>
              <w:numPr>
                <w:ilvl w:val="0"/>
                <w:numId w:val="20"/>
              </w:numPr>
              <w:tabs>
                <w:tab w:pos="878" w:val="left" w:leader="none"/>
              </w:tabs>
              <w:spacing w:line="239" w:lineRule="exact" w:before="0" w:after="0"/>
              <w:ind w:left="878" w:right="0" w:hanging="411"/>
              <w:jc w:val="left"/>
              <w:rPr>
                <w:b/>
                <w:sz w:val="20"/>
              </w:rPr>
            </w:pPr>
            <w:r>
              <w:rPr>
                <w:b/>
                <w:sz w:val="20"/>
              </w:rPr>
              <w:t>Promovimi</w:t>
            </w:r>
            <w:r>
              <w:rPr>
                <w:b/>
                <w:spacing w:val="-2"/>
                <w:sz w:val="20"/>
              </w:rPr>
              <w:t> </w:t>
            </w:r>
            <w:r>
              <w:rPr>
                <w:b/>
                <w:sz w:val="20"/>
              </w:rPr>
              <w:t>i</w:t>
            </w:r>
            <w:r>
              <w:rPr>
                <w:b/>
                <w:spacing w:val="-2"/>
                <w:sz w:val="20"/>
              </w:rPr>
              <w:t> </w:t>
            </w:r>
            <w:r>
              <w:rPr>
                <w:b/>
                <w:sz w:val="20"/>
              </w:rPr>
              <w:t>potencialit</w:t>
            </w:r>
            <w:r>
              <w:rPr>
                <w:b/>
                <w:spacing w:val="-2"/>
                <w:sz w:val="20"/>
              </w:rPr>
              <w:t> </w:t>
            </w:r>
            <w:r>
              <w:rPr>
                <w:b/>
                <w:sz w:val="20"/>
              </w:rPr>
              <w:t>të</w:t>
            </w:r>
            <w:r>
              <w:rPr>
                <w:b/>
                <w:spacing w:val="-2"/>
                <w:sz w:val="20"/>
              </w:rPr>
              <w:t> fermës</w:t>
            </w:r>
          </w:p>
          <w:p>
            <w:pPr>
              <w:pStyle w:val="TableParagraph"/>
              <w:numPr>
                <w:ilvl w:val="0"/>
                <w:numId w:val="20"/>
              </w:numPr>
              <w:tabs>
                <w:tab w:pos="828" w:val="left" w:leader="none"/>
              </w:tabs>
              <w:spacing w:line="230" w:lineRule="exact" w:before="0" w:after="0"/>
              <w:ind w:left="827" w:right="0" w:hanging="361"/>
              <w:jc w:val="left"/>
              <w:rPr>
                <w:b/>
                <w:sz w:val="20"/>
              </w:rPr>
            </w:pPr>
            <w:r>
              <w:rPr>
                <w:b/>
                <w:sz w:val="20"/>
              </w:rPr>
              <w:t>Promovimi</w:t>
            </w:r>
            <w:r>
              <w:rPr>
                <w:b/>
                <w:spacing w:val="-1"/>
                <w:sz w:val="20"/>
              </w:rPr>
              <w:t> </w:t>
            </w:r>
            <w:r>
              <w:rPr>
                <w:b/>
                <w:sz w:val="20"/>
              </w:rPr>
              <w:t>i</w:t>
            </w:r>
            <w:r>
              <w:rPr>
                <w:b/>
                <w:spacing w:val="-3"/>
                <w:sz w:val="20"/>
              </w:rPr>
              <w:t> </w:t>
            </w:r>
            <w:r>
              <w:rPr>
                <w:b/>
                <w:sz w:val="20"/>
              </w:rPr>
              <w:t>bujqësisë</w:t>
            </w:r>
            <w:r>
              <w:rPr>
                <w:b/>
                <w:spacing w:val="-2"/>
                <w:sz w:val="20"/>
              </w:rPr>
              <w:t> organike</w:t>
            </w:r>
          </w:p>
          <w:p>
            <w:pPr>
              <w:pStyle w:val="TableParagraph"/>
              <w:numPr>
                <w:ilvl w:val="0"/>
                <w:numId w:val="20"/>
              </w:numPr>
              <w:tabs>
                <w:tab w:pos="828" w:val="left" w:leader="none"/>
              </w:tabs>
              <w:spacing w:line="238" w:lineRule="exact" w:before="0" w:after="0"/>
              <w:ind w:left="827" w:right="0" w:hanging="361"/>
              <w:jc w:val="left"/>
              <w:rPr>
                <w:b/>
                <w:sz w:val="20"/>
              </w:rPr>
            </w:pPr>
            <w:r>
              <w:rPr>
                <w:b/>
                <w:sz w:val="20"/>
              </w:rPr>
              <w:t>Tërheqja</w:t>
            </w:r>
            <w:r>
              <w:rPr>
                <w:b/>
                <w:spacing w:val="-2"/>
                <w:sz w:val="20"/>
              </w:rPr>
              <w:t> </w:t>
            </w:r>
            <w:r>
              <w:rPr>
                <w:b/>
                <w:sz w:val="20"/>
              </w:rPr>
              <w:t>e</w:t>
            </w:r>
            <w:r>
              <w:rPr>
                <w:b/>
                <w:spacing w:val="-1"/>
                <w:sz w:val="20"/>
              </w:rPr>
              <w:t> </w:t>
            </w:r>
            <w:r>
              <w:rPr>
                <w:b/>
                <w:spacing w:val="-2"/>
                <w:sz w:val="20"/>
              </w:rPr>
              <w:t>donatorëve</w:t>
            </w:r>
          </w:p>
        </w:tc>
        <w:tc>
          <w:tcPr>
            <w:tcW w:w="2476" w:type="dxa"/>
            <w:gridSpan w:val="2"/>
            <w:tcBorders>
              <w:top w:val="single" w:sz="12" w:space="0" w:color="DAD5B1"/>
            </w:tcBorders>
          </w:tcPr>
          <w:p>
            <w:pPr>
              <w:pStyle w:val="TableParagraph"/>
              <w:ind w:left="827"/>
              <w:rPr>
                <w:sz w:val="20"/>
              </w:rPr>
            </w:pPr>
            <w:r>
              <w:rPr>
                <w:sz w:val="20"/>
              </w:rPr>
              <w:t>Prezantimi i politikave</w:t>
            </w:r>
            <w:r>
              <w:rPr>
                <w:spacing w:val="-13"/>
                <w:sz w:val="20"/>
              </w:rPr>
              <w:t> </w:t>
            </w:r>
            <w:r>
              <w:rPr>
                <w:sz w:val="20"/>
              </w:rPr>
              <w:t>të</w:t>
            </w:r>
            <w:r>
              <w:rPr>
                <w:spacing w:val="-12"/>
                <w:sz w:val="20"/>
              </w:rPr>
              <w:t> </w:t>
            </w:r>
            <w:r>
              <w:rPr>
                <w:sz w:val="20"/>
              </w:rPr>
              <w:t>mira bujqësore</w:t>
            </w:r>
            <w:r>
              <w:rPr>
                <w:spacing w:val="40"/>
                <w:sz w:val="20"/>
              </w:rPr>
              <w:t> </w:t>
            </w:r>
            <w:r>
              <w:rPr>
                <w:sz w:val="20"/>
              </w:rPr>
              <w:t>dhe</w:t>
            </w:r>
          </w:p>
          <w:p>
            <w:pPr>
              <w:pStyle w:val="TableParagraph"/>
              <w:spacing w:line="210" w:lineRule="exact"/>
              <w:ind w:left="827"/>
              <w:rPr>
                <w:sz w:val="20"/>
              </w:rPr>
            </w:pPr>
            <w:r>
              <w:rPr>
                <w:spacing w:val="-2"/>
                <w:sz w:val="20"/>
              </w:rPr>
              <w:t>mjedisore</w:t>
            </w:r>
          </w:p>
        </w:tc>
        <w:tc>
          <w:tcPr>
            <w:tcW w:w="1935" w:type="dxa"/>
            <w:tcBorders>
              <w:top w:val="single" w:sz="12" w:space="0" w:color="DAD5B1"/>
            </w:tcBorders>
          </w:tcPr>
          <w:p>
            <w:pPr>
              <w:pStyle w:val="TableParagraph"/>
              <w:spacing w:before="11"/>
              <w:rPr>
                <w:b/>
                <w:sz w:val="19"/>
              </w:rPr>
            </w:pPr>
          </w:p>
          <w:p>
            <w:pPr>
              <w:pStyle w:val="TableParagraph"/>
              <w:ind w:left="466"/>
              <w:rPr>
                <w:sz w:val="20"/>
              </w:rPr>
            </w:pPr>
            <w:r>
              <w:rPr>
                <w:spacing w:val="-2"/>
                <w:sz w:val="20"/>
              </w:rPr>
              <w:t>DBPZHR-</w:t>
            </w:r>
            <w:r>
              <w:rPr>
                <w:spacing w:val="-5"/>
                <w:sz w:val="20"/>
              </w:rPr>
              <w:t>ja</w:t>
            </w:r>
          </w:p>
        </w:tc>
        <w:tc>
          <w:tcPr>
            <w:tcW w:w="1620" w:type="dxa"/>
            <w:tcBorders>
              <w:top w:val="single" w:sz="12" w:space="0" w:color="DAD5B1"/>
            </w:tcBorders>
          </w:tcPr>
          <w:p>
            <w:pPr>
              <w:pStyle w:val="TableParagraph"/>
              <w:spacing w:before="11"/>
              <w:rPr>
                <w:b/>
                <w:sz w:val="19"/>
              </w:rPr>
            </w:pPr>
          </w:p>
          <w:p>
            <w:pPr>
              <w:pStyle w:val="TableParagraph"/>
              <w:ind w:left="106"/>
              <w:rPr>
                <w:sz w:val="20"/>
              </w:rPr>
            </w:pPr>
            <w:r>
              <w:rPr>
                <w:spacing w:val="-2"/>
                <w:sz w:val="20"/>
              </w:rPr>
              <w:t>2024-</w:t>
            </w:r>
            <w:r>
              <w:rPr>
                <w:spacing w:val="-4"/>
                <w:sz w:val="20"/>
              </w:rPr>
              <w:t>2025</w:t>
            </w:r>
          </w:p>
        </w:tc>
        <w:tc>
          <w:tcPr>
            <w:tcW w:w="1890" w:type="dxa"/>
            <w:tcBorders>
              <w:top w:val="single" w:sz="12" w:space="0" w:color="DAD5B1"/>
            </w:tcBorders>
          </w:tcPr>
          <w:p>
            <w:pPr>
              <w:pStyle w:val="TableParagraph"/>
              <w:spacing w:before="11"/>
              <w:rPr>
                <w:b/>
                <w:sz w:val="19"/>
              </w:rPr>
            </w:pPr>
          </w:p>
          <w:p>
            <w:pPr>
              <w:pStyle w:val="TableParagraph"/>
              <w:ind w:left="106"/>
              <w:rPr>
                <w:sz w:val="20"/>
              </w:rPr>
            </w:pPr>
            <w:r>
              <w:rPr>
                <w:sz w:val="20"/>
              </w:rPr>
              <w:t>1,000.00</w:t>
            </w:r>
            <w:r>
              <w:rPr>
                <w:spacing w:val="-2"/>
                <w:sz w:val="20"/>
              </w:rPr>
              <w:t> </w:t>
            </w:r>
            <w:r>
              <w:rPr>
                <w:spacing w:val="-10"/>
                <w:sz w:val="20"/>
              </w:rPr>
              <w:t>€</w:t>
            </w:r>
          </w:p>
        </w:tc>
        <w:tc>
          <w:tcPr>
            <w:tcW w:w="1800" w:type="dxa"/>
            <w:tcBorders>
              <w:top w:val="single" w:sz="12" w:space="0" w:color="DAD5B1"/>
            </w:tcBorders>
          </w:tcPr>
          <w:p>
            <w:pPr>
              <w:pStyle w:val="TableParagraph"/>
              <w:spacing w:before="11"/>
              <w:rPr>
                <w:b/>
                <w:sz w:val="19"/>
              </w:rPr>
            </w:pPr>
          </w:p>
          <w:p>
            <w:pPr>
              <w:pStyle w:val="TableParagraph"/>
              <w:ind w:left="106"/>
              <w:rPr>
                <w:sz w:val="20"/>
              </w:rPr>
            </w:pPr>
            <w:r>
              <w:rPr>
                <w:sz w:val="20"/>
              </w:rPr>
              <w:t>Komuna</w:t>
            </w:r>
            <w:r>
              <w:rPr>
                <w:spacing w:val="-1"/>
                <w:sz w:val="20"/>
              </w:rPr>
              <w:t> </w:t>
            </w:r>
            <w:r>
              <w:rPr>
                <w:spacing w:val="-5"/>
                <w:sz w:val="20"/>
              </w:rPr>
              <w:t>HE</w:t>
            </w:r>
          </w:p>
        </w:tc>
      </w:tr>
      <w:tr>
        <w:trPr>
          <w:trHeight w:val="818"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gridSpan w:val="2"/>
          </w:tcPr>
          <w:p>
            <w:pPr>
              <w:pStyle w:val="TableParagraph"/>
              <w:tabs>
                <w:tab w:pos="827" w:val="left" w:leader="none"/>
              </w:tabs>
              <w:ind w:left="827" w:right="574" w:hanging="360"/>
              <w:rPr>
                <w:sz w:val="20"/>
              </w:rPr>
            </w:pPr>
            <w:r>
              <w:rPr>
                <w:spacing w:val="-6"/>
                <w:sz w:val="20"/>
              </w:rPr>
              <w:t>1.</w:t>
            </w:r>
            <w:r>
              <w:rPr>
                <w:sz w:val="20"/>
              </w:rPr>
              <w:tab/>
              <w:t>Organizimi i panairit</w:t>
            </w:r>
            <w:r>
              <w:rPr>
                <w:spacing w:val="-2"/>
                <w:sz w:val="20"/>
              </w:rPr>
              <w:t> </w:t>
            </w:r>
            <w:r>
              <w:rPr>
                <w:spacing w:val="-2"/>
                <w:sz w:val="20"/>
              </w:rPr>
              <w:t>lokal</w:t>
            </w:r>
          </w:p>
        </w:tc>
        <w:tc>
          <w:tcPr>
            <w:tcW w:w="1935" w:type="dxa"/>
          </w:tcPr>
          <w:p>
            <w:pPr>
              <w:pStyle w:val="TableParagraph"/>
              <w:rPr>
                <w:b/>
                <w:sz w:val="20"/>
              </w:rPr>
            </w:pPr>
          </w:p>
          <w:p>
            <w:pPr>
              <w:pStyle w:val="TableParagraph"/>
              <w:ind w:left="106"/>
              <w:rPr>
                <w:sz w:val="20"/>
              </w:rPr>
            </w:pPr>
            <w:r>
              <w:rPr>
                <w:sz w:val="20"/>
              </w:rPr>
              <w:t>DBPZHR-ja,</w:t>
            </w:r>
            <w:r>
              <w:rPr>
                <w:spacing w:val="-2"/>
                <w:sz w:val="20"/>
              </w:rPr>
              <w:t> </w:t>
            </w:r>
            <w:r>
              <w:rPr>
                <w:spacing w:val="-4"/>
                <w:sz w:val="20"/>
              </w:rPr>
              <w:t>DZHE</w:t>
            </w:r>
          </w:p>
        </w:tc>
        <w:tc>
          <w:tcPr>
            <w:tcW w:w="1620" w:type="dxa"/>
          </w:tcPr>
          <w:p>
            <w:pPr>
              <w:pStyle w:val="TableParagraph"/>
              <w:spacing w:before="11"/>
              <w:rPr>
                <w:b/>
                <w:sz w:val="19"/>
              </w:rPr>
            </w:pPr>
          </w:p>
          <w:p>
            <w:pPr>
              <w:pStyle w:val="TableParagraph"/>
              <w:ind w:left="106"/>
              <w:rPr>
                <w:sz w:val="20"/>
              </w:rPr>
            </w:pPr>
            <w:r>
              <w:rPr>
                <w:spacing w:val="-2"/>
                <w:sz w:val="20"/>
              </w:rPr>
              <w:t>2023-</w:t>
            </w:r>
            <w:r>
              <w:rPr>
                <w:spacing w:val="-4"/>
                <w:sz w:val="20"/>
              </w:rPr>
              <w:t>2027</w:t>
            </w:r>
          </w:p>
        </w:tc>
        <w:tc>
          <w:tcPr>
            <w:tcW w:w="1890" w:type="dxa"/>
          </w:tcPr>
          <w:p>
            <w:pPr>
              <w:pStyle w:val="TableParagraph"/>
              <w:spacing w:before="11"/>
              <w:rPr>
                <w:b/>
                <w:sz w:val="19"/>
              </w:rPr>
            </w:pPr>
          </w:p>
          <w:p>
            <w:pPr>
              <w:pStyle w:val="TableParagraph"/>
              <w:ind w:left="106"/>
              <w:rPr>
                <w:sz w:val="20"/>
              </w:rPr>
            </w:pPr>
            <w:r>
              <w:rPr>
                <w:sz w:val="20"/>
              </w:rPr>
              <w:t>2,500.00</w:t>
            </w:r>
            <w:r>
              <w:rPr>
                <w:spacing w:val="-2"/>
                <w:sz w:val="20"/>
              </w:rPr>
              <w:t> </w:t>
            </w:r>
            <w:r>
              <w:rPr>
                <w:spacing w:val="-10"/>
                <w:sz w:val="20"/>
              </w:rPr>
              <w:t>€</w:t>
            </w:r>
          </w:p>
        </w:tc>
        <w:tc>
          <w:tcPr>
            <w:tcW w:w="1800" w:type="dxa"/>
          </w:tcPr>
          <w:p>
            <w:pPr>
              <w:pStyle w:val="TableParagraph"/>
              <w:spacing w:before="11"/>
              <w:rPr>
                <w:b/>
                <w:sz w:val="19"/>
              </w:rPr>
            </w:pPr>
          </w:p>
          <w:p>
            <w:pPr>
              <w:pStyle w:val="TableParagraph"/>
              <w:ind w:left="106"/>
              <w:rPr>
                <w:sz w:val="20"/>
              </w:rPr>
            </w:pPr>
            <w:r>
              <w:rPr>
                <w:sz w:val="20"/>
              </w:rPr>
              <w:t>Komuna HE Organizatat</w:t>
            </w:r>
            <w:r>
              <w:rPr>
                <w:spacing w:val="-13"/>
                <w:sz w:val="20"/>
              </w:rPr>
              <w:t> </w:t>
            </w:r>
            <w:r>
              <w:rPr>
                <w:sz w:val="20"/>
              </w:rPr>
              <w:t>e</w:t>
            </w:r>
            <w:r>
              <w:rPr>
                <w:spacing w:val="-12"/>
                <w:sz w:val="20"/>
              </w:rPr>
              <w:t> </w:t>
            </w:r>
            <w:r>
              <w:rPr>
                <w:sz w:val="20"/>
              </w:rPr>
              <w:t>huaja</w:t>
            </w:r>
          </w:p>
        </w:tc>
      </w:tr>
      <w:tr>
        <w:trPr>
          <w:trHeight w:val="799"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gridSpan w:val="2"/>
          </w:tcPr>
          <w:p>
            <w:pPr>
              <w:pStyle w:val="TableParagraph"/>
              <w:tabs>
                <w:tab w:pos="827" w:val="left" w:leader="none"/>
              </w:tabs>
              <w:ind w:left="827" w:right="574" w:hanging="360"/>
              <w:rPr>
                <w:sz w:val="20"/>
              </w:rPr>
            </w:pPr>
            <w:r>
              <w:rPr>
                <w:spacing w:val="-6"/>
                <w:sz w:val="20"/>
              </w:rPr>
              <w:t>2.</w:t>
            </w:r>
            <w:r>
              <w:rPr>
                <w:sz w:val="20"/>
              </w:rPr>
              <w:tab/>
              <w:t>Organizimi i panairit</w:t>
            </w:r>
            <w:r>
              <w:rPr>
                <w:spacing w:val="-2"/>
                <w:sz w:val="20"/>
              </w:rPr>
              <w:t> </w:t>
            </w:r>
            <w:r>
              <w:rPr>
                <w:spacing w:val="-2"/>
                <w:sz w:val="20"/>
              </w:rPr>
              <w:t>lokal</w:t>
            </w:r>
          </w:p>
        </w:tc>
        <w:tc>
          <w:tcPr>
            <w:tcW w:w="1935" w:type="dxa"/>
          </w:tcPr>
          <w:p>
            <w:pPr>
              <w:pStyle w:val="TableParagraph"/>
              <w:spacing w:before="11"/>
              <w:rPr>
                <w:b/>
                <w:sz w:val="19"/>
              </w:rPr>
            </w:pPr>
          </w:p>
          <w:p>
            <w:pPr>
              <w:pStyle w:val="TableParagraph"/>
              <w:ind w:left="148"/>
              <w:rPr>
                <w:sz w:val="20"/>
              </w:rPr>
            </w:pPr>
            <w:r>
              <w:rPr>
                <w:sz w:val="20"/>
              </w:rPr>
              <w:t>DBPZHR-ja,</w:t>
            </w:r>
            <w:r>
              <w:rPr>
                <w:spacing w:val="-2"/>
                <w:sz w:val="20"/>
              </w:rPr>
              <w:t> </w:t>
            </w:r>
            <w:r>
              <w:rPr>
                <w:spacing w:val="-4"/>
                <w:sz w:val="20"/>
              </w:rPr>
              <w:t>DZHE</w:t>
            </w:r>
          </w:p>
        </w:tc>
        <w:tc>
          <w:tcPr>
            <w:tcW w:w="1620" w:type="dxa"/>
          </w:tcPr>
          <w:p>
            <w:pPr>
              <w:pStyle w:val="TableParagraph"/>
              <w:spacing w:before="11"/>
              <w:rPr>
                <w:b/>
                <w:sz w:val="19"/>
              </w:rPr>
            </w:pPr>
          </w:p>
          <w:p>
            <w:pPr>
              <w:pStyle w:val="TableParagraph"/>
              <w:ind w:left="106"/>
              <w:rPr>
                <w:sz w:val="20"/>
              </w:rPr>
            </w:pPr>
            <w:r>
              <w:rPr>
                <w:spacing w:val="-2"/>
                <w:sz w:val="20"/>
              </w:rPr>
              <w:t>2023-</w:t>
            </w:r>
            <w:r>
              <w:rPr>
                <w:spacing w:val="-4"/>
                <w:sz w:val="20"/>
              </w:rPr>
              <w:t>2027</w:t>
            </w:r>
          </w:p>
        </w:tc>
        <w:tc>
          <w:tcPr>
            <w:tcW w:w="1890" w:type="dxa"/>
          </w:tcPr>
          <w:p>
            <w:pPr>
              <w:pStyle w:val="TableParagraph"/>
              <w:spacing w:before="11"/>
              <w:rPr>
                <w:b/>
                <w:sz w:val="19"/>
              </w:rPr>
            </w:pPr>
          </w:p>
          <w:p>
            <w:pPr>
              <w:pStyle w:val="TableParagraph"/>
              <w:ind w:left="106"/>
              <w:rPr>
                <w:sz w:val="20"/>
              </w:rPr>
            </w:pPr>
            <w:r>
              <w:rPr>
                <w:sz w:val="20"/>
              </w:rPr>
              <w:t>2,500.00</w:t>
            </w:r>
            <w:r>
              <w:rPr>
                <w:spacing w:val="-2"/>
                <w:sz w:val="20"/>
              </w:rPr>
              <w:t> </w:t>
            </w:r>
            <w:r>
              <w:rPr>
                <w:spacing w:val="-10"/>
                <w:sz w:val="20"/>
              </w:rPr>
              <w:t>€</w:t>
            </w:r>
          </w:p>
        </w:tc>
        <w:tc>
          <w:tcPr>
            <w:tcW w:w="1800" w:type="dxa"/>
          </w:tcPr>
          <w:p>
            <w:pPr>
              <w:pStyle w:val="TableParagraph"/>
              <w:spacing w:before="11"/>
              <w:rPr>
                <w:b/>
                <w:sz w:val="19"/>
              </w:rPr>
            </w:pPr>
          </w:p>
          <w:p>
            <w:pPr>
              <w:pStyle w:val="TableParagraph"/>
              <w:ind w:left="106"/>
              <w:rPr>
                <w:sz w:val="20"/>
              </w:rPr>
            </w:pPr>
            <w:r>
              <w:rPr>
                <w:sz w:val="20"/>
              </w:rPr>
              <w:t>Komuna HE Organizatat</w:t>
            </w:r>
            <w:r>
              <w:rPr>
                <w:spacing w:val="-13"/>
                <w:sz w:val="20"/>
              </w:rPr>
              <w:t> </w:t>
            </w:r>
            <w:r>
              <w:rPr>
                <w:sz w:val="20"/>
              </w:rPr>
              <w:t>e</w:t>
            </w:r>
            <w:r>
              <w:rPr>
                <w:spacing w:val="-12"/>
                <w:sz w:val="20"/>
              </w:rPr>
              <w:t> </w:t>
            </w:r>
            <w:r>
              <w:rPr>
                <w:sz w:val="20"/>
              </w:rPr>
              <w:t>huaja</w:t>
            </w:r>
          </w:p>
        </w:tc>
      </w:tr>
      <w:tr>
        <w:trPr>
          <w:trHeight w:val="904"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321" w:type="dxa"/>
          </w:tcPr>
          <w:p>
            <w:pPr>
              <w:pStyle w:val="TableParagraph"/>
              <w:spacing w:line="259" w:lineRule="auto"/>
              <w:ind w:left="107" w:right="108"/>
              <w:rPr>
                <w:sz w:val="20"/>
              </w:rPr>
            </w:pPr>
            <w:r>
              <w:rPr>
                <w:sz w:val="20"/>
              </w:rPr>
              <w:t>Promovimi I produkteve të</w:t>
            </w:r>
            <w:r>
              <w:rPr>
                <w:spacing w:val="-13"/>
                <w:sz w:val="20"/>
              </w:rPr>
              <w:t> </w:t>
            </w:r>
            <w:r>
              <w:rPr>
                <w:sz w:val="20"/>
              </w:rPr>
              <w:t>ferrmës</w:t>
            </w:r>
            <w:r>
              <w:rPr>
                <w:spacing w:val="-12"/>
                <w:sz w:val="20"/>
              </w:rPr>
              <w:t> </w:t>
            </w:r>
            <w:r>
              <w:rPr>
                <w:sz w:val="20"/>
              </w:rPr>
              <w:t>permes</w:t>
            </w:r>
            <w:r>
              <w:rPr>
                <w:spacing w:val="-13"/>
                <w:sz w:val="20"/>
              </w:rPr>
              <w:t> </w:t>
            </w:r>
            <w:r>
              <w:rPr>
                <w:sz w:val="20"/>
              </w:rPr>
              <w:t>rrjeteve </w:t>
            </w:r>
            <w:r>
              <w:rPr>
                <w:spacing w:val="-2"/>
                <w:sz w:val="20"/>
              </w:rPr>
              <w:t>sociale</w:t>
            </w:r>
          </w:p>
        </w:tc>
        <w:tc>
          <w:tcPr>
            <w:tcW w:w="2090" w:type="dxa"/>
            <w:gridSpan w:val="2"/>
          </w:tcPr>
          <w:p>
            <w:pPr>
              <w:pStyle w:val="TableParagraph"/>
              <w:ind w:left="106"/>
              <w:rPr>
                <w:sz w:val="20"/>
              </w:rPr>
            </w:pPr>
            <w:r>
              <w:rPr>
                <w:sz w:val="20"/>
              </w:rPr>
              <w:t>DBPZHR-ja,</w:t>
            </w:r>
            <w:r>
              <w:rPr>
                <w:spacing w:val="48"/>
                <w:sz w:val="20"/>
              </w:rPr>
              <w:t>  </w:t>
            </w:r>
            <w:r>
              <w:rPr>
                <w:spacing w:val="-4"/>
                <w:sz w:val="20"/>
              </w:rPr>
              <w:t>,DAP</w:t>
            </w:r>
          </w:p>
        </w:tc>
        <w:tc>
          <w:tcPr>
            <w:tcW w:w="1620" w:type="dxa"/>
          </w:tcPr>
          <w:p>
            <w:pPr>
              <w:pStyle w:val="TableParagraph"/>
              <w:rPr>
                <w:b/>
                <w:sz w:val="20"/>
              </w:rPr>
            </w:pPr>
          </w:p>
          <w:p>
            <w:pPr>
              <w:pStyle w:val="TableParagraph"/>
              <w:ind w:left="106"/>
              <w:rPr>
                <w:sz w:val="20"/>
              </w:rPr>
            </w:pPr>
            <w:r>
              <w:rPr>
                <w:spacing w:val="-2"/>
                <w:sz w:val="20"/>
              </w:rPr>
              <w:t>2024-</w:t>
            </w:r>
            <w:r>
              <w:rPr>
                <w:spacing w:val="-4"/>
                <w:sz w:val="20"/>
              </w:rPr>
              <w:t>2027</w:t>
            </w:r>
          </w:p>
        </w:tc>
        <w:tc>
          <w:tcPr>
            <w:tcW w:w="1890" w:type="dxa"/>
          </w:tcPr>
          <w:p>
            <w:pPr>
              <w:pStyle w:val="TableParagraph"/>
              <w:rPr>
                <w:b/>
                <w:sz w:val="20"/>
              </w:rPr>
            </w:pPr>
          </w:p>
          <w:p>
            <w:pPr>
              <w:pStyle w:val="TableParagraph"/>
              <w:ind w:left="106"/>
              <w:rPr>
                <w:sz w:val="20"/>
              </w:rPr>
            </w:pPr>
            <w:r>
              <w:rPr>
                <w:sz w:val="20"/>
              </w:rPr>
              <w:t>1,000.00</w:t>
            </w:r>
            <w:r>
              <w:rPr>
                <w:spacing w:val="-2"/>
                <w:sz w:val="20"/>
              </w:rPr>
              <w:t> </w:t>
            </w:r>
            <w:r>
              <w:rPr>
                <w:spacing w:val="-10"/>
                <w:sz w:val="20"/>
              </w:rPr>
              <w:t>€</w:t>
            </w:r>
          </w:p>
        </w:tc>
        <w:tc>
          <w:tcPr>
            <w:tcW w:w="1800" w:type="dxa"/>
          </w:tcPr>
          <w:p>
            <w:pPr>
              <w:pStyle w:val="TableParagraph"/>
              <w:spacing w:before="11"/>
              <w:rPr>
                <w:b/>
                <w:sz w:val="19"/>
              </w:rPr>
            </w:pPr>
          </w:p>
          <w:p>
            <w:pPr>
              <w:pStyle w:val="TableParagraph"/>
              <w:ind w:left="106"/>
              <w:rPr>
                <w:sz w:val="20"/>
              </w:rPr>
            </w:pPr>
            <w:r>
              <w:rPr>
                <w:sz w:val="20"/>
              </w:rPr>
              <w:t>Komuna</w:t>
            </w:r>
            <w:r>
              <w:rPr>
                <w:spacing w:val="-1"/>
                <w:sz w:val="20"/>
              </w:rPr>
              <w:t> </w:t>
            </w:r>
            <w:r>
              <w:rPr>
                <w:spacing w:val="-5"/>
                <w:sz w:val="20"/>
              </w:rPr>
              <w:t>HE</w:t>
            </w:r>
          </w:p>
        </w:tc>
      </w:tr>
      <w:tr>
        <w:trPr>
          <w:trHeight w:val="1070"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gridSpan w:val="2"/>
          </w:tcPr>
          <w:p>
            <w:pPr>
              <w:pStyle w:val="TableParagraph"/>
              <w:tabs>
                <w:tab w:pos="827" w:val="left" w:leader="none"/>
              </w:tabs>
              <w:ind w:left="827" w:right="158" w:hanging="360"/>
              <w:rPr>
                <w:sz w:val="20"/>
              </w:rPr>
            </w:pPr>
            <w:r>
              <w:rPr>
                <w:spacing w:val="-6"/>
                <w:sz w:val="20"/>
              </w:rPr>
              <w:t>3.</w:t>
            </w:r>
            <w:r>
              <w:rPr>
                <w:sz w:val="20"/>
              </w:rPr>
              <w:tab/>
            </w:r>
            <w:r>
              <w:rPr>
                <w:spacing w:val="-2"/>
                <w:sz w:val="20"/>
              </w:rPr>
              <w:t>Fushata </w:t>
            </w:r>
            <w:r>
              <w:rPr>
                <w:sz w:val="20"/>
              </w:rPr>
              <w:t>senzibilizuese</w:t>
            </w:r>
            <w:r>
              <w:rPr>
                <w:spacing w:val="14"/>
                <w:sz w:val="20"/>
              </w:rPr>
              <w:t> </w:t>
            </w:r>
            <w:r>
              <w:rPr>
                <w:sz w:val="20"/>
              </w:rPr>
              <w:t>për bujqësi organike</w:t>
            </w:r>
          </w:p>
        </w:tc>
        <w:tc>
          <w:tcPr>
            <w:tcW w:w="1935" w:type="dxa"/>
          </w:tcPr>
          <w:p>
            <w:pPr>
              <w:pStyle w:val="TableParagraph"/>
              <w:ind w:left="466"/>
              <w:rPr>
                <w:sz w:val="20"/>
              </w:rPr>
            </w:pPr>
            <w:r>
              <w:rPr>
                <w:spacing w:val="-2"/>
                <w:sz w:val="20"/>
              </w:rPr>
              <w:t>DBPZHR-</w:t>
            </w:r>
            <w:r>
              <w:rPr>
                <w:spacing w:val="-5"/>
                <w:sz w:val="20"/>
              </w:rPr>
              <w:t>ja</w:t>
            </w:r>
          </w:p>
        </w:tc>
        <w:tc>
          <w:tcPr>
            <w:tcW w:w="1620" w:type="dxa"/>
          </w:tcPr>
          <w:p>
            <w:pPr>
              <w:pStyle w:val="TableParagraph"/>
              <w:ind w:left="106"/>
              <w:rPr>
                <w:sz w:val="20"/>
              </w:rPr>
            </w:pPr>
            <w:r>
              <w:rPr>
                <w:spacing w:val="-2"/>
                <w:sz w:val="20"/>
              </w:rPr>
              <w:t>2024-</w:t>
            </w:r>
            <w:r>
              <w:rPr>
                <w:spacing w:val="-4"/>
                <w:sz w:val="20"/>
              </w:rPr>
              <w:t>2025</w:t>
            </w:r>
          </w:p>
        </w:tc>
        <w:tc>
          <w:tcPr>
            <w:tcW w:w="1890" w:type="dxa"/>
          </w:tcPr>
          <w:p>
            <w:pPr>
              <w:pStyle w:val="TableParagraph"/>
              <w:spacing w:before="11"/>
              <w:rPr>
                <w:b/>
                <w:sz w:val="19"/>
              </w:rPr>
            </w:pPr>
          </w:p>
          <w:p>
            <w:pPr>
              <w:pStyle w:val="TableParagraph"/>
              <w:ind w:left="106"/>
              <w:rPr>
                <w:sz w:val="20"/>
              </w:rPr>
            </w:pPr>
            <w:r>
              <w:rPr>
                <w:sz w:val="20"/>
              </w:rPr>
              <w:t>2,000.00</w:t>
            </w:r>
            <w:r>
              <w:rPr>
                <w:spacing w:val="-2"/>
                <w:sz w:val="20"/>
              </w:rPr>
              <w:t> </w:t>
            </w:r>
            <w:r>
              <w:rPr>
                <w:spacing w:val="-10"/>
                <w:sz w:val="20"/>
              </w:rPr>
              <w:t>€</w:t>
            </w:r>
          </w:p>
        </w:tc>
        <w:tc>
          <w:tcPr>
            <w:tcW w:w="1800" w:type="dxa"/>
          </w:tcPr>
          <w:p>
            <w:pPr>
              <w:pStyle w:val="TableParagraph"/>
              <w:spacing w:before="11"/>
              <w:rPr>
                <w:b/>
                <w:sz w:val="19"/>
              </w:rPr>
            </w:pPr>
          </w:p>
          <w:p>
            <w:pPr>
              <w:pStyle w:val="TableParagraph"/>
              <w:ind w:left="106"/>
              <w:rPr>
                <w:sz w:val="20"/>
              </w:rPr>
            </w:pPr>
            <w:r>
              <w:rPr>
                <w:sz w:val="20"/>
              </w:rPr>
              <w:t>Komuna</w:t>
            </w:r>
            <w:r>
              <w:rPr>
                <w:spacing w:val="-1"/>
                <w:sz w:val="20"/>
              </w:rPr>
              <w:t> </w:t>
            </w:r>
            <w:r>
              <w:rPr>
                <w:spacing w:val="-5"/>
                <w:sz w:val="20"/>
              </w:rPr>
              <w:t>HE</w:t>
            </w:r>
          </w:p>
        </w:tc>
      </w:tr>
      <w:tr>
        <w:trPr>
          <w:trHeight w:val="1258"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gridSpan w:val="2"/>
          </w:tcPr>
          <w:p>
            <w:pPr>
              <w:pStyle w:val="TableParagraph"/>
              <w:tabs>
                <w:tab w:pos="827" w:val="left" w:leader="none"/>
              </w:tabs>
              <w:ind w:left="827" w:right="476" w:hanging="360"/>
              <w:rPr>
                <w:sz w:val="20"/>
              </w:rPr>
            </w:pPr>
            <w:r>
              <w:rPr>
                <w:spacing w:val="-6"/>
                <w:sz w:val="20"/>
              </w:rPr>
              <w:t>4.</w:t>
            </w:r>
            <w:r>
              <w:rPr>
                <w:sz w:val="20"/>
              </w:rPr>
              <w:tab/>
              <w:t>Tërheqja e investimeve</w:t>
            </w:r>
            <w:r>
              <w:rPr>
                <w:spacing w:val="-13"/>
                <w:sz w:val="20"/>
              </w:rPr>
              <w:t> </w:t>
            </w:r>
            <w:r>
              <w:rPr>
                <w:sz w:val="20"/>
              </w:rPr>
              <w:t>të </w:t>
            </w:r>
            <w:r>
              <w:rPr>
                <w:spacing w:val="-2"/>
                <w:sz w:val="20"/>
              </w:rPr>
              <w:t>huaja</w:t>
            </w:r>
          </w:p>
        </w:tc>
        <w:tc>
          <w:tcPr>
            <w:tcW w:w="1935" w:type="dxa"/>
          </w:tcPr>
          <w:p>
            <w:pPr>
              <w:pStyle w:val="TableParagraph"/>
              <w:spacing w:line="230" w:lineRule="exact"/>
              <w:ind w:left="331" w:right="324"/>
              <w:jc w:val="center"/>
              <w:rPr>
                <w:sz w:val="20"/>
              </w:rPr>
            </w:pPr>
            <w:r>
              <w:rPr>
                <w:spacing w:val="-2"/>
                <w:sz w:val="20"/>
              </w:rPr>
              <w:t>DBPZHR-</w:t>
            </w:r>
            <w:r>
              <w:rPr>
                <w:spacing w:val="-5"/>
                <w:sz w:val="20"/>
              </w:rPr>
              <w:t>ja,</w:t>
            </w:r>
          </w:p>
          <w:p>
            <w:pPr>
              <w:pStyle w:val="TableParagraph"/>
              <w:spacing w:line="230" w:lineRule="exact"/>
              <w:ind w:left="332" w:right="323"/>
              <w:jc w:val="center"/>
              <w:rPr>
                <w:sz w:val="20"/>
              </w:rPr>
            </w:pPr>
            <w:r>
              <w:rPr>
                <w:spacing w:val="-2"/>
                <w:sz w:val="20"/>
              </w:rPr>
              <w:t>Donatorët</w:t>
            </w:r>
          </w:p>
        </w:tc>
        <w:tc>
          <w:tcPr>
            <w:tcW w:w="1620" w:type="dxa"/>
          </w:tcPr>
          <w:p>
            <w:pPr>
              <w:pStyle w:val="TableParagraph"/>
              <w:ind w:left="106"/>
              <w:rPr>
                <w:sz w:val="20"/>
              </w:rPr>
            </w:pPr>
            <w:r>
              <w:rPr>
                <w:spacing w:val="-2"/>
                <w:sz w:val="20"/>
              </w:rPr>
              <w:t>2024-</w:t>
            </w:r>
            <w:r>
              <w:rPr>
                <w:spacing w:val="-4"/>
                <w:sz w:val="20"/>
              </w:rPr>
              <w:t>2025</w:t>
            </w:r>
          </w:p>
        </w:tc>
        <w:tc>
          <w:tcPr>
            <w:tcW w:w="1890" w:type="dxa"/>
          </w:tcPr>
          <w:p>
            <w:pPr>
              <w:pStyle w:val="TableParagraph"/>
              <w:ind w:left="106"/>
              <w:rPr>
                <w:sz w:val="20"/>
              </w:rPr>
            </w:pPr>
            <w:r>
              <w:rPr>
                <w:sz w:val="20"/>
              </w:rPr>
              <w:t>2000.00</w:t>
            </w:r>
            <w:r>
              <w:rPr>
                <w:spacing w:val="-1"/>
                <w:sz w:val="20"/>
              </w:rPr>
              <w:t> </w:t>
            </w:r>
            <w:r>
              <w:rPr>
                <w:spacing w:val="-10"/>
                <w:sz w:val="20"/>
              </w:rPr>
              <w:t>€</w:t>
            </w:r>
          </w:p>
        </w:tc>
        <w:tc>
          <w:tcPr>
            <w:tcW w:w="1800" w:type="dxa"/>
          </w:tcPr>
          <w:p>
            <w:pPr>
              <w:pStyle w:val="TableParagraph"/>
              <w:spacing w:before="11"/>
              <w:rPr>
                <w:b/>
                <w:sz w:val="19"/>
              </w:rPr>
            </w:pPr>
          </w:p>
          <w:p>
            <w:pPr>
              <w:pStyle w:val="TableParagraph"/>
              <w:ind w:left="106"/>
              <w:rPr>
                <w:sz w:val="20"/>
              </w:rPr>
            </w:pPr>
            <w:r>
              <w:rPr>
                <w:sz w:val="20"/>
              </w:rPr>
              <w:t>Komuna HE Organizatat</w:t>
            </w:r>
            <w:r>
              <w:rPr>
                <w:spacing w:val="-13"/>
                <w:sz w:val="20"/>
              </w:rPr>
              <w:t> </w:t>
            </w:r>
            <w:r>
              <w:rPr>
                <w:sz w:val="20"/>
              </w:rPr>
              <w:t>e</w:t>
            </w:r>
            <w:r>
              <w:rPr>
                <w:spacing w:val="-12"/>
                <w:sz w:val="20"/>
              </w:rPr>
              <w:t> </w:t>
            </w:r>
            <w:r>
              <w:rPr>
                <w:sz w:val="20"/>
              </w:rPr>
              <w:t>huaja</w:t>
            </w:r>
          </w:p>
        </w:tc>
      </w:tr>
      <w:tr>
        <w:trPr>
          <w:trHeight w:val="1313"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gridSpan w:val="2"/>
          </w:tcPr>
          <w:p>
            <w:pPr>
              <w:pStyle w:val="TableParagraph"/>
              <w:tabs>
                <w:tab w:pos="827" w:val="left" w:leader="none"/>
              </w:tabs>
              <w:ind w:left="467"/>
              <w:rPr>
                <w:sz w:val="20"/>
              </w:rPr>
            </w:pPr>
            <w:r>
              <w:rPr>
                <w:spacing w:val="-5"/>
                <w:sz w:val="20"/>
              </w:rPr>
              <w:t>5.</w:t>
            </w:r>
            <w:r>
              <w:rPr>
                <w:sz w:val="20"/>
              </w:rPr>
              <w:tab/>
              <w:t>Hartimi</w:t>
            </w:r>
            <w:r>
              <w:rPr>
                <w:spacing w:val="-1"/>
                <w:sz w:val="20"/>
              </w:rPr>
              <w:t> </w:t>
            </w:r>
            <w:r>
              <w:rPr>
                <w:spacing w:val="-10"/>
                <w:sz w:val="20"/>
              </w:rPr>
              <w:t>i</w:t>
            </w:r>
          </w:p>
          <w:p>
            <w:pPr>
              <w:pStyle w:val="TableParagraph"/>
              <w:ind w:left="827" w:right="493"/>
              <w:rPr>
                <w:sz w:val="20"/>
              </w:rPr>
            </w:pPr>
            <w:r>
              <w:rPr>
                <w:sz w:val="20"/>
              </w:rPr>
              <w:t>strategjive</w:t>
            </w:r>
            <w:r>
              <w:rPr>
                <w:spacing w:val="-13"/>
                <w:sz w:val="20"/>
              </w:rPr>
              <w:t> </w:t>
            </w:r>
            <w:r>
              <w:rPr>
                <w:sz w:val="20"/>
              </w:rPr>
              <w:t>për mbështetje të </w:t>
            </w:r>
            <w:r>
              <w:rPr>
                <w:spacing w:val="-2"/>
                <w:sz w:val="20"/>
              </w:rPr>
              <w:t>fermës</w:t>
            </w:r>
          </w:p>
        </w:tc>
        <w:tc>
          <w:tcPr>
            <w:tcW w:w="1935" w:type="dxa"/>
          </w:tcPr>
          <w:p>
            <w:pPr>
              <w:pStyle w:val="TableParagraph"/>
              <w:ind w:left="106"/>
              <w:rPr>
                <w:sz w:val="20"/>
              </w:rPr>
            </w:pPr>
            <w:r>
              <w:rPr>
                <w:spacing w:val="-2"/>
                <w:sz w:val="20"/>
              </w:rPr>
              <w:t>DBPZHR-</w:t>
            </w:r>
            <w:r>
              <w:rPr>
                <w:spacing w:val="-5"/>
                <w:sz w:val="20"/>
              </w:rPr>
              <w:t>ja,</w:t>
            </w:r>
          </w:p>
          <w:p>
            <w:pPr>
              <w:pStyle w:val="TableParagraph"/>
              <w:ind w:left="106"/>
              <w:rPr>
                <w:sz w:val="20"/>
              </w:rPr>
            </w:pPr>
            <w:r>
              <w:rPr>
                <w:sz w:val="20"/>
              </w:rPr>
              <w:t>Shoqatat</w:t>
            </w:r>
            <w:r>
              <w:rPr>
                <w:spacing w:val="-2"/>
                <w:sz w:val="20"/>
              </w:rPr>
              <w:t> </w:t>
            </w:r>
            <w:r>
              <w:rPr>
                <w:sz w:val="20"/>
              </w:rPr>
              <w:t>e</w:t>
            </w:r>
            <w:r>
              <w:rPr>
                <w:spacing w:val="-1"/>
                <w:sz w:val="20"/>
              </w:rPr>
              <w:t> </w:t>
            </w:r>
            <w:r>
              <w:rPr>
                <w:spacing w:val="-2"/>
                <w:sz w:val="20"/>
              </w:rPr>
              <w:t>huaja</w:t>
            </w:r>
          </w:p>
        </w:tc>
        <w:tc>
          <w:tcPr>
            <w:tcW w:w="1620" w:type="dxa"/>
          </w:tcPr>
          <w:p>
            <w:pPr>
              <w:pStyle w:val="TableParagraph"/>
              <w:ind w:left="106"/>
              <w:rPr>
                <w:sz w:val="20"/>
              </w:rPr>
            </w:pPr>
            <w:r>
              <w:rPr>
                <w:spacing w:val="-2"/>
                <w:sz w:val="20"/>
              </w:rPr>
              <w:t>2023-</w:t>
            </w:r>
            <w:r>
              <w:rPr>
                <w:spacing w:val="-4"/>
                <w:sz w:val="20"/>
              </w:rPr>
              <w:t>2024</w:t>
            </w:r>
          </w:p>
        </w:tc>
        <w:tc>
          <w:tcPr>
            <w:tcW w:w="1890" w:type="dxa"/>
          </w:tcPr>
          <w:p>
            <w:pPr>
              <w:pStyle w:val="TableParagraph"/>
              <w:ind w:left="106"/>
              <w:rPr>
                <w:sz w:val="20"/>
              </w:rPr>
            </w:pPr>
            <w:r>
              <w:rPr>
                <w:sz w:val="20"/>
              </w:rPr>
              <w:t>2,500.00</w:t>
            </w:r>
            <w:r>
              <w:rPr>
                <w:spacing w:val="-2"/>
                <w:sz w:val="20"/>
              </w:rPr>
              <w:t> </w:t>
            </w:r>
            <w:r>
              <w:rPr>
                <w:spacing w:val="-10"/>
                <w:sz w:val="20"/>
              </w:rPr>
              <w:t>€</w:t>
            </w:r>
          </w:p>
        </w:tc>
        <w:tc>
          <w:tcPr>
            <w:tcW w:w="1800" w:type="dxa"/>
          </w:tcPr>
          <w:p>
            <w:pPr>
              <w:pStyle w:val="TableParagraph"/>
              <w:ind w:left="106"/>
              <w:rPr>
                <w:sz w:val="20"/>
              </w:rPr>
            </w:pPr>
            <w:r>
              <w:rPr>
                <w:sz w:val="20"/>
              </w:rPr>
              <w:t>Komuna HE Organizata</w:t>
            </w:r>
            <w:r>
              <w:rPr>
                <w:spacing w:val="-13"/>
                <w:sz w:val="20"/>
              </w:rPr>
              <w:t> </w:t>
            </w:r>
            <w:r>
              <w:rPr>
                <w:sz w:val="20"/>
              </w:rPr>
              <w:t>të</w:t>
            </w:r>
            <w:r>
              <w:rPr>
                <w:spacing w:val="-12"/>
                <w:sz w:val="20"/>
              </w:rPr>
              <w:t> </w:t>
            </w:r>
            <w:r>
              <w:rPr>
                <w:sz w:val="20"/>
              </w:rPr>
              <w:t>huaja</w:t>
            </w:r>
          </w:p>
        </w:tc>
      </w:tr>
    </w:tbl>
    <w:p>
      <w:pPr>
        <w:spacing w:after="0"/>
        <w:rPr>
          <w:sz w:val="20"/>
        </w:rPr>
        <w:sectPr>
          <w:pgSz w:w="15840" w:h="12240" w:orient="landscape"/>
          <w:pgMar w:header="0" w:footer="990" w:top="1380" w:bottom="1180" w:left="420" w:right="160"/>
        </w:sectPr>
      </w:pPr>
    </w:p>
    <w:p>
      <w:pPr>
        <w:pStyle w:val="BodyText"/>
        <w:spacing w:before="2"/>
        <w:rPr>
          <w:b/>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3848"/>
        <w:gridCol w:w="2476"/>
        <w:gridCol w:w="1935"/>
        <w:gridCol w:w="1620"/>
        <w:gridCol w:w="1890"/>
        <w:gridCol w:w="1800"/>
      </w:tblGrid>
      <w:tr>
        <w:trPr>
          <w:trHeight w:val="890" w:hRule="atLeast"/>
        </w:trPr>
        <w:tc>
          <w:tcPr>
            <w:tcW w:w="1193" w:type="dxa"/>
            <w:vMerge w:val="restart"/>
            <w:textDirection w:val="btLr"/>
          </w:tcPr>
          <w:p>
            <w:pPr>
              <w:pStyle w:val="TableParagraph"/>
              <w:rPr>
                <w:b/>
                <w:sz w:val="22"/>
              </w:rPr>
            </w:pPr>
          </w:p>
          <w:p>
            <w:pPr>
              <w:pStyle w:val="TableParagraph"/>
              <w:tabs>
                <w:tab w:pos="3225" w:val="left" w:leader="none"/>
              </w:tabs>
              <w:spacing w:before="129"/>
              <w:ind w:left="2865"/>
              <w:rPr>
                <w:b/>
                <w:sz w:val="20"/>
              </w:rPr>
            </w:pPr>
            <w:r>
              <w:rPr>
                <w:b/>
                <w:spacing w:val="-5"/>
                <w:sz w:val="20"/>
              </w:rPr>
              <w:t>6.</w:t>
            </w:r>
            <w:r>
              <w:rPr>
                <w:b/>
                <w:sz w:val="20"/>
              </w:rPr>
              <w:tab/>
              <w:t>ZHVILLIMI</w:t>
            </w:r>
            <w:r>
              <w:rPr>
                <w:b/>
                <w:spacing w:val="-2"/>
                <w:sz w:val="20"/>
              </w:rPr>
              <w:t> </w:t>
            </w:r>
            <w:r>
              <w:rPr>
                <w:b/>
                <w:sz w:val="20"/>
              </w:rPr>
              <w:t>I</w:t>
            </w:r>
            <w:r>
              <w:rPr>
                <w:b/>
                <w:spacing w:val="-1"/>
                <w:sz w:val="20"/>
              </w:rPr>
              <w:t> </w:t>
            </w:r>
            <w:r>
              <w:rPr>
                <w:b/>
                <w:spacing w:val="-2"/>
                <w:sz w:val="20"/>
              </w:rPr>
              <w:t>FERMAVE</w:t>
            </w:r>
          </w:p>
        </w:tc>
        <w:tc>
          <w:tcPr>
            <w:tcW w:w="384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9"/>
              </w:rPr>
            </w:pPr>
          </w:p>
          <w:p>
            <w:pPr>
              <w:pStyle w:val="TableParagraph"/>
              <w:numPr>
                <w:ilvl w:val="0"/>
                <w:numId w:val="21"/>
              </w:numPr>
              <w:tabs>
                <w:tab w:pos="862" w:val="left" w:leader="none"/>
              </w:tabs>
              <w:spacing w:line="223" w:lineRule="auto" w:before="0" w:after="0"/>
              <w:ind w:left="861" w:right="147" w:hanging="360"/>
              <w:jc w:val="left"/>
              <w:rPr>
                <w:b/>
                <w:sz w:val="20"/>
              </w:rPr>
            </w:pPr>
            <w:r>
              <w:rPr>
                <w:b/>
                <w:sz w:val="20"/>
              </w:rPr>
              <w:t>Zhvillimi</w:t>
            </w:r>
            <w:r>
              <w:rPr>
                <w:b/>
                <w:spacing w:val="-9"/>
                <w:sz w:val="20"/>
              </w:rPr>
              <w:t> </w:t>
            </w:r>
            <w:r>
              <w:rPr>
                <w:b/>
                <w:sz w:val="20"/>
              </w:rPr>
              <w:t>i</w:t>
            </w:r>
            <w:r>
              <w:rPr>
                <w:b/>
                <w:spacing w:val="-8"/>
                <w:sz w:val="20"/>
              </w:rPr>
              <w:t> </w:t>
            </w:r>
            <w:r>
              <w:rPr>
                <w:b/>
                <w:sz w:val="20"/>
              </w:rPr>
              <w:t>balancuar</w:t>
            </w:r>
            <w:r>
              <w:rPr>
                <w:b/>
                <w:spacing w:val="35"/>
                <w:sz w:val="20"/>
              </w:rPr>
              <w:t> </w:t>
            </w:r>
            <w:r>
              <w:rPr>
                <w:b/>
                <w:sz w:val="20"/>
              </w:rPr>
              <w:t>i</w:t>
            </w:r>
            <w:r>
              <w:rPr>
                <w:b/>
                <w:spacing w:val="-9"/>
                <w:sz w:val="20"/>
              </w:rPr>
              <w:t> </w:t>
            </w:r>
            <w:r>
              <w:rPr>
                <w:b/>
                <w:sz w:val="20"/>
              </w:rPr>
              <w:t>sektorëve të bujqësisë</w:t>
            </w:r>
          </w:p>
          <w:p>
            <w:pPr>
              <w:pStyle w:val="TableParagraph"/>
              <w:spacing w:before="4"/>
              <w:rPr>
                <w:b/>
                <w:sz w:val="21"/>
              </w:rPr>
            </w:pPr>
          </w:p>
          <w:p>
            <w:pPr>
              <w:pStyle w:val="TableParagraph"/>
              <w:numPr>
                <w:ilvl w:val="0"/>
                <w:numId w:val="21"/>
              </w:numPr>
              <w:tabs>
                <w:tab w:pos="828" w:val="left" w:leader="none"/>
              </w:tabs>
              <w:spacing w:line="223" w:lineRule="auto" w:before="0" w:after="0"/>
              <w:ind w:left="827" w:right="969" w:hanging="360"/>
              <w:jc w:val="left"/>
              <w:rPr>
                <w:b/>
                <w:sz w:val="20"/>
              </w:rPr>
            </w:pPr>
            <w:r>
              <w:rPr>
                <w:b/>
                <w:sz w:val="20"/>
              </w:rPr>
              <w:t>Mbështetja</w:t>
            </w:r>
            <w:r>
              <w:rPr>
                <w:b/>
                <w:spacing w:val="-12"/>
                <w:sz w:val="20"/>
              </w:rPr>
              <w:t> </w:t>
            </w:r>
            <w:r>
              <w:rPr>
                <w:b/>
                <w:sz w:val="20"/>
              </w:rPr>
              <w:t>e</w:t>
            </w:r>
            <w:r>
              <w:rPr>
                <w:b/>
                <w:spacing w:val="-13"/>
                <w:sz w:val="20"/>
              </w:rPr>
              <w:t> </w:t>
            </w:r>
            <w:r>
              <w:rPr>
                <w:b/>
                <w:sz w:val="20"/>
              </w:rPr>
              <w:t>fermës</w:t>
            </w:r>
            <w:r>
              <w:rPr>
                <w:b/>
                <w:spacing w:val="-12"/>
                <w:sz w:val="20"/>
              </w:rPr>
              <w:t> </w:t>
            </w:r>
            <w:r>
              <w:rPr>
                <w:b/>
                <w:sz w:val="20"/>
              </w:rPr>
              <w:t>me subvencione</w:t>
            </w:r>
            <w:r>
              <w:rPr>
                <w:b/>
                <w:spacing w:val="-5"/>
                <w:sz w:val="20"/>
              </w:rPr>
              <w:t> </w:t>
            </w:r>
            <w:r>
              <w:rPr>
                <w:b/>
                <w:sz w:val="20"/>
              </w:rPr>
              <w:t>dhe</w:t>
            </w:r>
            <w:r>
              <w:rPr>
                <w:b/>
                <w:spacing w:val="-5"/>
                <w:sz w:val="20"/>
              </w:rPr>
              <w:t> </w:t>
            </w:r>
            <w:r>
              <w:rPr>
                <w:b/>
                <w:sz w:val="20"/>
              </w:rPr>
              <w:t>grante</w:t>
            </w:r>
          </w:p>
          <w:p>
            <w:pPr>
              <w:pStyle w:val="TableParagraph"/>
              <w:spacing w:before="4"/>
              <w:rPr>
                <w:b/>
                <w:sz w:val="20"/>
              </w:rPr>
            </w:pPr>
          </w:p>
          <w:p>
            <w:pPr>
              <w:pStyle w:val="TableParagraph"/>
              <w:numPr>
                <w:ilvl w:val="0"/>
                <w:numId w:val="21"/>
              </w:numPr>
              <w:tabs>
                <w:tab w:pos="828" w:val="left" w:leader="none"/>
              </w:tabs>
              <w:spacing w:line="240" w:lineRule="auto" w:before="0" w:after="0"/>
              <w:ind w:left="827" w:right="0" w:hanging="361"/>
              <w:jc w:val="left"/>
              <w:rPr>
                <w:b/>
                <w:sz w:val="20"/>
              </w:rPr>
            </w:pPr>
            <w:r>
              <w:rPr>
                <w:b/>
                <w:sz w:val="20"/>
              </w:rPr>
              <w:t>Tërheqja</w:t>
            </w:r>
            <w:r>
              <w:rPr>
                <w:b/>
                <w:spacing w:val="-2"/>
                <w:sz w:val="20"/>
              </w:rPr>
              <w:t> </w:t>
            </w:r>
            <w:r>
              <w:rPr>
                <w:b/>
                <w:sz w:val="20"/>
              </w:rPr>
              <w:t>e</w:t>
            </w:r>
            <w:r>
              <w:rPr>
                <w:b/>
                <w:spacing w:val="-1"/>
                <w:sz w:val="20"/>
              </w:rPr>
              <w:t> </w:t>
            </w:r>
            <w:r>
              <w:rPr>
                <w:b/>
                <w:spacing w:val="-2"/>
                <w:sz w:val="20"/>
              </w:rPr>
              <w:t>donatorëve</w:t>
            </w:r>
          </w:p>
        </w:tc>
        <w:tc>
          <w:tcPr>
            <w:tcW w:w="2476" w:type="dxa"/>
          </w:tcPr>
          <w:p>
            <w:pPr>
              <w:pStyle w:val="TableParagraph"/>
              <w:tabs>
                <w:tab w:pos="827" w:val="left" w:leader="none"/>
              </w:tabs>
              <w:ind w:left="827" w:right="320" w:hanging="360"/>
              <w:rPr>
                <w:sz w:val="20"/>
              </w:rPr>
            </w:pPr>
            <w:r>
              <w:rPr>
                <w:spacing w:val="-6"/>
                <w:sz w:val="20"/>
              </w:rPr>
              <w:t>1.</w:t>
            </w:r>
            <w:r>
              <w:rPr>
                <w:sz w:val="20"/>
              </w:rPr>
              <w:tab/>
              <w:t>Subvencionimi</w:t>
            </w:r>
            <w:r>
              <w:rPr>
                <w:spacing w:val="-13"/>
                <w:sz w:val="20"/>
              </w:rPr>
              <w:t> </w:t>
            </w:r>
            <w:r>
              <w:rPr>
                <w:sz w:val="20"/>
              </w:rPr>
              <w:t>i </w:t>
            </w:r>
            <w:r>
              <w:rPr>
                <w:spacing w:val="-2"/>
                <w:sz w:val="20"/>
              </w:rPr>
              <w:t>fermës</w:t>
            </w:r>
          </w:p>
        </w:tc>
        <w:tc>
          <w:tcPr>
            <w:tcW w:w="1935" w:type="dxa"/>
          </w:tcPr>
          <w:p>
            <w:pPr>
              <w:pStyle w:val="TableParagraph"/>
              <w:ind w:left="449" w:right="431" w:hanging="9"/>
              <w:rPr>
                <w:sz w:val="20"/>
              </w:rPr>
            </w:pPr>
            <w:r>
              <w:rPr>
                <w:spacing w:val="-2"/>
                <w:sz w:val="20"/>
              </w:rPr>
              <w:t>DBPZHR-ja, MBPZHR-</w:t>
            </w:r>
            <w:r>
              <w:rPr>
                <w:spacing w:val="-5"/>
                <w:sz w:val="20"/>
              </w:rPr>
              <w:t>ja</w:t>
            </w:r>
          </w:p>
        </w:tc>
        <w:tc>
          <w:tcPr>
            <w:tcW w:w="1620" w:type="dxa"/>
          </w:tcPr>
          <w:p>
            <w:pPr>
              <w:pStyle w:val="TableParagraph"/>
              <w:ind w:left="106"/>
              <w:rPr>
                <w:sz w:val="20"/>
              </w:rPr>
            </w:pPr>
            <w:r>
              <w:rPr>
                <w:spacing w:val="-2"/>
                <w:sz w:val="20"/>
              </w:rPr>
              <w:t>2023-</w:t>
            </w:r>
            <w:r>
              <w:rPr>
                <w:spacing w:val="-4"/>
                <w:sz w:val="20"/>
              </w:rPr>
              <w:t>2027</w:t>
            </w:r>
          </w:p>
        </w:tc>
        <w:tc>
          <w:tcPr>
            <w:tcW w:w="1890" w:type="dxa"/>
          </w:tcPr>
          <w:p>
            <w:pPr>
              <w:pStyle w:val="TableParagraph"/>
              <w:ind w:left="106"/>
              <w:rPr>
                <w:sz w:val="20"/>
              </w:rPr>
            </w:pPr>
            <w:r>
              <w:rPr>
                <w:sz w:val="20"/>
              </w:rPr>
              <w:t>150,000.00</w:t>
            </w:r>
            <w:r>
              <w:rPr>
                <w:spacing w:val="-1"/>
                <w:sz w:val="20"/>
              </w:rPr>
              <w:t> </w:t>
            </w:r>
            <w:r>
              <w:rPr>
                <w:spacing w:val="-10"/>
                <w:sz w:val="20"/>
              </w:rPr>
              <w:t>€</w:t>
            </w:r>
          </w:p>
        </w:tc>
        <w:tc>
          <w:tcPr>
            <w:tcW w:w="1800" w:type="dxa"/>
          </w:tcPr>
          <w:p>
            <w:pPr>
              <w:pStyle w:val="TableParagraph"/>
              <w:ind w:left="106" w:right="625"/>
              <w:rPr>
                <w:sz w:val="20"/>
              </w:rPr>
            </w:pPr>
            <w:r>
              <w:rPr>
                <w:sz w:val="20"/>
              </w:rPr>
              <w:t>Komuna</w:t>
            </w:r>
            <w:r>
              <w:rPr>
                <w:spacing w:val="-13"/>
                <w:sz w:val="20"/>
              </w:rPr>
              <w:t> </w:t>
            </w:r>
            <w:r>
              <w:rPr>
                <w:sz w:val="20"/>
              </w:rPr>
              <w:t>HE, </w:t>
            </w:r>
            <w:r>
              <w:rPr>
                <w:spacing w:val="-2"/>
                <w:sz w:val="20"/>
              </w:rPr>
              <w:t>MBPZHR-</w:t>
            </w:r>
            <w:r>
              <w:rPr>
                <w:spacing w:val="-5"/>
                <w:sz w:val="20"/>
              </w:rPr>
              <w:t>ja</w:t>
            </w:r>
          </w:p>
        </w:tc>
      </w:tr>
      <w:tr>
        <w:trPr>
          <w:trHeight w:val="799"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464" w:hanging="360"/>
              <w:rPr>
                <w:sz w:val="20"/>
              </w:rPr>
            </w:pPr>
            <w:r>
              <w:rPr>
                <w:spacing w:val="-6"/>
                <w:sz w:val="20"/>
              </w:rPr>
              <w:t>2.</w:t>
            </w:r>
            <w:r>
              <w:rPr>
                <w:sz w:val="20"/>
              </w:rPr>
              <w:tab/>
              <w:t>Mbështetja e fermës</w:t>
            </w:r>
            <w:r>
              <w:rPr>
                <w:spacing w:val="-13"/>
                <w:sz w:val="20"/>
              </w:rPr>
              <w:t> </w:t>
            </w:r>
            <w:r>
              <w:rPr>
                <w:sz w:val="20"/>
              </w:rPr>
              <w:t>permes </w:t>
            </w:r>
            <w:r>
              <w:rPr>
                <w:spacing w:val="-2"/>
                <w:sz w:val="20"/>
              </w:rPr>
              <w:t>granteve</w:t>
            </w:r>
          </w:p>
        </w:tc>
        <w:tc>
          <w:tcPr>
            <w:tcW w:w="1935" w:type="dxa"/>
          </w:tcPr>
          <w:p>
            <w:pPr>
              <w:pStyle w:val="TableParagraph"/>
              <w:ind w:left="423"/>
              <w:rPr>
                <w:sz w:val="20"/>
              </w:rPr>
            </w:pPr>
            <w:r>
              <w:rPr>
                <w:spacing w:val="-2"/>
                <w:sz w:val="20"/>
              </w:rPr>
              <w:t>MBPZHR-</w:t>
            </w:r>
            <w:r>
              <w:rPr>
                <w:spacing w:val="-5"/>
                <w:sz w:val="20"/>
              </w:rPr>
              <w:t>ja,</w:t>
            </w:r>
          </w:p>
        </w:tc>
        <w:tc>
          <w:tcPr>
            <w:tcW w:w="1620" w:type="dxa"/>
          </w:tcPr>
          <w:p>
            <w:pPr>
              <w:pStyle w:val="TableParagraph"/>
              <w:ind w:left="106"/>
              <w:rPr>
                <w:sz w:val="20"/>
              </w:rPr>
            </w:pPr>
            <w:r>
              <w:rPr>
                <w:spacing w:val="-2"/>
                <w:sz w:val="20"/>
              </w:rPr>
              <w:t>2023-</w:t>
            </w:r>
            <w:r>
              <w:rPr>
                <w:spacing w:val="-4"/>
                <w:sz w:val="20"/>
              </w:rPr>
              <w:t>2027</w:t>
            </w:r>
          </w:p>
        </w:tc>
        <w:tc>
          <w:tcPr>
            <w:tcW w:w="1890" w:type="dxa"/>
          </w:tcPr>
          <w:p>
            <w:pPr>
              <w:pStyle w:val="TableParagraph"/>
              <w:ind w:left="106"/>
              <w:rPr>
                <w:sz w:val="20"/>
              </w:rPr>
            </w:pPr>
            <w:r>
              <w:rPr>
                <w:sz w:val="20"/>
              </w:rPr>
              <w:t>50,000.00</w:t>
            </w:r>
            <w:r>
              <w:rPr>
                <w:spacing w:val="-1"/>
                <w:sz w:val="20"/>
              </w:rPr>
              <w:t> </w:t>
            </w:r>
            <w:r>
              <w:rPr>
                <w:spacing w:val="-10"/>
                <w:sz w:val="20"/>
              </w:rPr>
              <w:t>€</w:t>
            </w:r>
          </w:p>
        </w:tc>
        <w:tc>
          <w:tcPr>
            <w:tcW w:w="1800" w:type="dxa"/>
          </w:tcPr>
          <w:p>
            <w:pPr>
              <w:pStyle w:val="TableParagraph"/>
              <w:rPr>
                <w:b/>
                <w:sz w:val="20"/>
              </w:rPr>
            </w:pPr>
          </w:p>
          <w:p>
            <w:pPr>
              <w:pStyle w:val="TableParagraph"/>
              <w:ind w:left="106"/>
              <w:rPr>
                <w:sz w:val="20"/>
              </w:rPr>
            </w:pPr>
            <w:r>
              <w:rPr>
                <w:spacing w:val="-2"/>
                <w:sz w:val="20"/>
              </w:rPr>
              <w:t>MBPZHR-</w:t>
            </w:r>
            <w:r>
              <w:rPr>
                <w:spacing w:val="-5"/>
                <w:sz w:val="20"/>
              </w:rPr>
              <w:t>ja</w:t>
            </w:r>
          </w:p>
        </w:tc>
      </w:tr>
      <w:tr>
        <w:trPr>
          <w:trHeight w:val="898"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116" w:hanging="360"/>
              <w:rPr>
                <w:sz w:val="20"/>
              </w:rPr>
            </w:pPr>
            <w:r>
              <w:rPr>
                <w:spacing w:val="-6"/>
                <w:sz w:val="20"/>
              </w:rPr>
              <w:t>3.</w:t>
            </w:r>
            <w:r>
              <w:rPr>
                <w:sz w:val="20"/>
              </w:rPr>
              <w:tab/>
              <w:t>Rehabilitimi dhe ndërtimi i sistemeve</w:t>
            </w:r>
            <w:r>
              <w:rPr>
                <w:spacing w:val="-13"/>
                <w:sz w:val="20"/>
              </w:rPr>
              <w:t> </w:t>
            </w:r>
            <w:r>
              <w:rPr>
                <w:sz w:val="20"/>
              </w:rPr>
              <w:t>të</w:t>
            </w:r>
            <w:r>
              <w:rPr>
                <w:spacing w:val="-12"/>
                <w:sz w:val="20"/>
              </w:rPr>
              <w:t> </w:t>
            </w:r>
            <w:r>
              <w:rPr>
                <w:sz w:val="20"/>
              </w:rPr>
              <w:t>ujitjes</w:t>
            </w:r>
          </w:p>
        </w:tc>
        <w:tc>
          <w:tcPr>
            <w:tcW w:w="1935" w:type="dxa"/>
          </w:tcPr>
          <w:p>
            <w:pPr>
              <w:pStyle w:val="TableParagraph"/>
              <w:ind w:left="466"/>
              <w:rPr>
                <w:sz w:val="20"/>
              </w:rPr>
            </w:pPr>
            <w:r>
              <w:rPr>
                <w:spacing w:val="-2"/>
                <w:sz w:val="20"/>
              </w:rPr>
              <w:t>DBPZHR-</w:t>
            </w:r>
            <w:r>
              <w:rPr>
                <w:spacing w:val="-5"/>
                <w:sz w:val="20"/>
              </w:rPr>
              <w:t>ja</w:t>
            </w:r>
          </w:p>
        </w:tc>
        <w:tc>
          <w:tcPr>
            <w:tcW w:w="1620" w:type="dxa"/>
          </w:tcPr>
          <w:p>
            <w:pPr>
              <w:pStyle w:val="TableParagraph"/>
              <w:ind w:left="106"/>
              <w:rPr>
                <w:sz w:val="20"/>
              </w:rPr>
            </w:pPr>
            <w:r>
              <w:rPr>
                <w:spacing w:val="-2"/>
                <w:sz w:val="20"/>
              </w:rPr>
              <w:t>2025-</w:t>
            </w:r>
            <w:r>
              <w:rPr>
                <w:spacing w:val="-4"/>
                <w:sz w:val="20"/>
              </w:rPr>
              <w:t>2027</w:t>
            </w:r>
          </w:p>
        </w:tc>
        <w:tc>
          <w:tcPr>
            <w:tcW w:w="1890" w:type="dxa"/>
          </w:tcPr>
          <w:p>
            <w:pPr>
              <w:pStyle w:val="TableParagraph"/>
              <w:ind w:left="106"/>
              <w:rPr>
                <w:sz w:val="20"/>
              </w:rPr>
            </w:pPr>
            <w:r>
              <w:rPr>
                <w:sz w:val="20"/>
              </w:rPr>
              <w:t>20000.00</w:t>
            </w:r>
            <w:r>
              <w:rPr>
                <w:spacing w:val="49"/>
                <w:sz w:val="20"/>
              </w:rPr>
              <w:t> </w:t>
            </w:r>
            <w:r>
              <w:rPr>
                <w:spacing w:val="-10"/>
                <w:sz w:val="20"/>
              </w:rPr>
              <w:t>€</w:t>
            </w:r>
          </w:p>
        </w:tc>
        <w:tc>
          <w:tcPr>
            <w:tcW w:w="1800" w:type="dxa"/>
          </w:tcPr>
          <w:p>
            <w:pPr>
              <w:pStyle w:val="TableParagraph"/>
              <w:rPr>
                <w:b/>
                <w:sz w:val="20"/>
              </w:rPr>
            </w:pPr>
          </w:p>
          <w:p>
            <w:pPr>
              <w:pStyle w:val="TableParagraph"/>
              <w:ind w:left="106"/>
              <w:rPr>
                <w:sz w:val="20"/>
              </w:rPr>
            </w:pPr>
            <w:r>
              <w:rPr>
                <w:sz w:val="20"/>
              </w:rPr>
              <w:t>Komuna</w:t>
            </w:r>
            <w:r>
              <w:rPr>
                <w:spacing w:val="-1"/>
                <w:sz w:val="20"/>
              </w:rPr>
              <w:t> </w:t>
            </w:r>
            <w:r>
              <w:rPr>
                <w:spacing w:val="-5"/>
                <w:sz w:val="20"/>
              </w:rPr>
              <w:t>HE</w:t>
            </w:r>
          </w:p>
        </w:tc>
      </w:tr>
      <w:tr>
        <w:trPr>
          <w:trHeight w:val="953"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159" w:hanging="360"/>
              <w:rPr>
                <w:sz w:val="20"/>
              </w:rPr>
            </w:pPr>
            <w:r>
              <w:rPr>
                <w:spacing w:val="-6"/>
                <w:sz w:val="20"/>
              </w:rPr>
              <w:t>4.</w:t>
            </w:r>
            <w:r>
              <w:rPr>
                <w:sz w:val="20"/>
              </w:rPr>
              <w:tab/>
              <w:t>Krijimi</w:t>
            </w:r>
            <w:r>
              <w:rPr>
                <w:spacing w:val="-13"/>
                <w:sz w:val="20"/>
              </w:rPr>
              <w:t> </w:t>
            </w:r>
            <w:r>
              <w:rPr>
                <w:sz w:val="20"/>
              </w:rPr>
              <w:t>i</w:t>
            </w:r>
            <w:r>
              <w:rPr>
                <w:spacing w:val="-12"/>
                <w:sz w:val="20"/>
              </w:rPr>
              <w:t> </w:t>
            </w:r>
            <w:r>
              <w:rPr>
                <w:sz w:val="20"/>
              </w:rPr>
              <w:t>qendrave grumbulluese të </w:t>
            </w:r>
            <w:r>
              <w:rPr>
                <w:spacing w:val="-2"/>
                <w:sz w:val="20"/>
              </w:rPr>
              <w:t>produkteve bujqësore</w:t>
            </w:r>
          </w:p>
        </w:tc>
        <w:tc>
          <w:tcPr>
            <w:tcW w:w="1935" w:type="dxa"/>
          </w:tcPr>
          <w:p>
            <w:pPr>
              <w:pStyle w:val="TableParagraph"/>
              <w:ind w:left="331" w:right="324"/>
              <w:jc w:val="center"/>
              <w:rPr>
                <w:sz w:val="20"/>
              </w:rPr>
            </w:pPr>
            <w:r>
              <w:rPr>
                <w:spacing w:val="-2"/>
                <w:sz w:val="20"/>
              </w:rPr>
              <w:t>MBPZHR-</w:t>
            </w:r>
            <w:r>
              <w:rPr>
                <w:spacing w:val="-5"/>
                <w:sz w:val="20"/>
              </w:rPr>
              <w:t>ja,</w:t>
            </w:r>
          </w:p>
          <w:p>
            <w:pPr>
              <w:pStyle w:val="TableParagraph"/>
              <w:ind w:left="332" w:right="323"/>
              <w:jc w:val="center"/>
              <w:rPr>
                <w:sz w:val="20"/>
              </w:rPr>
            </w:pPr>
            <w:r>
              <w:rPr>
                <w:spacing w:val="-2"/>
                <w:sz w:val="20"/>
              </w:rPr>
              <w:t>Donatorët</w:t>
            </w:r>
          </w:p>
        </w:tc>
        <w:tc>
          <w:tcPr>
            <w:tcW w:w="1620" w:type="dxa"/>
          </w:tcPr>
          <w:p>
            <w:pPr>
              <w:pStyle w:val="TableParagraph"/>
              <w:ind w:left="106"/>
              <w:rPr>
                <w:sz w:val="20"/>
              </w:rPr>
            </w:pPr>
            <w:r>
              <w:rPr>
                <w:spacing w:val="-2"/>
                <w:sz w:val="20"/>
              </w:rPr>
              <w:t>2025-</w:t>
            </w:r>
            <w:r>
              <w:rPr>
                <w:spacing w:val="-4"/>
                <w:sz w:val="20"/>
              </w:rPr>
              <w:t>2027</w:t>
            </w:r>
          </w:p>
        </w:tc>
        <w:tc>
          <w:tcPr>
            <w:tcW w:w="1890" w:type="dxa"/>
          </w:tcPr>
          <w:p>
            <w:pPr>
              <w:pStyle w:val="TableParagraph"/>
              <w:ind w:left="106"/>
              <w:rPr>
                <w:sz w:val="20"/>
              </w:rPr>
            </w:pPr>
            <w:r>
              <w:rPr>
                <w:sz w:val="20"/>
              </w:rPr>
              <w:t>30000.00</w:t>
            </w:r>
            <w:r>
              <w:rPr>
                <w:spacing w:val="-2"/>
                <w:sz w:val="20"/>
              </w:rPr>
              <w:t> </w:t>
            </w:r>
            <w:r>
              <w:rPr>
                <w:spacing w:val="-10"/>
                <w:sz w:val="20"/>
              </w:rPr>
              <w:t>€</w:t>
            </w:r>
          </w:p>
        </w:tc>
        <w:tc>
          <w:tcPr>
            <w:tcW w:w="1800" w:type="dxa"/>
          </w:tcPr>
          <w:p>
            <w:pPr>
              <w:pStyle w:val="TableParagraph"/>
              <w:ind w:left="106"/>
              <w:rPr>
                <w:sz w:val="20"/>
              </w:rPr>
            </w:pPr>
            <w:r>
              <w:rPr>
                <w:spacing w:val="-2"/>
                <w:sz w:val="20"/>
              </w:rPr>
              <w:t>MBPZXHR-</w:t>
            </w:r>
            <w:r>
              <w:rPr>
                <w:spacing w:val="-5"/>
                <w:sz w:val="20"/>
              </w:rPr>
              <w:t>ja</w:t>
            </w:r>
          </w:p>
          <w:p>
            <w:pPr>
              <w:pStyle w:val="TableParagraph"/>
              <w:ind w:left="106" w:right="738"/>
              <w:rPr>
                <w:sz w:val="20"/>
              </w:rPr>
            </w:pPr>
            <w:r>
              <w:rPr>
                <w:sz w:val="20"/>
              </w:rPr>
              <w:t>Donatorë</w:t>
            </w:r>
            <w:r>
              <w:rPr>
                <w:spacing w:val="-13"/>
                <w:sz w:val="20"/>
              </w:rPr>
              <w:t> </w:t>
            </w:r>
            <w:r>
              <w:rPr>
                <w:sz w:val="20"/>
              </w:rPr>
              <w:t>të </w:t>
            </w:r>
            <w:r>
              <w:rPr>
                <w:spacing w:val="-2"/>
                <w:sz w:val="20"/>
              </w:rPr>
              <w:t>jashtëm</w:t>
            </w:r>
          </w:p>
        </w:tc>
      </w:tr>
      <w:tr>
        <w:trPr>
          <w:trHeight w:val="952"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ind w:left="827" w:right="236" w:hanging="360"/>
              <w:jc w:val="both"/>
              <w:rPr>
                <w:sz w:val="20"/>
              </w:rPr>
            </w:pPr>
            <w:r>
              <w:rPr>
                <w:sz w:val="20"/>
              </w:rPr>
              <w:t>5.</w:t>
            </w:r>
            <w:r>
              <w:rPr>
                <w:spacing w:val="40"/>
                <w:sz w:val="20"/>
              </w:rPr>
              <w:t> </w:t>
            </w:r>
            <w:r>
              <w:rPr>
                <w:sz w:val="20"/>
              </w:rPr>
              <w:t>Hartimi</w:t>
            </w:r>
            <w:r>
              <w:rPr>
                <w:spacing w:val="-6"/>
                <w:sz w:val="20"/>
              </w:rPr>
              <w:t> </w:t>
            </w:r>
            <w:r>
              <w:rPr>
                <w:sz w:val="20"/>
              </w:rPr>
              <w:t>i</w:t>
            </w:r>
            <w:r>
              <w:rPr>
                <w:spacing w:val="-8"/>
                <w:sz w:val="20"/>
              </w:rPr>
              <w:t> </w:t>
            </w:r>
            <w:r>
              <w:rPr>
                <w:sz w:val="20"/>
              </w:rPr>
              <w:t>planeve për</w:t>
            </w:r>
            <w:r>
              <w:rPr>
                <w:spacing w:val="-13"/>
                <w:sz w:val="20"/>
              </w:rPr>
              <w:t> </w:t>
            </w:r>
            <w:r>
              <w:rPr>
                <w:sz w:val="20"/>
              </w:rPr>
              <w:t>menagjimin</w:t>
            </w:r>
            <w:r>
              <w:rPr>
                <w:spacing w:val="-12"/>
                <w:sz w:val="20"/>
              </w:rPr>
              <w:t> </w:t>
            </w:r>
            <w:r>
              <w:rPr>
                <w:sz w:val="20"/>
              </w:rPr>
              <w:t>e </w:t>
            </w:r>
            <w:r>
              <w:rPr>
                <w:spacing w:val="-2"/>
                <w:sz w:val="20"/>
              </w:rPr>
              <w:t>kullosave</w:t>
            </w:r>
          </w:p>
        </w:tc>
        <w:tc>
          <w:tcPr>
            <w:tcW w:w="1935" w:type="dxa"/>
          </w:tcPr>
          <w:p>
            <w:pPr>
              <w:pStyle w:val="TableParagraph"/>
              <w:ind w:left="440"/>
              <w:rPr>
                <w:sz w:val="20"/>
              </w:rPr>
            </w:pPr>
            <w:r>
              <w:rPr>
                <w:spacing w:val="-2"/>
                <w:sz w:val="20"/>
              </w:rPr>
              <w:t>DBPZHR-</w:t>
            </w:r>
            <w:r>
              <w:rPr>
                <w:spacing w:val="-5"/>
                <w:sz w:val="20"/>
              </w:rPr>
              <w:t>ja,</w:t>
            </w:r>
          </w:p>
        </w:tc>
        <w:tc>
          <w:tcPr>
            <w:tcW w:w="1620" w:type="dxa"/>
          </w:tcPr>
          <w:p>
            <w:pPr>
              <w:pStyle w:val="TableParagraph"/>
              <w:ind w:left="106"/>
              <w:rPr>
                <w:sz w:val="20"/>
              </w:rPr>
            </w:pPr>
            <w:r>
              <w:rPr>
                <w:spacing w:val="-2"/>
                <w:sz w:val="20"/>
              </w:rPr>
              <w:t>2024-</w:t>
            </w:r>
            <w:r>
              <w:rPr>
                <w:spacing w:val="-4"/>
                <w:sz w:val="20"/>
              </w:rPr>
              <w:t>2025</w:t>
            </w:r>
          </w:p>
        </w:tc>
        <w:tc>
          <w:tcPr>
            <w:tcW w:w="1890" w:type="dxa"/>
          </w:tcPr>
          <w:p>
            <w:pPr>
              <w:pStyle w:val="TableParagraph"/>
              <w:ind w:left="106"/>
              <w:rPr>
                <w:sz w:val="20"/>
              </w:rPr>
            </w:pPr>
            <w:r>
              <w:rPr>
                <w:sz w:val="20"/>
              </w:rPr>
              <w:t>2000.00</w:t>
            </w:r>
            <w:r>
              <w:rPr>
                <w:spacing w:val="-1"/>
                <w:sz w:val="20"/>
              </w:rPr>
              <w:t> </w:t>
            </w:r>
            <w:r>
              <w:rPr>
                <w:spacing w:val="-10"/>
                <w:sz w:val="20"/>
              </w:rPr>
              <w:t>€</w:t>
            </w:r>
          </w:p>
        </w:tc>
        <w:tc>
          <w:tcPr>
            <w:tcW w:w="1800" w:type="dxa"/>
          </w:tcPr>
          <w:p>
            <w:pPr>
              <w:pStyle w:val="TableParagraph"/>
              <w:ind w:left="106"/>
              <w:rPr>
                <w:sz w:val="20"/>
              </w:rPr>
            </w:pPr>
            <w:r>
              <w:rPr>
                <w:sz w:val="20"/>
              </w:rPr>
              <w:t>Komuna</w:t>
            </w:r>
            <w:r>
              <w:rPr>
                <w:spacing w:val="-1"/>
                <w:sz w:val="20"/>
              </w:rPr>
              <w:t> </w:t>
            </w:r>
            <w:r>
              <w:rPr>
                <w:spacing w:val="-5"/>
                <w:sz w:val="20"/>
              </w:rPr>
              <w:t>HE</w:t>
            </w:r>
          </w:p>
        </w:tc>
      </w:tr>
      <w:tr>
        <w:trPr>
          <w:trHeight w:val="935"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142" w:hanging="360"/>
              <w:rPr>
                <w:sz w:val="20"/>
              </w:rPr>
            </w:pPr>
            <w:r>
              <w:rPr>
                <w:spacing w:val="-6"/>
                <w:sz w:val="20"/>
              </w:rPr>
              <w:t>6.</w:t>
            </w:r>
            <w:r>
              <w:rPr>
                <w:sz w:val="20"/>
              </w:rPr>
              <w:tab/>
              <w:t>Mbështetja e bujqësisë</w:t>
            </w:r>
            <w:r>
              <w:rPr>
                <w:spacing w:val="-13"/>
                <w:sz w:val="20"/>
              </w:rPr>
              <w:t> </w:t>
            </w:r>
            <w:r>
              <w:rPr>
                <w:sz w:val="20"/>
              </w:rPr>
              <w:t>organike</w:t>
            </w:r>
          </w:p>
        </w:tc>
        <w:tc>
          <w:tcPr>
            <w:tcW w:w="1935" w:type="dxa"/>
          </w:tcPr>
          <w:p>
            <w:pPr>
              <w:pStyle w:val="TableParagraph"/>
              <w:ind w:left="331" w:right="324"/>
              <w:jc w:val="center"/>
              <w:rPr>
                <w:sz w:val="20"/>
              </w:rPr>
            </w:pPr>
            <w:r>
              <w:rPr>
                <w:spacing w:val="-2"/>
                <w:sz w:val="20"/>
              </w:rPr>
              <w:t>DBPZHR-</w:t>
            </w:r>
          </w:p>
          <w:p>
            <w:pPr>
              <w:pStyle w:val="TableParagraph"/>
              <w:ind w:left="332" w:right="324"/>
              <w:jc w:val="center"/>
              <w:rPr>
                <w:sz w:val="20"/>
              </w:rPr>
            </w:pPr>
            <w:r>
              <w:rPr>
                <w:sz w:val="20"/>
              </w:rPr>
              <w:t>ja,Organizatat</w:t>
            </w:r>
            <w:r>
              <w:rPr>
                <w:spacing w:val="-13"/>
                <w:sz w:val="20"/>
              </w:rPr>
              <w:t> </w:t>
            </w:r>
            <w:r>
              <w:rPr>
                <w:sz w:val="20"/>
              </w:rPr>
              <w:t>e </w:t>
            </w:r>
            <w:r>
              <w:rPr>
                <w:spacing w:val="-2"/>
                <w:sz w:val="20"/>
              </w:rPr>
              <w:t>huaja</w:t>
            </w:r>
          </w:p>
        </w:tc>
        <w:tc>
          <w:tcPr>
            <w:tcW w:w="1620" w:type="dxa"/>
          </w:tcPr>
          <w:p>
            <w:pPr>
              <w:pStyle w:val="TableParagraph"/>
              <w:ind w:left="106"/>
              <w:rPr>
                <w:sz w:val="20"/>
              </w:rPr>
            </w:pPr>
            <w:r>
              <w:rPr>
                <w:spacing w:val="-2"/>
                <w:sz w:val="20"/>
              </w:rPr>
              <w:t>2024-</w:t>
            </w:r>
            <w:r>
              <w:rPr>
                <w:spacing w:val="-4"/>
                <w:sz w:val="20"/>
              </w:rPr>
              <w:t>2027</w:t>
            </w:r>
          </w:p>
        </w:tc>
        <w:tc>
          <w:tcPr>
            <w:tcW w:w="1890" w:type="dxa"/>
          </w:tcPr>
          <w:p>
            <w:pPr>
              <w:pStyle w:val="TableParagraph"/>
              <w:ind w:left="106"/>
              <w:rPr>
                <w:sz w:val="20"/>
              </w:rPr>
            </w:pPr>
            <w:r>
              <w:rPr>
                <w:sz w:val="20"/>
              </w:rPr>
              <w:t>5,000.00</w:t>
            </w:r>
            <w:r>
              <w:rPr>
                <w:spacing w:val="-3"/>
                <w:sz w:val="20"/>
              </w:rPr>
              <w:t> </w:t>
            </w:r>
            <w:r>
              <w:rPr>
                <w:spacing w:val="-10"/>
                <w:sz w:val="20"/>
              </w:rPr>
              <w:t>€</w:t>
            </w:r>
          </w:p>
        </w:tc>
        <w:tc>
          <w:tcPr>
            <w:tcW w:w="1800" w:type="dxa"/>
          </w:tcPr>
          <w:p>
            <w:pPr>
              <w:pStyle w:val="TableParagraph"/>
              <w:ind w:left="106"/>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818"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476" w:hanging="360"/>
              <w:rPr>
                <w:sz w:val="20"/>
              </w:rPr>
            </w:pPr>
            <w:r>
              <w:rPr>
                <w:spacing w:val="-6"/>
                <w:sz w:val="20"/>
              </w:rPr>
              <w:t>7.</w:t>
            </w:r>
            <w:r>
              <w:rPr>
                <w:sz w:val="20"/>
              </w:rPr>
              <w:tab/>
              <w:t>Organizimi i trajnimeve</w:t>
            </w:r>
            <w:r>
              <w:rPr>
                <w:spacing w:val="-13"/>
                <w:sz w:val="20"/>
              </w:rPr>
              <w:t> </w:t>
            </w:r>
            <w:r>
              <w:rPr>
                <w:sz w:val="20"/>
              </w:rPr>
              <w:t>për </w:t>
            </w:r>
            <w:r>
              <w:rPr>
                <w:spacing w:val="-2"/>
                <w:sz w:val="20"/>
              </w:rPr>
              <w:t>fermerët</w:t>
            </w:r>
          </w:p>
        </w:tc>
        <w:tc>
          <w:tcPr>
            <w:tcW w:w="1935" w:type="dxa"/>
          </w:tcPr>
          <w:p>
            <w:pPr>
              <w:pStyle w:val="TableParagraph"/>
              <w:ind w:left="106"/>
              <w:rPr>
                <w:sz w:val="20"/>
              </w:rPr>
            </w:pPr>
            <w:r>
              <w:rPr>
                <w:spacing w:val="-2"/>
                <w:sz w:val="20"/>
              </w:rPr>
              <w:t>DBPZHR-</w:t>
            </w:r>
          </w:p>
          <w:p>
            <w:pPr>
              <w:pStyle w:val="TableParagraph"/>
              <w:ind w:left="106" w:right="546"/>
              <w:rPr>
                <w:sz w:val="20"/>
              </w:rPr>
            </w:pPr>
            <w:r>
              <w:rPr>
                <w:sz w:val="20"/>
              </w:rPr>
              <w:t>ja,Organizatat</w:t>
            </w:r>
            <w:r>
              <w:rPr>
                <w:spacing w:val="-13"/>
                <w:sz w:val="20"/>
              </w:rPr>
              <w:t> </w:t>
            </w:r>
            <w:r>
              <w:rPr>
                <w:sz w:val="20"/>
              </w:rPr>
              <w:t>e </w:t>
            </w:r>
            <w:r>
              <w:rPr>
                <w:spacing w:val="-2"/>
                <w:sz w:val="20"/>
              </w:rPr>
              <w:t>huaja</w:t>
            </w:r>
          </w:p>
        </w:tc>
        <w:tc>
          <w:tcPr>
            <w:tcW w:w="1620" w:type="dxa"/>
          </w:tcPr>
          <w:p>
            <w:pPr>
              <w:pStyle w:val="TableParagraph"/>
              <w:ind w:left="106"/>
              <w:rPr>
                <w:sz w:val="20"/>
              </w:rPr>
            </w:pPr>
            <w:r>
              <w:rPr>
                <w:spacing w:val="-2"/>
                <w:sz w:val="20"/>
              </w:rPr>
              <w:t>2023-</w:t>
            </w:r>
            <w:r>
              <w:rPr>
                <w:spacing w:val="-4"/>
                <w:sz w:val="20"/>
              </w:rPr>
              <w:t>2027</w:t>
            </w:r>
          </w:p>
        </w:tc>
        <w:tc>
          <w:tcPr>
            <w:tcW w:w="1890" w:type="dxa"/>
          </w:tcPr>
          <w:p>
            <w:pPr>
              <w:pStyle w:val="TableParagraph"/>
              <w:ind w:left="106"/>
              <w:rPr>
                <w:sz w:val="20"/>
              </w:rPr>
            </w:pPr>
            <w:r>
              <w:rPr>
                <w:sz w:val="20"/>
              </w:rPr>
              <w:t>1,000.00</w:t>
            </w:r>
            <w:r>
              <w:rPr>
                <w:spacing w:val="-3"/>
                <w:sz w:val="20"/>
              </w:rPr>
              <w:t> </w:t>
            </w:r>
            <w:r>
              <w:rPr>
                <w:spacing w:val="-10"/>
                <w:sz w:val="20"/>
              </w:rPr>
              <w:t>€</w:t>
            </w:r>
          </w:p>
        </w:tc>
        <w:tc>
          <w:tcPr>
            <w:tcW w:w="1800" w:type="dxa"/>
          </w:tcPr>
          <w:p>
            <w:pPr>
              <w:pStyle w:val="TableParagraph"/>
              <w:rPr>
                <w:b/>
                <w:sz w:val="20"/>
              </w:rPr>
            </w:pPr>
          </w:p>
          <w:p>
            <w:pPr>
              <w:pStyle w:val="TableParagraph"/>
              <w:ind w:left="106"/>
              <w:rPr>
                <w:sz w:val="20"/>
              </w:rPr>
            </w:pPr>
            <w:r>
              <w:rPr>
                <w:sz w:val="20"/>
              </w:rPr>
              <w:t>Komuna HE Organizata</w:t>
            </w:r>
            <w:r>
              <w:rPr>
                <w:spacing w:val="-13"/>
                <w:sz w:val="20"/>
              </w:rPr>
              <w:t> </w:t>
            </w:r>
            <w:r>
              <w:rPr>
                <w:sz w:val="20"/>
              </w:rPr>
              <w:t>të</w:t>
            </w:r>
            <w:r>
              <w:rPr>
                <w:spacing w:val="-12"/>
                <w:sz w:val="20"/>
              </w:rPr>
              <w:t> </w:t>
            </w:r>
            <w:r>
              <w:rPr>
                <w:sz w:val="20"/>
              </w:rPr>
              <w:t>huaja</w:t>
            </w:r>
          </w:p>
        </w:tc>
      </w:tr>
      <w:tr>
        <w:trPr>
          <w:trHeight w:val="925"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467"/>
              <w:rPr>
                <w:sz w:val="20"/>
              </w:rPr>
            </w:pPr>
            <w:r>
              <w:rPr>
                <w:spacing w:val="-5"/>
                <w:sz w:val="20"/>
              </w:rPr>
              <w:t>8.</w:t>
            </w:r>
            <w:r>
              <w:rPr>
                <w:sz w:val="20"/>
              </w:rPr>
              <w:tab/>
            </w:r>
            <w:r>
              <w:rPr>
                <w:spacing w:val="-2"/>
                <w:sz w:val="20"/>
              </w:rPr>
              <w:t>Tërheqja</w:t>
            </w:r>
          </w:p>
          <w:p>
            <w:pPr>
              <w:pStyle w:val="TableParagraph"/>
              <w:ind w:left="827" w:right="504"/>
              <w:rPr>
                <w:sz w:val="20"/>
              </w:rPr>
            </w:pPr>
            <w:r>
              <w:rPr>
                <w:sz w:val="20"/>
              </w:rPr>
              <w:t>donatorëve</w:t>
            </w:r>
            <w:r>
              <w:rPr>
                <w:spacing w:val="-13"/>
                <w:sz w:val="20"/>
              </w:rPr>
              <w:t> </w:t>
            </w:r>
            <w:r>
              <w:rPr>
                <w:sz w:val="20"/>
              </w:rPr>
              <w:t>në mbështetje të</w:t>
            </w:r>
          </w:p>
          <w:p>
            <w:pPr>
              <w:pStyle w:val="TableParagraph"/>
              <w:spacing w:line="215" w:lineRule="exact"/>
              <w:ind w:left="827"/>
              <w:rPr>
                <w:sz w:val="20"/>
              </w:rPr>
            </w:pPr>
            <w:r>
              <w:rPr>
                <w:spacing w:val="-2"/>
                <w:sz w:val="20"/>
              </w:rPr>
              <w:t>fermës</w:t>
            </w:r>
          </w:p>
        </w:tc>
        <w:tc>
          <w:tcPr>
            <w:tcW w:w="1935" w:type="dxa"/>
          </w:tcPr>
          <w:p>
            <w:pPr>
              <w:pStyle w:val="TableParagraph"/>
              <w:ind w:left="331" w:right="324"/>
              <w:jc w:val="center"/>
              <w:rPr>
                <w:sz w:val="20"/>
              </w:rPr>
            </w:pPr>
            <w:r>
              <w:rPr>
                <w:sz w:val="20"/>
              </w:rPr>
              <w:t>DBPZHR-ja</w:t>
            </w:r>
            <w:r>
              <w:rPr>
                <w:spacing w:val="-2"/>
                <w:sz w:val="20"/>
              </w:rPr>
              <w:t> </w:t>
            </w:r>
            <w:r>
              <w:rPr>
                <w:spacing w:val="-10"/>
                <w:sz w:val="20"/>
              </w:rPr>
              <w:t>,</w:t>
            </w:r>
          </w:p>
          <w:p>
            <w:pPr>
              <w:pStyle w:val="TableParagraph"/>
              <w:ind w:left="331" w:right="324"/>
              <w:jc w:val="center"/>
              <w:rPr>
                <w:sz w:val="20"/>
              </w:rPr>
            </w:pPr>
            <w:r>
              <w:rPr>
                <w:spacing w:val="-2"/>
                <w:sz w:val="20"/>
              </w:rPr>
              <w:t>donatorët</w:t>
            </w:r>
          </w:p>
        </w:tc>
        <w:tc>
          <w:tcPr>
            <w:tcW w:w="1620" w:type="dxa"/>
          </w:tcPr>
          <w:p>
            <w:pPr>
              <w:pStyle w:val="TableParagraph"/>
              <w:ind w:left="106"/>
              <w:rPr>
                <w:sz w:val="20"/>
              </w:rPr>
            </w:pPr>
            <w:r>
              <w:rPr>
                <w:sz w:val="20"/>
              </w:rPr>
              <w:t>2024-20</w:t>
            </w:r>
            <w:r>
              <w:rPr>
                <w:spacing w:val="-2"/>
                <w:sz w:val="20"/>
              </w:rPr>
              <w:t> </w:t>
            </w:r>
            <w:r>
              <w:rPr>
                <w:spacing w:val="-5"/>
                <w:sz w:val="20"/>
              </w:rPr>
              <w:t>27</w:t>
            </w:r>
          </w:p>
        </w:tc>
        <w:tc>
          <w:tcPr>
            <w:tcW w:w="1890" w:type="dxa"/>
          </w:tcPr>
          <w:p>
            <w:pPr>
              <w:pStyle w:val="TableParagraph"/>
              <w:ind w:left="106"/>
              <w:rPr>
                <w:sz w:val="20"/>
              </w:rPr>
            </w:pPr>
            <w:r>
              <w:rPr>
                <w:sz w:val="20"/>
              </w:rPr>
              <w:t>1,000.00</w:t>
            </w:r>
            <w:r>
              <w:rPr>
                <w:spacing w:val="-3"/>
                <w:sz w:val="20"/>
              </w:rPr>
              <w:t> </w:t>
            </w:r>
            <w:r>
              <w:rPr>
                <w:spacing w:val="-10"/>
                <w:sz w:val="20"/>
              </w:rPr>
              <w:t>€</w:t>
            </w:r>
          </w:p>
        </w:tc>
        <w:tc>
          <w:tcPr>
            <w:tcW w:w="1800" w:type="dxa"/>
          </w:tcPr>
          <w:p>
            <w:pPr>
              <w:pStyle w:val="TableParagraph"/>
              <w:ind w:left="106" w:right="671"/>
              <w:rPr>
                <w:sz w:val="20"/>
              </w:rPr>
            </w:pPr>
            <w:r>
              <w:rPr>
                <w:sz w:val="20"/>
              </w:rPr>
              <w:t>Komuna</w:t>
            </w:r>
            <w:r>
              <w:rPr>
                <w:spacing w:val="-13"/>
                <w:sz w:val="20"/>
              </w:rPr>
              <w:t> </w:t>
            </w:r>
            <w:r>
              <w:rPr>
                <w:sz w:val="20"/>
              </w:rPr>
              <w:t>HE Donatorët e </w:t>
            </w:r>
            <w:r>
              <w:rPr>
                <w:spacing w:val="-2"/>
                <w:sz w:val="20"/>
              </w:rPr>
              <w:t>jashtëm</w:t>
            </w:r>
          </w:p>
        </w:tc>
      </w:tr>
      <w:tr>
        <w:trPr>
          <w:trHeight w:val="1150"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rPr>
                <w:b/>
                <w:sz w:val="20"/>
              </w:rPr>
            </w:pPr>
          </w:p>
          <w:p>
            <w:pPr>
              <w:pStyle w:val="TableParagraph"/>
              <w:tabs>
                <w:tab w:pos="827" w:val="left" w:leader="none"/>
              </w:tabs>
              <w:ind w:left="827" w:right="164" w:hanging="360"/>
              <w:rPr>
                <w:sz w:val="20"/>
              </w:rPr>
            </w:pPr>
            <w:r>
              <w:rPr>
                <w:spacing w:val="-6"/>
                <w:sz w:val="20"/>
              </w:rPr>
              <w:t>9.</w:t>
            </w:r>
            <w:r>
              <w:rPr>
                <w:sz w:val="20"/>
              </w:rPr>
              <w:tab/>
              <w:t>.Mbështetja e fermerëve</w:t>
            </w:r>
            <w:r>
              <w:rPr>
                <w:spacing w:val="-13"/>
                <w:sz w:val="20"/>
              </w:rPr>
              <w:t> </w:t>
            </w:r>
            <w:r>
              <w:rPr>
                <w:sz w:val="20"/>
              </w:rPr>
              <w:t>të</w:t>
            </w:r>
            <w:r>
              <w:rPr>
                <w:spacing w:val="-12"/>
                <w:sz w:val="20"/>
              </w:rPr>
              <w:t> </w:t>
            </w:r>
            <w:r>
              <w:rPr>
                <w:sz w:val="20"/>
              </w:rPr>
              <w:t>rinjë, e sidomos gjinisë</w:t>
            </w:r>
          </w:p>
          <w:p>
            <w:pPr>
              <w:pStyle w:val="TableParagraph"/>
              <w:spacing w:line="210" w:lineRule="exact"/>
              <w:ind w:left="827"/>
              <w:rPr>
                <w:sz w:val="20"/>
              </w:rPr>
            </w:pPr>
            <w:r>
              <w:rPr>
                <w:spacing w:val="-2"/>
                <w:sz w:val="20"/>
              </w:rPr>
              <w:t>femërore</w:t>
            </w:r>
          </w:p>
        </w:tc>
        <w:tc>
          <w:tcPr>
            <w:tcW w:w="1935" w:type="dxa"/>
          </w:tcPr>
          <w:p>
            <w:pPr>
              <w:pStyle w:val="TableParagraph"/>
              <w:ind w:left="331" w:right="324"/>
              <w:jc w:val="center"/>
              <w:rPr>
                <w:sz w:val="20"/>
              </w:rPr>
            </w:pPr>
            <w:r>
              <w:rPr>
                <w:spacing w:val="-2"/>
                <w:sz w:val="20"/>
              </w:rPr>
              <w:t>DBPZHR-</w:t>
            </w:r>
          </w:p>
          <w:p>
            <w:pPr>
              <w:pStyle w:val="TableParagraph"/>
              <w:ind w:left="332" w:right="324"/>
              <w:jc w:val="center"/>
              <w:rPr>
                <w:sz w:val="20"/>
              </w:rPr>
            </w:pPr>
            <w:r>
              <w:rPr>
                <w:sz w:val="20"/>
              </w:rPr>
              <w:t>ja,Organizata</w:t>
            </w:r>
            <w:r>
              <w:rPr>
                <w:spacing w:val="-13"/>
                <w:sz w:val="20"/>
              </w:rPr>
              <w:t> </w:t>
            </w:r>
            <w:r>
              <w:rPr>
                <w:sz w:val="20"/>
              </w:rPr>
              <w:t>të </w:t>
            </w:r>
            <w:r>
              <w:rPr>
                <w:spacing w:val="-2"/>
                <w:sz w:val="20"/>
              </w:rPr>
              <w:t>huaja</w:t>
            </w:r>
          </w:p>
        </w:tc>
        <w:tc>
          <w:tcPr>
            <w:tcW w:w="1620" w:type="dxa"/>
          </w:tcPr>
          <w:p>
            <w:pPr>
              <w:pStyle w:val="TableParagraph"/>
              <w:ind w:left="106"/>
              <w:rPr>
                <w:sz w:val="20"/>
              </w:rPr>
            </w:pPr>
            <w:r>
              <w:rPr>
                <w:spacing w:val="-2"/>
                <w:sz w:val="20"/>
              </w:rPr>
              <w:t>2024-</w:t>
            </w:r>
            <w:r>
              <w:rPr>
                <w:spacing w:val="-4"/>
                <w:sz w:val="20"/>
              </w:rPr>
              <w:t>2027</w:t>
            </w:r>
          </w:p>
        </w:tc>
        <w:tc>
          <w:tcPr>
            <w:tcW w:w="1890" w:type="dxa"/>
          </w:tcPr>
          <w:p>
            <w:pPr>
              <w:pStyle w:val="TableParagraph"/>
              <w:ind w:left="106"/>
              <w:rPr>
                <w:sz w:val="20"/>
              </w:rPr>
            </w:pPr>
            <w:r>
              <w:rPr>
                <w:sz w:val="20"/>
              </w:rPr>
              <w:t>2,000.00</w:t>
            </w:r>
            <w:r>
              <w:rPr>
                <w:spacing w:val="-3"/>
                <w:sz w:val="20"/>
              </w:rPr>
              <w:t> </w:t>
            </w:r>
            <w:r>
              <w:rPr>
                <w:spacing w:val="-10"/>
                <w:sz w:val="20"/>
              </w:rPr>
              <w:t>€</w:t>
            </w:r>
          </w:p>
        </w:tc>
        <w:tc>
          <w:tcPr>
            <w:tcW w:w="1800" w:type="dxa"/>
          </w:tcPr>
          <w:p>
            <w:pPr>
              <w:pStyle w:val="TableParagraph"/>
              <w:ind w:left="106"/>
              <w:rPr>
                <w:sz w:val="20"/>
              </w:rPr>
            </w:pPr>
            <w:r>
              <w:rPr>
                <w:sz w:val="20"/>
              </w:rPr>
              <w:t>Komuna HE Organizata</w:t>
            </w:r>
            <w:r>
              <w:rPr>
                <w:spacing w:val="-13"/>
                <w:sz w:val="20"/>
              </w:rPr>
              <w:t> </w:t>
            </w:r>
            <w:r>
              <w:rPr>
                <w:sz w:val="20"/>
              </w:rPr>
              <w:t>të</w:t>
            </w:r>
            <w:r>
              <w:rPr>
                <w:spacing w:val="-12"/>
                <w:sz w:val="20"/>
              </w:rPr>
              <w:t> </w:t>
            </w:r>
            <w:r>
              <w:rPr>
                <w:sz w:val="20"/>
              </w:rPr>
              <w:t>huaja</w:t>
            </w:r>
          </w:p>
        </w:tc>
      </w:tr>
    </w:tbl>
    <w:p>
      <w:pPr>
        <w:spacing w:after="0"/>
        <w:rPr>
          <w:sz w:val="20"/>
        </w:rPr>
        <w:sectPr>
          <w:pgSz w:w="15840" w:h="12240" w:orient="landscape"/>
          <w:pgMar w:header="0" w:footer="990" w:top="1380" w:bottom="1180" w:left="420" w:right="160"/>
        </w:sectPr>
      </w:pPr>
    </w:p>
    <w:p>
      <w:pPr>
        <w:pStyle w:val="BodyText"/>
        <w:spacing w:before="2"/>
        <w:rPr>
          <w:b/>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3"/>
        <w:gridCol w:w="3848"/>
        <w:gridCol w:w="2476"/>
        <w:gridCol w:w="1935"/>
        <w:gridCol w:w="1620"/>
        <w:gridCol w:w="1890"/>
        <w:gridCol w:w="1800"/>
      </w:tblGrid>
      <w:tr>
        <w:trPr>
          <w:trHeight w:val="1258" w:hRule="atLeast"/>
        </w:trPr>
        <w:tc>
          <w:tcPr>
            <w:tcW w:w="1193" w:type="dxa"/>
          </w:tcPr>
          <w:p>
            <w:pPr>
              <w:pStyle w:val="TableParagraph"/>
              <w:rPr>
                <w:sz w:val="20"/>
              </w:rPr>
            </w:pPr>
          </w:p>
        </w:tc>
        <w:tc>
          <w:tcPr>
            <w:tcW w:w="3848" w:type="dxa"/>
          </w:tcPr>
          <w:p>
            <w:pPr>
              <w:pStyle w:val="TableParagraph"/>
              <w:rPr>
                <w:sz w:val="20"/>
              </w:rPr>
            </w:pPr>
          </w:p>
        </w:tc>
        <w:tc>
          <w:tcPr>
            <w:tcW w:w="2476" w:type="dxa"/>
          </w:tcPr>
          <w:p>
            <w:pPr>
              <w:pStyle w:val="TableParagraph"/>
              <w:rPr>
                <w:b/>
                <w:sz w:val="20"/>
              </w:rPr>
            </w:pPr>
          </w:p>
          <w:p>
            <w:pPr>
              <w:pStyle w:val="TableParagraph"/>
              <w:spacing w:line="288" w:lineRule="auto"/>
              <w:ind w:left="827" w:right="98" w:hanging="360"/>
              <w:rPr>
                <w:sz w:val="20"/>
              </w:rPr>
            </w:pPr>
            <w:r>
              <w:rPr>
                <w:sz w:val="20"/>
              </w:rPr>
              <w:t>10.</w:t>
            </w:r>
            <w:r>
              <w:rPr>
                <w:spacing w:val="33"/>
                <w:sz w:val="20"/>
              </w:rPr>
              <w:t> </w:t>
            </w:r>
            <w:r>
              <w:rPr>
                <w:sz w:val="20"/>
              </w:rPr>
              <w:t>Hartimi</w:t>
            </w:r>
            <w:r>
              <w:rPr>
                <w:spacing w:val="-12"/>
                <w:sz w:val="20"/>
              </w:rPr>
              <w:t> </w:t>
            </w:r>
            <w:r>
              <w:rPr>
                <w:sz w:val="20"/>
              </w:rPr>
              <w:t>strategjive për zhvillimin rural/ agroturizëm</w:t>
            </w:r>
          </w:p>
        </w:tc>
        <w:tc>
          <w:tcPr>
            <w:tcW w:w="1935" w:type="dxa"/>
          </w:tcPr>
          <w:p>
            <w:pPr>
              <w:pStyle w:val="TableParagraph"/>
              <w:ind w:left="332" w:right="324"/>
              <w:jc w:val="center"/>
              <w:rPr>
                <w:sz w:val="20"/>
              </w:rPr>
            </w:pPr>
            <w:r>
              <w:rPr>
                <w:sz w:val="20"/>
              </w:rPr>
              <w:t>Komuna</w:t>
            </w:r>
            <w:r>
              <w:rPr>
                <w:spacing w:val="-1"/>
                <w:sz w:val="20"/>
              </w:rPr>
              <w:t> </w:t>
            </w:r>
            <w:r>
              <w:rPr>
                <w:spacing w:val="-5"/>
                <w:sz w:val="20"/>
              </w:rPr>
              <w:t>HE</w:t>
            </w:r>
          </w:p>
        </w:tc>
        <w:tc>
          <w:tcPr>
            <w:tcW w:w="1620" w:type="dxa"/>
          </w:tcPr>
          <w:p>
            <w:pPr>
              <w:pStyle w:val="TableParagraph"/>
              <w:ind w:left="106"/>
              <w:rPr>
                <w:sz w:val="20"/>
              </w:rPr>
            </w:pPr>
            <w:r>
              <w:rPr>
                <w:spacing w:val="-2"/>
                <w:sz w:val="20"/>
              </w:rPr>
              <w:t>2023-</w:t>
            </w:r>
            <w:r>
              <w:rPr>
                <w:spacing w:val="-4"/>
                <w:sz w:val="20"/>
              </w:rPr>
              <w:t>2024</w:t>
            </w:r>
          </w:p>
        </w:tc>
        <w:tc>
          <w:tcPr>
            <w:tcW w:w="1890" w:type="dxa"/>
          </w:tcPr>
          <w:p>
            <w:pPr>
              <w:pStyle w:val="TableParagraph"/>
              <w:ind w:left="106"/>
              <w:rPr>
                <w:sz w:val="20"/>
              </w:rPr>
            </w:pPr>
            <w:r>
              <w:rPr>
                <w:sz w:val="20"/>
              </w:rPr>
              <w:t>2,000.00</w:t>
            </w:r>
            <w:r>
              <w:rPr>
                <w:spacing w:val="-2"/>
                <w:sz w:val="20"/>
              </w:rPr>
              <w:t> </w:t>
            </w:r>
            <w:r>
              <w:rPr>
                <w:spacing w:val="-10"/>
                <w:sz w:val="20"/>
              </w:rPr>
              <w:t>€</w:t>
            </w:r>
          </w:p>
        </w:tc>
        <w:tc>
          <w:tcPr>
            <w:tcW w:w="1800" w:type="dxa"/>
          </w:tcPr>
          <w:p>
            <w:pPr>
              <w:pStyle w:val="TableParagraph"/>
              <w:ind w:left="106"/>
              <w:rPr>
                <w:sz w:val="20"/>
              </w:rPr>
            </w:pPr>
            <w:r>
              <w:rPr>
                <w:sz w:val="20"/>
              </w:rPr>
              <w:t>Komuna</w:t>
            </w:r>
            <w:r>
              <w:rPr>
                <w:spacing w:val="-1"/>
                <w:sz w:val="20"/>
              </w:rPr>
              <w:t> </w:t>
            </w:r>
            <w:r>
              <w:rPr>
                <w:spacing w:val="-5"/>
                <w:sz w:val="20"/>
              </w:rPr>
              <w:t>HE</w:t>
            </w:r>
          </w:p>
        </w:tc>
      </w:tr>
      <w:tr>
        <w:trPr>
          <w:trHeight w:val="1070" w:hRule="atLeast"/>
        </w:trPr>
        <w:tc>
          <w:tcPr>
            <w:tcW w:w="1193" w:type="dxa"/>
            <w:vMerge w:val="restart"/>
            <w:textDirection w:val="btLr"/>
          </w:tcPr>
          <w:p>
            <w:pPr>
              <w:pStyle w:val="TableParagraph"/>
              <w:rPr>
                <w:b/>
                <w:sz w:val="22"/>
              </w:rPr>
            </w:pPr>
          </w:p>
          <w:p>
            <w:pPr>
              <w:pStyle w:val="TableParagraph"/>
              <w:tabs>
                <w:tab w:pos="1478" w:val="left" w:leader="none"/>
              </w:tabs>
              <w:spacing w:line="283" w:lineRule="auto" w:before="129"/>
              <w:ind w:left="898" w:right="649" w:firstLine="219"/>
              <w:rPr>
                <w:b/>
                <w:sz w:val="20"/>
              </w:rPr>
            </w:pPr>
            <w:r>
              <w:rPr>
                <w:spacing w:val="-6"/>
                <w:sz w:val="20"/>
              </w:rPr>
              <w:t>7.</w:t>
            </w:r>
            <w:r>
              <w:rPr>
                <w:sz w:val="20"/>
              </w:rPr>
              <w:tab/>
              <w:t>Z</w:t>
            </w:r>
            <w:r>
              <w:rPr>
                <w:b/>
                <w:sz w:val="20"/>
              </w:rPr>
              <w:t>HVILLIMI I </w:t>
            </w:r>
            <w:r>
              <w:rPr>
                <w:b/>
                <w:spacing w:val="-2"/>
                <w:sz w:val="20"/>
              </w:rPr>
              <w:t>RURAL/AGROTURIZMIT</w:t>
            </w:r>
          </w:p>
        </w:tc>
        <w:tc>
          <w:tcPr>
            <w:tcW w:w="3848" w:type="dxa"/>
            <w:vMerge w:val="restart"/>
          </w:tcPr>
          <w:p>
            <w:pPr>
              <w:pStyle w:val="TableParagraph"/>
              <w:rPr>
                <w:b/>
                <w:sz w:val="24"/>
              </w:rPr>
            </w:pPr>
          </w:p>
          <w:p>
            <w:pPr>
              <w:pStyle w:val="TableParagraph"/>
              <w:rPr>
                <w:b/>
                <w:sz w:val="24"/>
              </w:rPr>
            </w:pPr>
          </w:p>
          <w:p>
            <w:pPr>
              <w:pStyle w:val="TableParagraph"/>
              <w:spacing w:before="11"/>
              <w:rPr>
                <w:b/>
                <w:sz w:val="31"/>
              </w:rPr>
            </w:pPr>
          </w:p>
          <w:p>
            <w:pPr>
              <w:pStyle w:val="TableParagraph"/>
              <w:numPr>
                <w:ilvl w:val="0"/>
                <w:numId w:val="22"/>
              </w:numPr>
              <w:tabs>
                <w:tab w:pos="828" w:val="left" w:leader="none"/>
              </w:tabs>
              <w:spacing w:line="240" w:lineRule="auto" w:before="0" w:after="0"/>
              <w:ind w:left="827" w:right="0" w:hanging="361"/>
              <w:jc w:val="left"/>
              <w:rPr>
                <w:sz w:val="20"/>
              </w:rPr>
            </w:pPr>
            <w:r>
              <w:rPr>
                <w:sz w:val="20"/>
              </w:rPr>
              <w:t>Promovimi</w:t>
            </w:r>
            <w:r>
              <w:rPr>
                <w:spacing w:val="-2"/>
                <w:sz w:val="20"/>
              </w:rPr>
              <w:t> </w:t>
            </w:r>
            <w:r>
              <w:rPr>
                <w:sz w:val="20"/>
              </w:rPr>
              <w:t>i </w:t>
            </w:r>
            <w:r>
              <w:rPr>
                <w:spacing w:val="-2"/>
                <w:sz w:val="20"/>
              </w:rPr>
              <w:t>agroturizmit</w:t>
            </w:r>
          </w:p>
          <w:p>
            <w:pPr>
              <w:pStyle w:val="TableParagraph"/>
              <w:numPr>
                <w:ilvl w:val="0"/>
                <w:numId w:val="22"/>
              </w:numPr>
              <w:tabs>
                <w:tab w:pos="828" w:val="left" w:leader="none"/>
              </w:tabs>
              <w:spacing w:line="240" w:lineRule="auto" w:before="213" w:after="0"/>
              <w:ind w:left="827" w:right="0" w:hanging="361"/>
              <w:jc w:val="left"/>
              <w:rPr>
                <w:sz w:val="20"/>
              </w:rPr>
            </w:pPr>
            <w:r>
              <w:rPr>
                <w:sz w:val="20"/>
              </w:rPr>
              <w:t>Investimi</w:t>
            </w:r>
            <w:r>
              <w:rPr>
                <w:spacing w:val="-3"/>
                <w:sz w:val="20"/>
              </w:rPr>
              <w:t> </w:t>
            </w:r>
            <w:r>
              <w:rPr>
                <w:sz w:val="20"/>
              </w:rPr>
              <w:t>në</w:t>
            </w:r>
            <w:r>
              <w:rPr>
                <w:spacing w:val="-2"/>
                <w:sz w:val="20"/>
              </w:rPr>
              <w:t> </w:t>
            </w:r>
            <w:r>
              <w:rPr>
                <w:sz w:val="20"/>
              </w:rPr>
              <w:t>infrastrukturën</w:t>
            </w:r>
            <w:r>
              <w:rPr>
                <w:spacing w:val="-2"/>
                <w:sz w:val="20"/>
              </w:rPr>
              <w:t> rurale</w:t>
            </w:r>
          </w:p>
          <w:p>
            <w:pPr>
              <w:pStyle w:val="TableParagraph"/>
              <w:numPr>
                <w:ilvl w:val="0"/>
                <w:numId w:val="22"/>
              </w:numPr>
              <w:tabs>
                <w:tab w:pos="828" w:val="left" w:leader="none"/>
              </w:tabs>
              <w:spacing w:line="240" w:lineRule="auto" w:before="214" w:after="0"/>
              <w:ind w:left="827" w:right="0" w:hanging="361"/>
              <w:jc w:val="left"/>
              <w:rPr>
                <w:sz w:val="20"/>
              </w:rPr>
            </w:pPr>
            <w:r>
              <w:rPr>
                <w:sz w:val="20"/>
              </w:rPr>
              <w:t>Tërheqja</w:t>
            </w:r>
            <w:r>
              <w:rPr>
                <w:spacing w:val="-2"/>
                <w:sz w:val="20"/>
              </w:rPr>
              <w:t> </w:t>
            </w:r>
            <w:r>
              <w:rPr>
                <w:sz w:val="20"/>
              </w:rPr>
              <w:t>e</w:t>
            </w:r>
            <w:r>
              <w:rPr>
                <w:spacing w:val="-2"/>
                <w:sz w:val="20"/>
              </w:rPr>
              <w:t> investimeve</w:t>
            </w:r>
          </w:p>
        </w:tc>
        <w:tc>
          <w:tcPr>
            <w:tcW w:w="2476" w:type="dxa"/>
          </w:tcPr>
          <w:p>
            <w:pPr>
              <w:pStyle w:val="TableParagraph"/>
              <w:tabs>
                <w:tab w:pos="827" w:val="left" w:leader="none"/>
              </w:tabs>
              <w:ind w:left="827" w:right="408" w:hanging="360"/>
              <w:rPr>
                <w:sz w:val="20"/>
              </w:rPr>
            </w:pPr>
            <w:r>
              <w:rPr>
                <w:spacing w:val="-6"/>
                <w:sz w:val="20"/>
              </w:rPr>
              <w:t>1.</w:t>
            </w:r>
            <w:r>
              <w:rPr>
                <w:sz w:val="20"/>
              </w:rPr>
              <w:tab/>
              <w:t>Promovimi I agroturizmit</w:t>
            </w:r>
            <w:r>
              <w:rPr>
                <w:spacing w:val="-13"/>
                <w:sz w:val="20"/>
              </w:rPr>
              <w:t> </w:t>
            </w:r>
            <w:r>
              <w:rPr>
                <w:sz w:val="20"/>
              </w:rPr>
              <w:t>në evente të </w:t>
            </w:r>
            <w:r>
              <w:rPr>
                <w:spacing w:val="-2"/>
                <w:sz w:val="20"/>
              </w:rPr>
              <w:t>ndryshme</w:t>
            </w:r>
          </w:p>
        </w:tc>
        <w:tc>
          <w:tcPr>
            <w:tcW w:w="1935" w:type="dxa"/>
          </w:tcPr>
          <w:p>
            <w:pPr>
              <w:pStyle w:val="TableParagraph"/>
              <w:ind w:left="331" w:right="324"/>
              <w:jc w:val="center"/>
              <w:rPr>
                <w:sz w:val="20"/>
              </w:rPr>
            </w:pPr>
            <w:r>
              <w:rPr>
                <w:spacing w:val="-2"/>
                <w:sz w:val="20"/>
              </w:rPr>
              <w:t>DBPZHR-</w:t>
            </w:r>
            <w:r>
              <w:rPr>
                <w:spacing w:val="-5"/>
                <w:sz w:val="20"/>
              </w:rPr>
              <w:t>ja,</w:t>
            </w:r>
          </w:p>
        </w:tc>
        <w:tc>
          <w:tcPr>
            <w:tcW w:w="1620" w:type="dxa"/>
          </w:tcPr>
          <w:p>
            <w:pPr>
              <w:pStyle w:val="TableParagraph"/>
              <w:ind w:left="106"/>
              <w:rPr>
                <w:sz w:val="20"/>
              </w:rPr>
            </w:pPr>
            <w:r>
              <w:rPr>
                <w:spacing w:val="-2"/>
                <w:sz w:val="20"/>
              </w:rPr>
              <w:t>2024-</w:t>
            </w:r>
            <w:r>
              <w:rPr>
                <w:spacing w:val="-4"/>
                <w:sz w:val="20"/>
              </w:rPr>
              <w:t>2027</w:t>
            </w:r>
          </w:p>
        </w:tc>
        <w:tc>
          <w:tcPr>
            <w:tcW w:w="1890" w:type="dxa"/>
          </w:tcPr>
          <w:p>
            <w:pPr>
              <w:pStyle w:val="TableParagraph"/>
              <w:ind w:left="106"/>
              <w:rPr>
                <w:sz w:val="20"/>
              </w:rPr>
            </w:pPr>
            <w:r>
              <w:rPr>
                <w:sz w:val="20"/>
              </w:rPr>
              <w:t>3.500.00</w:t>
            </w:r>
            <w:r>
              <w:rPr>
                <w:spacing w:val="-3"/>
                <w:sz w:val="20"/>
              </w:rPr>
              <w:t> </w:t>
            </w:r>
            <w:r>
              <w:rPr>
                <w:spacing w:val="-10"/>
                <w:sz w:val="20"/>
              </w:rPr>
              <w:t>€</w:t>
            </w:r>
          </w:p>
        </w:tc>
        <w:tc>
          <w:tcPr>
            <w:tcW w:w="1800" w:type="dxa"/>
          </w:tcPr>
          <w:p>
            <w:pPr>
              <w:pStyle w:val="TableParagraph"/>
              <w:ind w:left="106"/>
              <w:rPr>
                <w:sz w:val="20"/>
              </w:rPr>
            </w:pPr>
            <w:r>
              <w:rPr>
                <w:sz w:val="20"/>
              </w:rPr>
              <w:t>Komuna</w:t>
            </w:r>
            <w:r>
              <w:rPr>
                <w:spacing w:val="-1"/>
                <w:sz w:val="20"/>
              </w:rPr>
              <w:t> </w:t>
            </w:r>
            <w:r>
              <w:rPr>
                <w:spacing w:val="-5"/>
                <w:sz w:val="20"/>
              </w:rPr>
              <w:t>HE</w:t>
            </w:r>
          </w:p>
        </w:tc>
      </w:tr>
      <w:tr>
        <w:trPr>
          <w:trHeight w:val="880"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ind w:left="827" w:right="116"/>
              <w:rPr>
                <w:sz w:val="20"/>
              </w:rPr>
            </w:pPr>
            <w:r>
              <w:rPr>
                <w:sz w:val="20"/>
              </w:rPr>
              <w:t>2.</w:t>
            </w:r>
            <w:r>
              <w:rPr>
                <w:spacing w:val="-13"/>
                <w:sz w:val="20"/>
              </w:rPr>
              <w:t> </w:t>
            </w:r>
            <w:r>
              <w:rPr>
                <w:sz w:val="20"/>
              </w:rPr>
              <w:t>Investime</w:t>
            </w:r>
            <w:r>
              <w:rPr>
                <w:spacing w:val="-12"/>
                <w:sz w:val="20"/>
              </w:rPr>
              <w:t> </w:t>
            </w:r>
            <w:r>
              <w:rPr>
                <w:sz w:val="20"/>
              </w:rPr>
              <w:t>në asetet rurale / </w:t>
            </w:r>
            <w:r>
              <w:rPr>
                <w:spacing w:val="-2"/>
                <w:sz w:val="20"/>
              </w:rPr>
              <w:t>agroturizëm.</w:t>
            </w:r>
          </w:p>
        </w:tc>
        <w:tc>
          <w:tcPr>
            <w:tcW w:w="1935" w:type="dxa"/>
          </w:tcPr>
          <w:p>
            <w:pPr>
              <w:pStyle w:val="TableParagraph"/>
              <w:spacing w:line="230" w:lineRule="exact"/>
              <w:ind w:left="331" w:right="324"/>
              <w:jc w:val="center"/>
              <w:rPr>
                <w:sz w:val="20"/>
              </w:rPr>
            </w:pPr>
            <w:r>
              <w:rPr>
                <w:spacing w:val="-2"/>
                <w:sz w:val="20"/>
              </w:rPr>
              <w:t>DBPZHR-</w:t>
            </w:r>
            <w:r>
              <w:rPr>
                <w:spacing w:val="-5"/>
                <w:sz w:val="20"/>
              </w:rPr>
              <w:t>ja,</w:t>
            </w:r>
          </w:p>
          <w:p>
            <w:pPr>
              <w:pStyle w:val="TableParagraph"/>
              <w:spacing w:line="230" w:lineRule="exact"/>
              <w:ind w:left="332" w:right="323"/>
              <w:jc w:val="center"/>
              <w:rPr>
                <w:sz w:val="20"/>
              </w:rPr>
            </w:pPr>
            <w:r>
              <w:rPr>
                <w:spacing w:val="-2"/>
                <w:sz w:val="20"/>
              </w:rPr>
              <w:t>Donatorët</w:t>
            </w:r>
          </w:p>
        </w:tc>
        <w:tc>
          <w:tcPr>
            <w:tcW w:w="1620" w:type="dxa"/>
          </w:tcPr>
          <w:p>
            <w:pPr>
              <w:pStyle w:val="TableParagraph"/>
              <w:ind w:left="106"/>
              <w:rPr>
                <w:sz w:val="20"/>
              </w:rPr>
            </w:pPr>
            <w:r>
              <w:rPr>
                <w:spacing w:val="-2"/>
                <w:sz w:val="20"/>
              </w:rPr>
              <w:t>2024-</w:t>
            </w:r>
            <w:r>
              <w:rPr>
                <w:spacing w:val="-4"/>
                <w:sz w:val="20"/>
              </w:rPr>
              <w:t>2027</w:t>
            </w:r>
          </w:p>
        </w:tc>
        <w:tc>
          <w:tcPr>
            <w:tcW w:w="1890" w:type="dxa"/>
          </w:tcPr>
          <w:p>
            <w:pPr>
              <w:pStyle w:val="TableParagraph"/>
              <w:ind w:left="106"/>
              <w:rPr>
                <w:sz w:val="20"/>
              </w:rPr>
            </w:pPr>
            <w:r>
              <w:rPr>
                <w:sz w:val="20"/>
              </w:rPr>
              <w:t>20,000.00</w:t>
            </w:r>
            <w:r>
              <w:rPr>
                <w:spacing w:val="-1"/>
                <w:sz w:val="20"/>
              </w:rPr>
              <w:t> </w:t>
            </w:r>
            <w:r>
              <w:rPr>
                <w:spacing w:val="-10"/>
                <w:sz w:val="20"/>
              </w:rPr>
              <w:t>€</w:t>
            </w:r>
          </w:p>
        </w:tc>
        <w:tc>
          <w:tcPr>
            <w:tcW w:w="1800" w:type="dxa"/>
          </w:tcPr>
          <w:p>
            <w:pPr>
              <w:pStyle w:val="TableParagraph"/>
              <w:ind w:left="106" w:right="43"/>
              <w:rPr>
                <w:sz w:val="20"/>
              </w:rPr>
            </w:pPr>
            <w:r>
              <w:rPr>
                <w:sz w:val="20"/>
              </w:rPr>
              <w:t>Komuna HE Donator</w:t>
            </w:r>
            <w:r>
              <w:rPr>
                <w:spacing w:val="-13"/>
                <w:sz w:val="20"/>
              </w:rPr>
              <w:t> </w:t>
            </w:r>
            <w:r>
              <w:rPr>
                <w:sz w:val="20"/>
              </w:rPr>
              <w:t>të</w:t>
            </w:r>
            <w:r>
              <w:rPr>
                <w:spacing w:val="-12"/>
                <w:sz w:val="20"/>
              </w:rPr>
              <w:t> </w:t>
            </w:r>
            <w:r>
              <w:rPr>
                <w:sz w:val="20"/>
              </w:rPr>
              <w:t>jashtëm</w:t>
            </w:r>
          </w:p>
        </w:tc>
      </w:tr>
      <w:tr>
        <w:trPr>
          <w:trHeight w:val="881"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2476" w:type="dxa"/>
          </w:tcPr>
          <w:p>
            <w:pPr>
              <w:pStyle w:val="TableParagraph"/>
              <w:tabs>
                <w:tab w:pos="827" w:val="left" w:leader="none"/>
              </w:tabs>
              <w:ind w:left="827" w:right="249" w:hanging="360"/>
              <w:rPr>
                <w:sz w:val="20"/>
              </w:rPr>
            </w:pPr>
            <w:r>
              <w:rPr>
                <w:spacing w:val="-6"/>
                <w:sz w:val="20"/>
              </w:rPr>
              <w:t>2.</w:t>
            </w:r>
            <w:r>
              <w:rPr>
                <w:sz w:val="20"/>
              </w:rPr>
              <w:tab/>
              <w:t>Fushata për ruajtjen</w:t>
            </w:r>
            <w:r>
              <w:rPr>
                <w:spacing w:val="-13"/>
                <w:sz w:val="20"/>
              </w:rPr>
              <w:t> </w:t>
            </w:r>
            <w:r>
              <w:rPr>
                <w:sz w:val="20"/>
              </w:rPr>
              <w:t>e</w:t>
            </w:r>
            <w:r>
              <w:rPr>
                <w:spacing w:val="-12"/>
                <w:sz w:val="20"/>
              </w:rPr>
              <w:t> </w:t>
            </w:r>
            <w:r>
              <w:rPr>
                <w:sz w:val="20"/>
              </w:rPr>
              <w:t>aseteve </w:t>
            </w:r>
            <w:r>
              <w:rPr>
                <w:spacing w:val="-2"/>
                <w:sz w:val="20"/>
              </w:rPr>
              <w:t>pyjore</w:t>
            </w:r>
          </w:p>
        </w:tc>
        <w:tc>
          <w:tcPr>
            <w:tcW w:w="1935" w:type="dxa"/>
          </w:tcPr>
          <w:p>
            <w:pPr>
              <w:pStyle w:val="TableParagraph"/>
              <w:ind w:left="97" w:right="89"/>
              <w:jc w:val="center"/>
              <w:rPr>
                <w:sz w:val="20"/>
              </w:rPr>
            </w:pPr>
            <w:r>
              <w:rPr>
                <w:sz w:val="20"/>
              </w:rPr>
              <w:t>DBPZHR-ja,</w:t>
            </w:r>
            <w:r>
              <w:rPr>
                <w:spacing w:val="-4"/>
                <w:sz w:val="20"/>
              </w:rPr>
              <w:t> </w:t>
            </w:r>
            <w:r>
              <w:rPr>
                <w:sz w:val="20"/>
              </w:rPr>
              <w:t>APK-</w:t>
            </w:r>
            <w:r>
              <w:rPr>
                <w:spacing w:val="-5"/>
                <w:sz w:val="20"/>
              </w:rPr>
              <w:t>ja</w:t>
            </w:r>
          </w:p>
        </w:tc>
        <w:tc>
          <w:tcPr>
            <w:tcW w:w="1620" w:type="dxa"/>
          </w:tcPr>
          <w:p>
            <w:pPr>
              <w:pStyle w:val="TableParagraph"/>
              <w:ind w:left="106"/>
              <w:rPr>
                <w:sz w:val="20"/>
              </w:rPr>
            </w:pPr>
            <w:r>
              <w:rPr>
                <w:spacing w:val="-2"/>
                <w:sz w:val="20"/>
              </w:rPr>
              <w:t>2024-</w:t>
            </w:r>
            <w:r>
              <w:rPr>
                <w:spacing w:val="-5"/>
                <w:sz w:val="20"/>
              </w:rPr>
              <w:t>205</w:t>
            </w:r>
          </w:p>
        </w:tc>
        <w:tc>
          <w:tcPr>
            <w:tcW w:w="1890" w:type="dxa"/>
          </w:tcPr>
          <w:p>
            <w:pPr>
              <w:pStyle w:val="TableParagraph"/>
              <w:ind w:left="106"/>
              <w:rPr>
                <w:sz w:val="20"/>
              </w:rPr>
            </w:pPr>
            <w:r>
              <w:rPr>
                <w:sz w:val="20"/>
              </w:rPr>
              <w:t>2,000.00</w:t>
            </w:r>
            <w:r>
              <w:rPr>
                <w:spacing w:val="-3"/>
                <w:sz w:val="20"/>
              </w:rPr>
              <w:t> </w:t>
            </w:r>
            <w:r>
              <w:rPr>
                <w:spacing w:val="-10"/>
                <w:sz w:val="20"/>
              </w:rPr>
              <w:t>€</w:t>
            </w:r>
          </w:p>
        </w:tc>
        <w:tc>
          <w:tcPr>
            <w:tcW w:w="1800" w:type="dxa"/>
          </w:tcPr>
          <w:p>
            <w:pPr>
              <w:pStyle w:val="TableParagraph"/>
              <w:ind w:left="118"/>
              <w:rPr>
                <w:sz w:val="20"/>
              </w:rPr>
            </w:pPr>
            <w:r>
              <w:rPr>
                <w:sz w:val="20"/>
              </w:rPr>
              <w:t>HE,</w:t>
            </w:r>
            <w:r>
              <w:rPr>
                <w:spacing w:val="-1"/>
                <w:sz w:val="20"/>
              </w:rPr>
              <w:t> </w:t>
            </w:r>
            <w:r>
              <w:rPr>
                <w:sz w:val="20"/>
              </w:rPr>
              <w:t>APK-</w:t>
            </w:r>
            <w:r>
              <w:rPr>
                <w:spacing w:val="-5"/>
                <w:sz w:val="20"/>
              </w:rPr>
              <w:t>ja</w:t>
            </w:r>
          </w:p>
        </w:tc>
      </w:tr>
      <w:tr>
        <w:trPr>
          <w:trHeight w:val="1088" w:hRule="atLeast"/>
        </w:trPr>
        <w:tc>
          <w:tcPr>
            <w:tcW w:w="1193" w:type="dxa"/>
            <w:vMerge/>
            <w:tcBorders>
              <w:top w:val="nil"/>
            </w:tcBorders>
            <w:textDirection w:val="btLr"/>
          </w:tcPr>
          <w:p>
            <w:pPr>
              <w:rPr>
                <w:sz w:val="2"/>
                <w:szCs w:val="2"/>
              </w:rPr>
            </w:pPr>
          </w:p>
        </w:tc>
        <w:tc>
          <w:tcPr>
            <w:tcW w:w="3848" w:type="dxa"/>
            <w:vMerge/>
            <w:tcBorders>
              <w:top w:val="nil"/>
            </w:tcBorders>
          </w:tcPr>
          <w:p>
            <w:pPr>
              <w:rPr>
                <w:sz w:val="2"/>
                <w:szCs w:val="2"/>
              </w:rPr>
            </w:pPr>
          </w:p>
        </w:tc>
        <w:tc>
          <w:tcPr>
            <w:tcW w:w="9721" w:type="dxa"/>
            <w:gridSpan w:val="5"/>
            <w:tcBorders>
              <w:bottom w:val="nil"/>
              <w:right w:val="nil"/>
            </w:tcBorders>
          </w:tcPr>
          <w:p>
            <w:pPr>
              <w:pStyle w:val="TableParagraph"/>
              <w:rPr>
                <w:sz w:val="20"/>
              </w:rPr>
            </w:pPr>
          </w:p>
        </w:tc>
      </w:tr>
    </w:tbl>
    <w:p>
      <w:pPr>
        <w:spacing w:after="0"/>
        <w:rPr>
          <w:sz w:val="20"/>
        </w:rPr>
        <w:sectPr>
          <w:pgSz w:w="15840" w:h="12240" w:orient="landscape"/>
          <w:pgMar w:header="0" w:footer="990" w:top="1380" w:bottom="1180" w:left="420" w:right="1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spacing w:before="87"/>
        <w:ind w:left="2489" w:right="2746" w:firstLine="0"/>
        <w:jc w:val="center"/>
        <w:rPr>
          <w:b/>
          <w:sz w:val="32"/>
        </w:rPr>
      </w:pPr>
      <w:r>
        <w:rPr>
          <w:b/>
          <w:sz w:val="32"/>
        </w:rPr>
        <w:t>Shërbimet</w:t>
      </w:r>
      <w:r>
        <w:rPr>
          <w:b/>
          <w:spacing w:val="-2"/>
          <w:sz w:val="32"/>
        </w:rPr>
        <w:t> Publike</w:t>
      </w:r>
    </w:p>
    <w:p>
      <w:pPr>
        <w:pStyle w:val="BodyText"/>
        <w:rPr>
          <w:b/>
          <w:sz w:val="20"/>
        </w:rPr>
      </w:pPr>
    </w:p>
    <w:p>
      <w:pPr>
        <w:pStyle w:val="BodyText"/>
        <w:rPr>
          <w:b/>
          <w:sz w:val="20"/>
        </w:rPr>
      </w:pPr>
    </w:p>
    <w:p>
      <w:pPr>
        <w:pStyle w:val="BodyText"/>
        <w:spacing w:before="4"/>
        <w:rPr>
          <w:b/>
          <w:sz w:val="26"/>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3420"/>
        <w:gridCol w:w="1260"/>
        <w:gridCol w:w="2160"/>
        <w:gridCol w:w="1440"/>
        <w:gridCol w:w="2070"/>
        <w:gridCol w:w="2700"/>
        <w:gridCol w:w="1980"/>
      </w:tblGrid>
      <w:tr>
        <w:trPr>
          <w:trHeight w:val="1233" w:hRule="atLeast"/>
        </w:trPr>
        <w:tc>
          <w:tcPr>
            <w:tcW w:w="3420" w:type="dxa"/>
            <w:tcBorders>
              <w:bottom w:val="single" w:sz="12" w:space="0" w:color="DAD5B1"/>
            </w:tcBorders>
            <w:shd w:val="clear" w:color="auto" w:fill="F9DFC2"/>
          </w:tcPr>
          <w:p>
            <w:pPr>
              <w:pStyle w:val="TableParagraph"/>
              <w:rPr>
                <w:b/>
                <w:sz w:val="22"/>
              </w:rPr>
            </w:pPr>
          </w:p>
          <w:p>
            <w:pPr>
              <w:pStyle w:val="TableParagraph"/>
              <w:spacing w:before="6"/>
              <w:rPr>
                <w:b/>
                <w:sz w:val="19"/>
              </w:rPr>
            </w:pPr>
          </w:p>
          <w:p>
            <w:pPr>
              <w:pStyle w:val="TableParagraph"/>
              <w:ind w:left="1301" w:right="1293"/>
              <w:jc w:val="center"/>
              <w:rPr>
                <w:sz w:val="21"/>
              </w:rPr>
            </w:pPr>
            <w:r>
              <w:rPr>
                <w:color w:val="543005"/>
                <w:spacing w:val="-2"/>
                <w:sz w:val="21"/>
              </w:rPr>
              <w:t>Objektivi</w:t>
            </w:r>
          </w:p>
        </w:tc>
        <w:tc>
          <w:tcPr>
            <w:tcW w:w="1260" w:type="dxa"/>
            <w:tcBorders>
              <w:bottom w:val="single" w:sz="12" w:space="0" w:color="DAD5B1"/>
            </w:tcBorders>
            <w:shd w:val="clear" w:color="auto" w:fill="F9DFC2"/>
          </w:tcPr>
          <w:p>
            <w:pPr>
              <w:pStyle w:val="TableParagraph"/>
              <w:rPr>
                <w:b/>
                <w:sz w:val="22"/>
              </w:rPr>
            </w:pPr>
          </w:p>
          <w:p>
            <w:pPr>
              <w:pStyle w:val="TableParagraph"/>
              <w:spacing w:before="5"/>
              <w:rPr>
                <w:b/>
                <w:sz w:val="18"/>
              </w:rPr>
            </w:pPr>
          </w:p>
          <w:p>
            <w:pPr>
              <w:pStyle w:val="TableParagraph"/>
              <w:spacing w:before="1"/>
              <w:ind w:left="140"/>
              <w:rPr>
                <w:sz w:val="20"/>
              </w:rPr>
            </w:pPr>
            <w:r>
              <w:rPr>
                <w:color w:val="543005"/>
                <w:spacing w:val="-2"/>
                <w:sz w:val="20"/>
              </w:rPr>
              <w:t>Pritshmëritë</w:t>
            </w:r>
          </w:p>
        </w:tc>
        <w:tc>
          <w:tcPr>
            <w:tcW w:w="2160" w:type="dxa"/>
            <w:tcBorders>
              <w:bottom w:val="single" w:sz="12" w:space="0" w:color="DAD5B1"/>
            </w:tcBorders>
            <w:shd w:val="clear" w:color="auto" w:fill="F9DFC2"/>
          </w:tcPr>
          <w:p>
            <w:pPr>
              <w:pStyle w:val="TableParagraph"/>
              <w:rPr>
                <w:b/>
                <w:sz w:val="22"/>
              </w:rPr>
            </w:pPr>
          </w:p>
          <w:p>
            <w:pPr>
              <w:pStyle w:val="TableParagraph"/>
              <w:spacing w:before="6"/>
              <w:rPr>
                <w:b/>
                <w:sz w:val="19"/>
              </w:rPr>
            </w:pPr>
          </w:p>
          <w:p>
            <w:pPr>
              <w:pStyle w:val="TableParagraph"/>
              <w:ind w:left="315"/>
              <w:rPr>
                <w:sz w:val="21"/>
              </w:rPr>
            </w:pPr>
            <w:r>
              <w:rPr>
                <w:color w:val="543005"/>
                <w:spacing w:val="-2"/>
                <w:sz w:val="21"/>
              </w:rPr>
              <w:t>Aktiviteti/Projekti</w:t>
            </w:r>
          </w:p>
        </w:tc>
        <w:tc>
          <w:tcPr>
            <w:tcW w:w="1440" w:type="dxa"/>
            <w:tcBorders>
              <w:bottom w:val="single" w:sz="12" w:space="0" w:color="DAD5B1"/>
            </w:tcBorders>
            <w:shd w:val="clear" w:color="auto" w:fill="F9DFC2"/>
          </w:tcPr>
          <w:p>
            <w:pPr>
              <w:pStyle w:val="TableParagraph"/>
              <w:rPr>
                <w:b/>
                <w:sz w:val="22"/>
              </w:rPr>
            </w:pPr>
          </w:p>
          <w:p>
            <w:pPr>
              <w:pStyle w:val="TableParagraph"/>
              <w:spacing w:before="5"/>
              <w:rPr>
                <w:b/>
                <w:sz w:val="18"/>
              </w:rPr>
            </w:pPr>
          </w:p>
          <w:p>
            <w:pPr>
              <w:pStyle w:val="TableParagraph"/>
              <w:spacing w:line="276" w:lineRule="auto" w:before="1"/>
              <w:ind w:left="181" w:right="106" w:hanging="59"/>
              <w:rPr>
                <w:sz w:val="20"/>
              </w:rPr>
            </w:pPr>
            <w:r>
              <w:rPr>
                <w:color w:val="543005"/>
                <w:sz w:val="20"/>
              </w:rPr>
              <w:t>Përgjegjësi</w:t>
            </w:r>
            <w:r>
              <w:rPr>
                <w:color w:val="543005"/>
                <w:spacing w:val="-13"/>
                <w:sz w:val="20"/>
              </w:rPr>
              <w:t> </w:t>
            </w:r>
            <w:r>
              <w:rPr>
                <w:color w:val="543005"/>
                <w:sz w:val="20"/>
              </w:rPr>
              <w:t>për </w:t>
            </w:r>
            <w:r>
              <w:rPr>
                <w:color w:val="543005"/>
                <w:spacing w:val="-2"/>
                <w:sz w:val="20"/>
              </w:rPr>
              <w:t>Implementim</w:t>
            </w:r>
          </w:p>
        </w:tc>
        <w:tc>
          <w:tcPr>
            <w:tcW w:w="2070" w:type="dxa"/>
            <w:tcBorders>
              <w:bottom w:val="single" w:sz="12" w:space="0" w:color="DAD5B1"/>
            </w:tcBorders>
            <w:shd w:val="clear" w:color="auto" w:fill="F9DFC2"/>
          </w:tcPr>
          <w:p>
            <w:pPr>
              <w:pStyle w:val="TableParagraph"/>
              <w:rPr>
                <w:b/>
                <w:sz w:val="22"/>
              </w:rPr>
            </w:pPr>
          </w:p>
          <w:p>
            <w:pPr>
              <w:pStyle w:val="TableParagraph"/>
              <w:spacing w:before="6"/>
              <w:rPr>
                <w:b/>
                <w:sz w:val="19"/>
              </w:rPr>
            </w:pPr>
          </w:p>
          <w:p>
            <w:pPr>
              <w:pStyle w:val="TableParagraph"/>
              <w:ind w:left="376"/>
              <w:rPr>
                <w:sz w:val="21"/>
              </w:rPr>
            </w:pPr>
            <w:r>
              <w:rPr>
                <w:color w:val="543005"/>
                <w:sz w:val="21"/>
              </w:rPr>
              <w:t>Afati</w:t>
            </w:r>
            <w:r>
              <w:rPr>
                <w:color w:val="543005"/>
                <w:spacing w:val="-2"/>
                <w:sz w:val="21"/>
              </w:rPr>
              <w:t> </w:t>
            </w:r>
            <w:r>
              <w:rPr>
                <w:color w:val="543005"/>
                <w:sz w:val="21"/>
              </w:rPr>
              <w:t>i</w:t>
            </w:r>
            <w:r>
              <w:rPr>
                <w:color w:val="543005"/>
                <w:spacing w:val="-2"/>
                <w:sz w:val="21"/>
              </w:rPr>
              <w:t> Zbatimit</w:t>
            </w:r>
          </w:p>
        </w:tc>
        <w:tc>
          <w:tcPr>
            <w:tcW w:w="2700" w:type="dxa"/>
            <w:tcBorders>
              <w:bottom w:val="single" w:sz="12" w:space="0" w:color="DAD5B1"/>
            </w:tcBorders>
            <w:shd w:val="clear" w:color="auto" w:fill="F9DFC2"/>
          </w:tcPr>
          <w:p>
            <w:pPr>
              <w:pStyle w:val="TableParagraph"/>
              <w:rPr>
                <w:b/>
                <w:sz w:val="22"/>
              </w:rPr>
            </w:pPr>
          </w:p>
          <w:p>
            <w:pPr>
              <w:pStyle w:val="TableParagraph"/>
              <w:spacing w:before="6"/>
              <w:rPr>
                <w:b/>
                <w:sz w:val="19"/>
              </w:rPr>
            </w:pPr>
          </w:p>
          <w:p>
            <w:pPr>
              <w:pStyle w:val="TableParagraph"/>
              <w:ind w:left="435"/>
              <w:rPr>
                <w:sz w:val="21"/>
              </w:rPr>
            </w:pPr>
            <w:r>
              <w:rPr>
                <w:color w:val="543005"/>
                <w:sz w:val="21"/>
              </w:rPr>
              <w:t>Kostoja</w:t>
            </w:r>
            <w:r>
              <w:rPr>
                <w:color w:val="543005"/>
                <w:spacing w:val="-3"/>
                <w:sz w:val="21"/>
              </w:rPr>
              <w:t> </w:t>
            </w:r>
            <w:r>
              <w:rPr>
                <w:color w:val="543005"/>
                <w:sz w:val="21"/>
              </w:rPr>
              <w:t>e</w:t>
            </w:r>
            <w:r>
              <w:rPr>
                <w:color w:val="543005"/>
                <w:spacing w:val="-3"/>
                <w:sz w:val="21"/>
              </w:rPr>
              <w:t> </w:t>
            </w:r>
            <w:r>
              <w:rPr>
                <w:color w:val="543005"/>
                <w:spacing w:val="-2"/>
                <w:sz w:val="21"/>
              </w:rPr>
              <w:t>parashikuar</w:t>
            </w:r>
          </w:p>
        </w:tc>
        <w:tc>
          <w:tcPr>
            <w:tcW w:w="1980" w:type="dxa"/>
            <w:tcBorders>
              <w:bottom w:val="single" w:sz="12" w:space="0" w:color="DAD5B1"/>
            </w:tcBorders>
            <w:shd w:val="clear" w:color="auto" w:fill="F9DFC2"/>
          </w:tcPr>
          <w:p>
            <w:pPr>
              <w:pStyle w:val="TableParagraph"/>
              <w:rPr>
                <w:b/>
                <w:sz w:val="22"/>
              </w:rPr>
            </w:pPr>
          </w:p>
          <w:p>
            <w:pPr>
              <w:pStyle w:val="TableParagraph"/>
              <w:spacing w:before="167"/>
              <w:ind w:left="156"/>
              <w:rPr>
                <w:sz w:val="21"/>
              </w:rPr>
            </w:pPr>
            <w:r>
              <w:rPr>
                <w:color w:val="543005"/>
                <w:sz w:val="21"/>
              </w:rPr>
              <w:t>Burimi i </w:t>
            </w:r>
            <w:r>
              <w:rPr>
                <w:color w:val="543005"/>
                <w:spacing w:val="-2"/>
                <w:sz w:val="21"/>
              </w:rPr>
              <w:t>Financimit</w:t>
            </w:r>
          </w:p>
        </w:tc>
      </w:tr>
      <w:tr>
        <w:trPr>
          <w:trHeight w:val="1628" w:hRule="atLeast"/>
        </w:trPr>
        <w:tc>
          <w:tcPr>
            <w:tcW w:w="3420" w:type="dxa"/>
            <w:vMerge w:val="restart"/>
            <w:tcBorders>
              <w:top w:val="single" w:sz="12" w:space="0" w:color="DAD5B1"/>
            </w:tcBorders>
            <w:textDirection w:val="btLr"/>
          </w:tcPr>
          <w:p>
            <w:pPr>
              <w:pStyle w:val="TableParagraph"/>
              <w:numPr>
                <w:ilvl w:val="0"/>
                <w:numId w:val="23"/>
              </w:numPr>
              <w:tabs>
                <w:tab w:pos="388" w:val="left" w:leader="none"/>
              </w:tabs>
              <w:spacing w:line="283" w:lineRule="auto" w:before="110" w:after="0"/>
              <w:ind w:left="732" w:right="234" w:hanging="497"/>
              <w:jc w:val="left"/>
              <w:rPr>
                <w:sz w:val="20"/>
              </w:rPr>
            </w:pPr>
            <w:r>
              <w:rPr>
                <w:color w:val="543005"/>
                <w:sz w:val="20"/>
              </w:rPr>
              <w:t>Mbikëqyr</w:t>
            </w:r>
            <w:r>
              <w:rPr>
                <w:color w:val="543005"/>
                <w:spacing w:val="-6"/>
                <w:sz w:val="20"/>
              </w:rPr>
              <w:t> </w:t>
            </w:r>
            <w:r>
              <w:rPr>
                <w:color w:val="543005"/>
                <w:sz w:val="20"/>
              </w:rPr>
              <w:t>dhe</w:t>
            </w:r>
            <w:r>
              <w:rPr>
                <w:color w:val="543005"/>
                <w:spacing w:val="-7"/>
                <w:sz w:val="20"/>
              </w:rPr>
              <w:t> </w:t>
            </w:r>
            <w:r>
              <w:rPr>
                <w:color w:val="543005"/>
                <w:sz w:val="20"/>
              </w:rPr>
              <w:t>bashkëpunon</w:t>
            </w:r>
            <w:r>
              <w:rPr>
                <w:color w:val="543005"/>
                <w:spacing w:val="-8"/>
                <w:sz w:val="20"/>
              </w:rPr>
              <w:t> </w:t>
            </w:r>
            <w:r>
              <w:rPr>
                <w:color w:val="543005"/>
                <w:sz w:val="20"/>
              </w:rPr>
              <w:t>me</w:t>
            </w:r>
            <w:r>
              <w:rPr>
                <w:color w:val="543005"/>
                <w:spacing w:val="-7"/>
                <w:sz w:val="20"/>
              </w:rPr>
              <w:t> </w:t>
            </w:r>
            <w:r>
              <w:rPr>
                <w:color w:val="543005"/>
                <w:sz w:val="20"/>
              </w:rPr>
              <w:t>kompanitë</w:t>
            </w:r>
            <w:r>
              <w:rPr>
                <w:color w:val="543005"/>
                <w:spacing w:val="-8"/>
                <w:sz w:val="20"/>
              </w:rPr>
              <w:t> </w:t>
            </w:r>
            <w:r>
              <w:rPr>
                <w:color w:val="543005"/>
                <w:sz w:val="20"/>
              </w:rPr>
              <w:t>shërbyese</w:t>
            </w:r>
            <w:r>
              <w:rPr>
                <w:color w:val="543005"/>
                <w:spacing w:val="-7"/>
                <w:sz w:val="20"/>
              </w:rPr>
              <w:t> </w:t>
            </w:r>
            <w:r>
              <w:rPr>
                <w:color w:val="543005"/>
                <w:sz w:val="20"/>
              </w:rPr>
              <w:t>të Komunës, të higjienës dhe furnizimit me ujë,</w:t>
            </w:r>
          </w:p>
          <w:p>
            <w:pPr>
              <w:pStyle w:val="TableParagraph"/>
              <w:spacing w:before="5"/>
              <w:rPr>
                <w:b/>
                <w:sz w:val="17"/>
              </w:rPr>
            </w:pPr>
          </w:p>
          <w:p>
            <w:pPr>
              <w:pStyle w:val="TableParagraph"/>
              <w:numPr>
                <w:ilvl w:val="0"/>
                <w:numId w:val="23"/>
              </w:numPr>
              <w:tabs>
                <w:tab w:pos="420" w:val="left" w:leader="none"/>
              </w:tabs>
              <w:spacing w:line="283" w:lineRule="auto" w:before="0" w:after="0"/>
              <w:ind w:left="236" w:right="233" w:firstLine="32"/>
              <w:jc w:val="left"/>
              <w:rPr>
                <w:sz w:val="20"/>
              </w:rPr>
            </w:pPr>
            <w:r>
              <w:rPr>
                <w:color w:val="543005"/>
                <w:sz w:val="20"/>
              </w:rPr>
              <w:t>Menaxhon</w:t>
            </w:r>
            <w:r>
              <w:rPr>
                <w:color w:val="543005"/>
                <w:spacing w:val="-1"/>
                <w:sz w:val="20"/>
              </w:rPr>
              <w:t> </w:t>
            </w:r>
            <w:r>
              <w:rPr>
                <w:color w:val="543005"/>
                <w:sz w:val="20"/>
              </w:rPr>
              <w:t>dhe</w:t>
            </w:r>
            <w:r>
              <w:rPr>
                <w:color w:val="543005"/>
                <w:spacing w:val="-1"/>
                <w:sz w:val="20"/>
              </w:rPr>
              <w:t> </w:t>
            </w:r>
            <w:r>
              <w:rPr>
                <w:color w:val="543005"/>
                <w:sz w:val="20"/>
              </w:rPr>
              <w:t>mirëmban</w:t>
            </w:r>
            <w:r>
              <w:rPr>
                <w:color w:val="543005"/>
                <w:spacing w:val="-1"/>
                <w:sz w:val="20"/>
              </w:rPr>
              <w:t> </w:t>
            </w:r>
            <w:r>
              <w:rPr>
                <w:color w:val="543005"/>
                <w:sz w:val="20"/>
              </w:rPr>
              <w:t>të</w:t>
            </w:r>
            <w:r>
              <w:rPr>
                <w:color w:val="543005"/>
                <w:spacing w:val="-1"/>
                <w:sz w:val="20"/>
              </w:rPr>
              <w:t> </w:t>
            </w:r>
            <w:r>
              <w:rPr>
                <w:color w:val="543005"/>
                <w:sz w:val="20"/>
              </w:rPr>
              <w:t>gjitha</w:t>
            </w:r>
            <w:r>
              <w:rPr>
                <w:color w:val="543005"/>
                <w:spacing w:val="-1"/>
                <w:sz w:val="20"/>
              </w:rPr>
              <w:t> </w:t>
            </w:r>
            <w:r>
              <w:rPr>
                <w:color w:val="543005"/>
                <w:sz w:val="20"/>
              </w:rPr>
              <w:t>sheshet</w:t>
            </w:r>
            <w:r>
              <w:rPr>
                <w:color w:val="543005"/>
                <w:spacing w:val="-1"/>
                <w:sz w:val="20"/>
              </w:rPr>
              <w:t> </w:t>
            </w:r>
            <w:r>
              <w:rPr>
                <w:color w:val="543005"/>
                <w:sz w:val="20"/>
              </w:rPr>
              <w:t>publike</w:t>
            </w:r>
            <w:r>
              <w:rPr>
                <w:color w:val="543005"/>
                <w:spacing w:val="-1"/>
                <w:sz w:val="20"/>
              </w:rPr>
              <w:t> </w:t>
            </w:r>
            <w:r>
              <w:rPr>
                <w:color w:val="543005"/>
                <w:sz w:val="20"/>
              </w:rPr>
              <w:t>që</w:t>
            </w:r>
            <w:r>
              <w:rPr>
                <w:color w:val="543005"/>
                <w:spacing w:val="-3"/>
                <w:sz w:val="20"/>
              </w:rPr>
              <w:t> </w:t>
            </w:r>
            <w:r>
              <w:rPr>
                <w:color w:val="543005"/>
                <w:sz w:val="20"/>
              </w:rPr>
              <w:t>i përkasin</w:t>
            </w:r>
            <w:r>
              <w:rPr>
                <w:color w:val="543005"/>
                <w:spacing w:val="-6"/>
                <w:sz w:val="20"/>
              </w:rPr>
              <w:t> </w:t>
            </w:r>
            <w:r>
              <w:rPr>
                <w:color w:val="543005"/>
                <w:sz w:val="20"/>
              </w:rPr>
              <w:t>komunës</w:t>
            </w:r>
            <w:r>
              <w:rPr>
                <w:color w:val="543005"/>
                <w:spacing w:val="-5"/>
                <w:sz w:val="20"/>
              </w:rPr>
              <w:t> </w:t>
            </w:r>
            <w:r>
              <w:rPr>
                <w:color w:val="543005"/>
                <w:sz w:val="20"/>
              </w:rPr>
              <w:t>si</w:t>
            </w:r>
            <w:r>
              <w:rPr>
                <w:color w:val="543005"/>
                <w:spacing w:val="-7"/>
                <w:sz w:val="20"/>
              </w:rPr>
              <w:t> </w:t>
            </w:r>
            <w:r>
              <w:rPr>
                <w:color w:val="543005"/>
                <w:sz w:val="20"/>
              </w:rPr>
              <w:t>dhe</w:t>
            </w:r>
            <w:r>
              <w:rPr>
                <w:color w:val="543005"/>
                <w:spacing w:val="-6"/>
                <w:sz w:val="20"/>
              </w:rPr>
              <w:t> </w:t>
            </w:r>
            <w:r>
              <w:rPr>
                <w:color w:val="543005"/>
                <w:sz w:val="20"/>
              </w:rPr>
              <w:t>përkujdesjen</w:t>
            </w:r>
            <w:r>
              <w:rPr>
                <w:color w:val="543005"/>
                <w:spacing w:val="-5"/>
                <w:sz w:val="20"/>
              </w:rPr>
              <w:t> </w:t>
            </w:r>
            <w:r>
              <w:rPr>
                <w:color w:val="543005"/>
                <w:sz w:val="20"/>
              </w:rPr>
              <w:t>për</w:t>
            </w:r>
            <w:r>
              <w:rPr>
                <w:color w:val="543005"/>
                <w:spacing w:val="-5"/>
                <w:sz w:val="20"/>
              </w:rPr>
              <w:t> </w:t>
            </w:r>
            <w:r>
              <w:rPr>
                <w:color w:val="543005"/>
                <w:sz w:val="20"/>
              </w:rPr>
              <w:t>mirëmbajtjen</w:t>
            </w:r>
            <w:r>
              <w:rPr>
                <w:color w:val="543005"/>
                <w:spacing w:val="-5"/>
                <w:sz w:val="20"/>
              </w:rPr>
              <w:t> </w:t>
            </w:r>
            <w:r>
              <w:rPr>
                <w:color w:val="543005"/>
                <w:sz w:val="20"/>
              </w:rPr>
              <w:t>e</w:t>
            </w:r>
          </w:p>
          <w:p>
            <w:pPr>
              <w:pStyle w:val="TableParagraph"/>
              <w:spacing w:before="1"/>
              <w:ind w:left="1497"/>
              <w:rPr>
                <w:sz w:val="20"/>
              </w:rPr>
            </w:pPr>
            <w:r>
              <w:rPr>
                <w:color w:val="543005"/>
                <w:sz w:val="20"/>
              </w:rPr>
              <w:t>varrezave</w:t>
            </w:r>
            <w:r>
              <w:rPr>
                <w:color w:val="543005"/>
                <w:spacing w:val="-2"/>
                <w:sz w:val="20"/>
              </w:rPr>
              <w:t> </w:t>
            </w:r>
            <w:r>
              <w:rPr>
                <w:color w:val="543005"/>
                <w:sz w:val="20"/>
              </w:rPr>
              <w:t>të</w:t>
            </w:r>
            <w:r>
              <w:rPr>
                <w:color w:val="543005"/>
                <w:spacing w:val="-2"/>
                <w:sz w:val="20"/>
              </w:rPr>
              <w:t> Dëshmorëve,</w:t>
            </w:r>
          </w:p>
          <w:p>
            <w:pPr>
              <w:pStyle w:val="TableParagraph"/>
              <w:rPr>
                <w:b/>
                <w:sz w:val="21"/>
              </w:rPr>
            </w:pPr>
          </w:p>
          <w:p>
            <w:pPr>
              <w:pStyle w:val="TableParagraph"/>
              <w:numPr>
                <w:ilvl w:val="0"/>
                <w:numId w:val="23"/>
              </w:numPr>
              <w:tabs>
                <w:tab w:pos="407" w:val="left" w:leader="none"/>
              </w:tabs>
              <w:spacing w:line="285" w:lineRule="auto" w:before="0" w:after="0"/>
              <w:ind w:left="506" w:right="253" w:hanging="251"/>
              <w:jc w:val="left"/>
              <w:rPr>
                <w:sz w:val="20"/>
              </w:rPr>
            </w:pPr>
            <w:r>
              <w:rPr>
                <w:color w:val="543005"/>
                <w:sz w:val="20"/>
              </w:rPr>
              <w:t>Bashkëpunon</w:t>
            </w:r>
            <w:r>
              <w:rPr>
                <w:color w:val="543005"/>
                <w:spacing w:val="-10"/>
                <w:sz w:val="20"/>
              </w:rPr>
              <w:t> </w:t>
            </w:r>
            <w:r>
              <w:rPr>
                <w:color w:val="543005"/>
                <w:sz w:val="20"/>
              </w:rPr>
              <w:t>me</w:t>
            </w:r>
            <w:r>
              <w:rPr>
                <w:color w:val="543005"/>
                <w:spacing w:val="-11"/>
                <w:sz w:val="20"/>
              </w:rPr>
              <w:t> </w:t>
            </w:r>
            <w:r>
              <w:rPr>
                <w:color w:val="543005"/>
                <w:sz w:val="20"/>
              </w:rPr>
              <w:t>institucionet,</w:t>
            </w:r>
            <w:r>
              <w:rPr>
                <w:color w:val="543005"/>
                <w:spacing w:val="-11"/>
                <w:sz w:val="20"/>
              </w:rPr>
              <w:t> </w:t>
            </w:r>
            <w:r>
              <w:rPr>
                <w:color w:val="543005"/>
                <w:sz w:val="20"/>
              </w:rPr>
              <w:t>organizatat</w:t>
            </w:r>
            <w:r>
              <w:rPr>
                <w:color w:val="543005"/>
                <w:spacing w:val="-11"/>
                <w:sz w:val="20"/>
              </w:rPr>
              <w:t> </w:t>
            </w:r>
            <w:r>
              <w:rPr>
                <w:color w:val="543005"/>
                <w:sz w:val="20"/>
              </w:rPr>
              <w:t>joqeveritare dhe të gjith mekanizmat tjerë në raste të fatkeqsive</w:t>
            </w:r>
          </w:p>
          <w:p>
            <w:pPr>
              <w:pStyle w:val="TableParagraph"/>
              <w:spacing w:line="227" w:lineRule="exact"/>
              <w:ind w:left="2074"/>
              <w:rPr>
                <w:sz w:val="20"/>
              </w:rPr>
            </w:pPr>
            <w:r>
              <w:rPr>
                <w:color w:val="543005"/>
                <w:spacing w:val="-2"/>
                <w:sz w:val="20"/>
              </w:rPr>
              <w:t>elementare.</w:t>
            </w:r>
          </w:p>
          <w:p>
            <w:pPr>
              <w:pStyle w:val="TableParagraph"/>
              <w:spacing w:before="6"/>
              <w:rPr>
                <w:b/>
                <w:sz w:val="17"/>
              </w:rPr>
            </w:pPr>
          </w:p>
          <w:p>
            <w:pPr>
              <w:pStyle w:val="TableParagraph"/>
              <w:numPr>
                <w:ilvl w:val="0"/>
                <w:numId w:val="23"/>
              </w:numPr>
              <w:tabs>
                <w:tab w:pos="407" w:val="left" w:leader="none"/>
              </w:tabs>
              <w:spacing w:line="270" w:lineRule="atLeast" w:before="0" w:after="0"/>
              <w:ind w:left="513" w:right="253" w:hanging="258"/>
              <w:jc w:val="left"/>
              <w:rPr>
                <w:sz w:val="20"/>
              </w:rPr>
            </w:pPr>
            <w:r>
              <w:rPr>
                <w:color w:val="543005"/>
                <w:sz w:val="20"/>
              </w:rPr>
              <w:t>Menaxhon,</w:t>
            </w:r>
            <w:r>
              <w:rPr>
                <w:color w:val="543005"/>
                <w:spacing w:val="-7"/>
                <w:sz w:val="20"/>
              </w:rPr>
              <w:t> </w:t>
            </w:r>
            <w:r>
              <w:rPr>
                <w:color w:val="543005"/>
                <w:sz w:val="20"/>
              </w:rPr>
              <w:t>organizon</w:t>
            </w:r>
            <w:r>
              <w:rPr>
                <w:color w:val="543005"/>
                <w:spacing w:val="-7"/>
                <w:sz w:val="20"/>
              </w:rPr>
              <w:t> </w:t>
            </w:r>
            <w:r>
              <w:rPr>
                <w:color w:val="543005"/>
                <w:sz w:val="20"/>
              </w:rPr>
              <w:t>dhe</w:t>
            </w:r>
            <w:r>
              <w:rPr>
                <w:color w:val="543005"/>
                <w:spacing w:val="-7"/>
                <w:sz w:val="20"/>
              </w:rPr>
              <w:t> </w:t>
            </w:r>
            <w:r>
              <w:rPr>
                <w:color w:val="543005"/>
                <w:sz w:val="20"/>
              </w:rPr>
              <w:t>administron</w:t>
            </w:r>
            <w:r>
              <w:rPr>
                <w:color w:val="543005"/>
                <w:spacing w:val="-7"/>
                <w:sz w:val="20"/>
              </w:rPr>
              <w:t> </w:t>
            </w:r>
            <w:r>
              <w:rPr>
                <w:color w:val="543005"/>
                <w:sz w:val="20"/>
              </w:rPr>
              <w:t>me</w:t>
            </w:r>
            <w:r>
              <w:rPr>
                <w:color w:val="543005"/>
                <w:spacing w:val="-8"/>
                <w:sz w:val="20"/>
              </w:rPr>
              <w:t> </w:t>
            </w:r>
            <w:r>
              <w:rPr>
                <w:color w:val="543005"/>
                <w:sz w:val="20"/>
              </w:rPr>
              <w:t>sektorët</w:t>
            </w:r>
            <w:r>
              <w:rPr>
                <w:color w:val="543005"/>
                <w:spacing w:val="-7"/>
                <w:sz w:val="20"/>
              </w:rPr>
              <w:t> </w:t>
            </w:r>
            <w:r>
              <w:rPr>
                <w:color w:val="543005"/>
                <w:sz w:val="20"/>
              </w:rPr>
              <w:t>dhe shërbimet ne kuadër te saj sipas kuadër te saj sipas</w:t>
            </w:r>
          </w:p>
        </w:tc>
        <w:tc>
          <w:tcPr>
            <w:tcW w:w="1260" w:type="dxa"/>
            <w:vMerge w:val="restart"/>
            <w:tcBorders>
              <w:top w:val="single" w:sz="12" w:space="0" w:color="DAD5B1"/>
            </w:tcBorders>
          </w:tcPr>
          <w:p>
            <w:pPr>
              <w:pStyle w:val="TableParagraph"/>
              <w:spacing w:line="288" w:lineRule="auto"/>
              <w:ind w:left="108" w:right="104"/>
              <w:rPr>
                <w:b/>
                <w:sz w:val="20"/>
              </w:rPr>
            </w:pPr>
            <w:r>
              <w:rPr>
                <w:b/>
                <w:color w:val="543005"/>
                <w:spacing w:val="-6"/>
                <w:sz w:val="20"/>
              </w:rPr>
              <w:t>Të </w:t>
            </w:r>
            <w:r>
              <w:rPr>
                <w:b/>
                <w:color w:val="543005"/>
                <w:spacing w:val="-2"/>
                <w:sz w:val="20"/>
              </w:rPr>
              <w:t>realizueshm </w:t>
            </w:r>
            <w:r>
              <w:rPr>
                <w:b/>
                <w:color w:val="543005"/>
                <w:spacing w:val="-10"/>
                <w:sz w:val="20"/>
              </w:rPr>
              <w:t>e</w:t>
            </w:r>
          </w:p>
        </w:tc>
        <w:tc>
          <w:tcPr>
            <w:tcW w:w="2160" w:type="dxa"/>
            <w:tcBorders>
              <w:top w:val="single" w:sz="12" w:space="0" w:color="DAD5B1"/>
            </w:tcBorders>
          </w:tcPr>
          <w:p>
            <w:pPr>
              <w:pStyle w:val="TableParagraph"/>
              <w:spacing w:line="276" w:lineRule="auto"/>
              <w:ind w:left="108" w:right="23"/>
              <w:rPr>
                <w:sz w:val="20"/>
              </w:rPr>
            </w:pPr>
            <w:r>
              <w:rPr>
                <w:color w:val="543005"/>
                <w:sz w:val="20"/>
              </w:rPr>
              <w:t>Mirëmbajtja</w:t>
            </w:r>
            <w:r>
              <w:rPr>
                <w:color w:val="543005"/>
                <w:spacing w:val="-13"/>
                <w:sz w:val="20"/>
              </w:rPr>
              <w:t> </w:t>
            </w:r>
            <w:r>
              <w:rPr>
                <w:color w:val="543005"/>
                <w:sz w:val="20"/>
              </w:rPr>
              <w:t>e</w:t>
            </w:r>
            <w:r>
              <w:rPr>
                <w:color w:val="543005"/>
                <w:spacing w:val="-12"/>
                <w:sz w:val="20"/>
              </w:rPr>
              <w:t> </w:t>
            </w:r>
            <w:r>
              <w:rPr>
                <w:color w:val="543005"/>
                <w:sz w:val="20"/>
              </w:rPr>
              <w:t>rrugëve lokale verë-Dimër, hapsirat Publike , varrezat etj</w:t>
            </w:r>
          </w:p>
        </w:tc>
        <w:tc>
          <w:tcPr>
            <w:tcW w:w="1440" w:type="dxa"/>
            <w:tcBorders>
              <w:top w:val="single" w:sz="12" w:space="0" w:color="DAD5B1"/>
            </w:tcBorders>
          </w:tcPr>
          <w:p>
            <w:pPr>
              <w:pStyle w:val="TableParagraph"/>
              <w:spacing w:line="276" w:lineRule="auto"/>
              <w:ind w:left="561" w:right="196" w:hanging="351"/>
              <w:rPr>
                <w:sz w:val="20"/>
              </w:rPr>
            </w:pPr>
            <w:r>
              <w:rPr>
                <w:color w:val="543005"/>
                <w:sz w:val="20"/>
              </w:rPr>
              <w:t>Npl</w:t>
            </w:r>
            <w:r>
              <w:rPr>
                <w:color w:val="543005"/>
                <w:spacing w:val="-13"/>
                <w:sz w:val="20"/>
              </w:rPr>
              <w:t> </w:t>
            </w:r>
            <w:r>
              <w:rPr>
                <w:color w:val="543005"/>
                <w:sz w:val="20"/>
              </w:rPr>
              <w:t>Pastrimi </w:t>
            </w:r>
            <w:r>
              <w:rPr>
                <w:color w:val="543005"/>
                <w:spacing w:val="-4"/>
                <w:sz w:val="20"/>
              </w:rPr>
              <w:t>sh.a</w:t>
            </w:r>
          </w:p>
        </w:tc>
        <w:tc>
          <w:tcPr>
            <w:tcW w:w="2070" w:type="dxa"/>
            <w:tcBorders>
              <w:top w:val="single" w:sz="12" w:space="0" w:color="DAD5B1"/>
            </w:tcBorders>
          </w:tcPr>
          <w:p>
            <w:pPr>
              <w:pStyle w:val="TableParagraph"/>
              <w:spacing w:line="241" w:lineRule="exact"/>
              <w:ind w:left="580"/>
              <w:rPr>
                <w:sz w:val="21"/>
              </w:rPr>
            </w:pPr>
            <w:r>
              <w:rPr>
                <w:color w:val="543005"/>
                <w:sz w:val="21"/>
              </w:rPr>
              <w:t>2024-</w:t>
            </w:r>
            <w:r>
              <w:rPr>
                <w:color w:val="543005"/>
                <w:spacing w:val="-4"/>
                <w:sz w:val="21"/>
              </w:rPr>
              <w:t>2027</w:t>
            </w:r>
          </w:p>
        </w:tc>
        <w:tc>
          <w:tcPr>
            <w:tcW w:w="2700" w:type="dxa"/>
            <w:tcBorders>
              <w:top w:val="single" w:sz="12" w:space="0" w:color="DAD5B1"/>
            </w:tcBorders>
          </w:tcPr>
          <w:p>
            <w:pPr>
              <w:pStyle w:val="TableParagraph"/>
              <w:spacing w:line="487" w:lineRule="auto"/>
              <w:ind w:left="108" w:right="161"/>
              <w:rPr>
                <w:sz w:val="21"/>
              </w:rPr>
            </w:pPr>
            <w:r>
              <w:rPr>
                <w:color w:val="543005"/>
                <w:sz w:val="21"/>
              </w:rPr>
              <w:t>Për</w:t>
            </w:r>
            <w:r>
              <w:rPr>
                <w:color w:val="543005"/>
                <w:spacing w:val="-12"/>
                <w:sz w:val="21"/>
              </w:rPr>
              <w:t> </w:t>
            </w:r>
            <w:r>
              <w:rPr>
                <w:color w:val="543005"/>
                <w:sz w:val="21"/>
              </w:rPr>
              <w:t>çdo</w:t>
            </w:r>
            <w:r>
              <w:rPr>
                <w:color w:val="543005"/>
                <w:spacing w:val="-12"/>
                <w:sz w:val="21"/>
              </w:rPr>
              <w:t> </w:t>
            </w:r>
            <w:r>
              <w:rPr>
                <w:color w:val="543005"/>
                <w:sz w:val="21"/>
              </w:rPr>
              <w:t>vit</w:t>
            </w:r>
            <w:r>
              <w:rPr>
                <w:color w:val="543005"/>
                <w:spacing w:val="-14"/>
                <w:sz w:val="21"/>
              </w:rPr>
              <w:t> </w:t>
            </w:r>
            <w:r>
              <w:rPr>
                <w:color w:val="543005"/>
                <w:sz w:val="21"/>
              </w:rPr>
              <w:t>kalendarik 203200 Є</w:t>
            </w:r>
          </w:p>
        </w:tc>
        <w:tc>
          <w:tcPr>
            <w:tcW w:w="1980" w:type="dxa"/>
            <w:tcBorders>
              <w:top w:val="single" w:sz="12" w:space="0" w:color="DAD5B1"/>
            </w:tcBorders>
          </w:tcPr>
          <w:p>
            <w:pPr>
              <w:pStyle w:val="TableParagraph"/>
              <w:spacing w:line="241" w:lineRule="exact"/>
              <w:ind w:left="108"/>
              <w:rPr>
                <w:sz w:val="21"/>
              </w:rPr>
            </w:pPr>
            <w:r>
              <w:rPr>
                <w:color w:val="543005"/>
                <w:sz w:val="21"/>
              </w:rPr>
              <w:t>Bkk-</w:t>
            </w:r>
            <w:r>
              <w:rPr>
                <w:color w:val="543005"/>
                <w:spacing w:val="-5"/>
                <w:sz w:val="21"/>
              </w:rPr>
              <w:t>THV</w:t>
            </w:r>
          </w:p>
        </w:tc>
      </w:tr>
      <w:tr>
        <w:trPr>
          <w:trHeight w:val="1628" w:hRule="atLeast"/>
        </w:trPr>
        <w:tc>
          <w:tcPr>
            <w:tcW w:w="3420" w:type="dxa"/>
            <w:vMerge/>
            <w:tcBorders>
              <w:top w:val="nil"/>
            </w:tcBorders>
            <w:textDirection w:val="btLr"/>
          </w:tcPr>
          <w:p>
            <w:pPr>
              <w:rPr>
                <w:sz w:val="2"/>
                <w:szCs w:val="2"/>
              </w:rPr>
            </w:pPr>
          </w:p>
        </w:tc>
        <w:tc>
          <w:tcPr>
            <w:tcW w:w="1260" w:type="dxa"/>
            <w:vMerge/>
            <w:tcBorders>
              <w:top w:val="nil"/>
            </w:tcBorders>
          </w:tcPr>
          <w:p>
            <w:pPr>
              <w:rPr>
                <w:sz w:val="2"/>
                <w:szCs w:val="2"/>
              </w:rPr>
            </w:pPr>
          </w:p>
        </w:tc>
        <w:tc>
          <w:tcPr>
            <w:tcW w:w="2160" w:type="dxa"/>
          </w:tcPr>
          <w:p>
            <w:pPr>
              <w:pStyle w:val="TableParagraph"/>
              <w:spacing w:line="276" w:lineRule="auto"/>
              <w:ind w:left="108"/>
              <w:rPr>
                <w:sz w:val="20"/>
              </w:rPr>
            </w:pPr>
            <w:r>
              <w:rPr>
                <w:color w:val="543005"/>
                <w:sz w:val="20"/>
              </w:rPr>
              <w:t>Mirëmbajtja</w:t>
            </w:r>
            <w:r>
              <w:rPr>
                <w:color w:val="543005"/>
                <w:spacing w:val="-13"/>
                <w:sz w:val="20"/>
              </w:rPr>
              <w:t> </w:t>
            </w:r>
            <w:r>
              <w:rPr>
                <w:color w:val="543005"/>
                <w:sz w:val="20"/>
              </w:rPr>
              <w:t>e</w:t>
            </w:r>
            <w:r>
              <w:rPr>
                <w:color w:val="543005"/>
                <w:spacing w:val="-12"/>
                <w:sz w:val="20"/>
              </w:rPr>
              <w:t> </w:t>
            </w:r>
            <w:r>
              <w:rPr>
                <w:color w:val="543005"/>
                <w:sz w:val="20"/>
              </w:rPr>
              <w:t>ndriçimit </w:t>
            </w:r>
            <w:r>
              <w:rPr>
                <w:color w:val="543005"/>
                <w:spacing w:val="-2"/>
                <w:sz w:val="20"/>
              </w:rPr>
              <w:t>publik</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 </w:t>
            </w:r>
            <w:r>
              <w:rPr>
                <w:color w:val="543005"/>
                <w:spacing w:val="-4"/>
                <w:sz w:val="21"/>
              </w:rPr>
              <w:t>2027</w:t>
            </w:r>
          </w:p>
        </w:tc>
        <w:tc>
          <w:tcPr>
            <w:tcW w:w="2700" w:type="dxa"/>
          </w:tcPr>
          <w:p>
            <w:pPr>
              <w:pStyle w:val="TableParagraph"/>
              <w:ind w:left="108"/>
              <w:rPr>
                <w:sz w:val="20"/>
              </w:rPr>
            </w:pPr>
            <w:r>
              <w:rPr>
                <w:color w:val="543005"/>
                <w:sz w:val="20"/>
              </w:rPr>
              <w:t>60,000</w:t>
            </w:r>
            <w:r>
              <w:rPr>
                <w:color w:val="543005"/>
                <w:spacing w:val="-1"/>
                <w:sz w:val="20"/>
              </w:rPr>
              <w:t> </w:t>
            </w:r>
            <w:r>
              <w:rPr>
                <w:color w:val="543005"/>
                <w:spacing w:val="-10"/>
                <w:sz w:val="20"/>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r>
        <w:trPr>
          <w:trHeight w:val="1799" w:hRule="atLeast"/>
        </w:trPr>
        <w:tc>
          <w:tcPr>
            <w:tcW w:w="3420" w:type="dxa"/>
            <w:vMerge/>
            <w:tcBorders>
              <w:top w:val="nil"/>
            </w:tcBorders>
            <w:textDirection w:val="btLr"/>
          </w:tcPr>
          <w:p>
            <w:pPr>
              <w:rPr>
                <w:sz w:val="2"/>
                <w:szCs w:val="2"/>
              </w:rPr>
            </w:pPr>
          </w:p>
        </w:tc>
        <w:tc>
          <w:tcPr>
            <w:tcW w:w="1260" w:type="dxa"/>
            <w:vMerge/>
            <w:tcBorders>
              <w:top w:val="nil"/>
            </w:tcBorders>
          </w:tcPr>
          <w:p>
            <w:pPr>
              <w:rPr>
                <w:sz w:val="2"/>
                <w:szCs w:val="2"/>
              </w:rPr>
            </w:pPr>
          </w:p>
        </w:tc>
        <w:tc>
          <w:tcPr>
            <w:tcW w:w="2160" w:type="dxa"/>
          </w:tcPr>
          <w:p>
            <w:pPr>
              <w:pStyle w:val="TableParagraph"/>
              <w:spacing w:line="276" w:lineRule="auto"/>
              <w:ind w:left="108" w:right="907"/>
              <w:rPr>
                <w:sz w:val="20"/>
              </w:rPr>
            </w:pPr>
            <w:r>
              <w:rPr>
                <w:color w:val="543005"/>
                <w:sz w:val="20"/>
              </w:rPr>
              <w:t>Mirëmbajtja</w:t>
            </w:r>
            <w:r>
              <w:rPr>
                <w:color w:val="543005"/>
                <w:spacing w:val="-13"/>
                <w:sz w:val="20"/>
              </w:rPr>
              <w:t> </w:t>
            </w:r>
            <w:r>
              <w:rPr>
                <w:color w:val="543005"/>
                <w:sz w:val="20"/>
              </w:rPr>
              <w:t>e </w:t>
            </w:r>
            <w:r>
              <w:rPr>
                <w:color w:val="543005"/>
                <w:spacing w:val="-2"/>
                <w:sz w:val="20"/>
              </w:rPr>
              <w:t>kanalizimit</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z w:val="21"/>
              </w:rPr>
              <w:t>40,000 </w:t>
            </w:r>
            <w:r>
              <w:rPr>
                <w:color w:val="543005"/>
                <w:spacing w:val="-10"/>
                <w:sz w:val="21"/>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bl>
    <w:p>
      <w:pPr>
        <w:spacing w:after="0" w:line="241" w:lineRule="exact"/>
        <w:rPr>
          <w:sz w:val="21"/>
        </w:rPr>
        <w:sectPr>
          <w:pgSz w:w="15840" w:h="12240" w:orient="landscape"/>
          <w:pgMar w:header="0" w:footer="990" w:top="1380" w:bottom="1180" w:left="420" w:right="160"/>
        </w:sectPr>
      </w:pPr>
    </w:p>
    <w:p>
      <w:pPr>
        <w:pStyle w:val="BodyText"/>
        <w:spacing w:before="2"/>
        <w:rPr>
          <w:b/>
          <w:sz w:val="5"/>
        </w:rPr>
      </w:pPr>
    </w:p>
    <w:tbl>
      <w:tblPr>
        <w:tblW w:w="0" w:type="auto"/>
        <w:jc w:val="left"/>
        <w:tblInd w:w="125" w:type="dxa"/>
        <w:tblBorders>
          <w:top w:val="single" w:sz="4" w:space="0" w:color="E6E3CC"/>
          <w:left w:val="single" w:sz="4" w:space="0" w:color="E6E3CC"/>
          <w:bottom w:val="single" w:sz="4" w:space="0" w:color="E6E3CC"/>
          <w:right w:val="single" w:sz="4" w:space="0" w:color="E6E3CC"/>
          <w:insideH w:val="single" w:sz="4" w:space="0" w:color="E6E3CC"/>
          <w:insideV w:val="single" w:sz="4" w:space="0" w:color="E6E3CC"/>
        </w:tblBorders>
        <w:tblLayout w:type="fixed"/>
        <w:tblCellMar>
          <w:top w:w="0" w:type="dxa"/>
          <w:left w:w="0" w:type="dxa"/>
          <w:bottom w:w="0" w:type="dxa"/>
          <w:right w:w="0" w:type="dxa"/>
        </w:tblCellMar>
        <w:tblLook w:val="01E0"/>
      </w:tblPr>
      <w:tblGrid>
        <w:gridCol w:w="3420"/>
        <w:gridCol w:w="1260"/>
        <w:gridCol w:w="2160"/>
        <w:gridCol w:w="1440"/>
        <w:gridCol w:w="2070"/>
        <w:gridCol w:w="2700"/>
        <w:gridCol w:w="1980"/>
      </w:tblGrid>
      <w:tr>
        <w:trPr>
          <w:trHeight w:val="1790" w:hRule="atLeast"/>
        </w:trPr>
        <w:tc>
          <w:tcPr>
            <w:tcW w:w="3420" w:type="dxa"/>
          </w:tcPr>
          <w:p>
            <w:pPr>
              <w:pStyle w:val="TableParagraph"/>
              <w:rPr>
                <w:sz w:val="20"/>
              </w:rPr>
            </w:pPr>
          </w:p>
        </w:tc>
        <w:tc>
          <w:tcPr>
            <w:tcW w:w="1260" w:type="dxa"/>
          </w:tcPr>
          <w:p>
            <w:pPr>
              <w:pStyle w:val="TableParagraph"/>
              <w:rPr>
                <w:sz w:val="20"/>
              </w:rPr>
            </w:pPr>
          </w:p>
        </w:tc>
        <w:tc>
          <w:tcPr>
            <w:tcW w:w="2160" w:type="dxa"/>
          </w:tcPr>
          <w:p>
            <w:pPr>
              <w:pStyle w:val="TableParagraph"/>
              <w:spacing w:line="276" w:lineRule="auto"/>
              <w:ind w:left="108"/>
              <w:rPr>
                <w:sz w:val="20"/>
              </w:rPr>
            </w:pPr>
            <w:r>
              <w:rPr>
                <w:color w:val="543005"/>
                <w:sz w:val="20"/>
              </w:rPr>
              <w:t>Shtrimin</w:t>
            </w:r>
            <w:r>
              <w:rPr>
                <w:color w:val="543005"/>
                <w:spacing w:val="-13"/>
                <w:sz w:val="20"/>
              </w:rPr>
              <w:t> </w:t>
            </w:r>
            <w:r>
              <w:rPr>
                <w:color w:val="543005"/>
                <w:sz w:val="20"/>
              </w:rPr>
              <w:t>e</w:t>
            </w:r>
            <w:r>
              <w:rPr>
                <w:color w:val="543005"/>
                <w:spacing w:val="-12"/>
                <w:sz w:val="20"/>
              </w:rPr>
              <w:t> </w:t>
            </w:r>
            <w:r>
              <w:rPr>
                <w:color w:val="543005"/>
                <w:sz w:val="20"/>
              </w:rPr>
              <w:t>ndriqimi</w:t>
            </w:r>
            <w:r>
              <w:rPr>
                <w:color w:val="543005"/>
                <w:spacing w:val="-13"/>
                <w:sz w:val="20"/>
              </w:rPr>
              <w:t> </w:t>
            </w:r>
            <w:r>
              <w:rPr>
                <w:color w:val="543005"/>
                <w:sz w:val="20"/>
              </w:rPr>
              <w:t>per dekorimin e qytetit</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z w:val="21"/>
              </w:rPr>
              <w:t>40,000 </w:t>
            </w:r>
            <w:r>
              <w:rPr>
                <w:color w:val="543005"/>
                <w:spacing w:val="-10"/>
                <w:sz w:val="21"/>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r>
        <w:trPr>
          <w:trHeight w:val="1790" w:hRule="atLeast"/>
        </w:trPr>
        <w:tc>
          <w:tcPr>
            <w:tcW w:w="3420" w:type="dxa"/>
          </w:tcPr>
          <w:p>
            <w:pPr>
              <w:pStyle w:val="TableParagraph"/>
              <w:rPr>
                <w:sz w:val="20"/>
              </w:rPr>
            </w:pPr>
          </w:p>
        </w:tc>
        <w:tc>
          <w:tcPr>
            <w:tcW w:w="1260" w:type="dxa"/>
          </w:tcPr>
          <w:p>
            <w:pPr>
              <w:pStyle w:val="TableParagraph"/>
              <w:rPr>
                <w:sz w:val="20"/>
              </w:rPr>
            </w:pPr>
          </w:p>
        </w:tc>
        <w:tc>
          <w:tcPr>
            <w:tcW w:w="2160" w:type="dxa"/>
          </w:tcPr>
          <w:p>
            <w:pPr>
              <w:pStyle w:val="TableParagraph"/>
              <w:spacing w:line="276" w:lineRule="auto"/>
              <w:ind w:left="108"/>
              <w:rPr>
                <w:sz w:val="20"/>
              </w:rPr>
            </w:pPr>
            <w:r>
              <w:rPr>
                <w:color w:val="543005"/>
                <w:sz w:val="20"/>
              </w:rPr>
              <w:t>Sinjalizimi</w:t>
            </w:r>
            <w:r>
              <w:rPr>
                <w:color w:val="543005"/>
                <w:spacing w:val="-13"/>
                <w:sz w:val="20"/>
              </w:rPr>
              <w:t> </w:t>
            </w:r>
            <w:r>
              <w:rPr>
                <w:color w:val="543005"/>
                <w:sz w:val="20"/>
              </w:rPr>
              <w:t>horizontal</w:t>
            </w:r>
            <w:r>
              <w:rPr>
                <w:color w:val="543005"/>
                <w:spacing w:val="-12"/>
                <w:sz w:val="20"/>
              </w:rPr>
              <w:t> </w:t>
            </w:r>
            <w:r>
              <w:rPr>
                <w:color w:val="543005"/>
                <w:sz w:val="20"/>
              </w:rPr>
              <w:t>– </w:t>
            </w:r>
            <w:r>
              <w:rPr>
                <w:color w:val="543005"/>
                <w:spacing w:val="-2"/>
                <w:sz w:val="20"/>
              </w:rPr>
              <w:t>vertikal</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z w:val="21"/>
              </w:rPr>
              <w:t>10,000 </w:t>
            </w:r>
            <w:r>
              <w:rPr>
                <w:color w:val="543005"/>
                <w:spacing w:val="-10"/>
                <w:sz w:val="21"/>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r>
        <w:trPr>
          <w:trHeight w:val="1790" w:hRule="atLeast"/>
        </w:trPr>
        <w:tc>
          <w:tcPr>
            <w:tcW w:w="3420" w:type="dxa"/>
          </w:tcPr>
          <w:p>
            <w:pPr>
              <w:pStyle w:val="TableParagraph"/>
              <w:rPr>
                <w:sz w:val="20"/>
              </w:rPr>
            </w:pPr>
          </w:p>
        </w:tc>
        <w:tc>
          <w:tcPr>
            <w:tcW w:w="1260" w:type="dxa"/>
          </w:tcPr>
          <w:p>
            <w:pPr>
              <w:pStyle w:val="TableParagraph"/>
              <w:rPr>
                <w:sz w:val="20"/>
              </w:rPr>
            </w:pPr>
          </w:p>
        </w:tc>
        <w:tc>
          <w:tcPr>
            <w:tcW w:w="2160" w:type="dxa"/>
          </w:tcPr>
          <w:p>
            <w:pPr>
              <w:pStyle w:val="TableParagraph"/>
              <w:spacing w:line="276" w:lineRule="auto"/>
              <w:ind w:left="108"/>
              <w:rPr>
                <w:sz w:val="20"/>
              </w:rPr>
            </w:pPr>
            <w:r>
              <w:rPr>
                <w:color w:val="543005"/>
                <w:sz w:val="20"/>
              </w:rPr>
              <w:t>Shërbimet e salldimit nëpër</w:t>
            </w:r>
            <w:r>
              <w:rPr>
                <w:color w:val="543005"/>
                <w:spacing w:val="-13"/>
                <w:sz w:val="20"/>
              </w:rPr>
              <w:t> </w:t>
            </w:r>
            <w:r>
              <w:rPr>
                <w:color w:val="543005"/>
                <w:sz w:val="20"/>
              </w:rPr>
              <w:t>qytet</w:t>
            </w:r>
            <w:r>
              <w:rPr>
                <w:color w:val="543005"/>
                <w:spacing w:val="-12"/>
                <w:sz w:val="20"/>
              </w:rPr>
              <w:t> </w:t>
            </w:r>
            <w:r>
              <w:rPr>
                <w:color w:val="543005"/>
                <w:sz w:val="20"/>
              </w:rPr>
              <w:t>dhe</w:t>
            </w:r>
            <w:r>
              <w:rPr>
                <w:color w:val="543005"/>
                <w:spacing w:val="-13"/>
                <w:sz w:val="20"/>
              </w:rPr>
              <w:t> </w:t>
            </w:r>
            <w:r>
              <w:rPr>
                <w:color w:val="543005"/>
                <w:sz w:val="20"/>
              </w:rPr>
              <w:t>fshatra</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z w:val="21"/>
              </w:rPr>
              <w:t>20,000 </w:t>
            </w:r>
            <w:r>
              <w:rPr>
                <w:color w:val="543005"/>
                <w:spacing w:val="-10"/>
                <w:sz w:val="21"/>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r>
        <w:trPr>
          <w:trHeight w:val="1790" w:hRule="atLeast"/>
        </w:trPr>
        <w:tc>
          <w:tcPr>
            <w:tcW w:w="3420" w:type="dxa"/>
          </w:tcPr>
          <w:p>
            <w:pPr>
              <w:pStyle w:val="TableParagraph"/>
              <w:rPr>
                <w:sz w:val="20"/>
              </w:rPr>
            </w:pPr>
          </w:p>
        </w:tc>
        <w:tc>
          <w:tcPr>
            <w:tcW w:w="1260" w:type="dxa"/>
          </w:tcPr>
          <w:p>
            <w:pPr>
              <w:pStyle w:val="TableParagraph"/>
              <w:rPr>
                <w:sz w:val="20"/>
              </w:rPr>
            </w:pPr>
          </w:p>
        </w:tc>
        <w:tc>
          <w:tcPr>
            <w:tcW w:w="2160" w:type="dxa"/>
          </w:tcPr>
          <w:p>
            <w:pPr>
              <w:pStyle w:val="TableParagraph"/>
              <w:spacing w:line="276" w:lineRule="auto"/>
              <w:ind w:left="108"/>
              <w:rPr>
                <w:sz w:val="20"/>
              </w:rPr>
            </w:pPr>
            <w:r>
              <w:rPr>
                <w:color w:val="543005"/>
                <w:sz w:val="20"/>
              </w:rPr>
              <w:t>Pastrimin</w:t>
            </w:r>
            <w:r>
              <w:rPr>
                <w:color w:val="543005"/>
                <w:spacing w:val="-13"/>
                <w:sz w:val="20"/>
              </w:rPr>
              <w:t> </w:t>
            </w:r>
            <w:r>
              <w:rPr>
                <w:color w:val="543005"/>
                <w:sz w:val="20"/>
              </w:rPr>
              <w:t>e</w:t>
            </w:r>
            <w:r>
              <w:rPr>
                <w:color w:val="543005"/>
                <w:spacing w:val="-12"/>
                <w:sz w:val="20"/>
              </w:rPr>
              <w:t> </w:t>
            </w:r>
            <w:r>
              <w:rPr>
                <w:color w:val="543005"/>
                <w:sz w:val="20"/>
              </w:rPr>
              <w:t>deponive </w:t>
            </w:r>
            <w:r>
              <w:rPr>
                <w:color w:val="543005"/>
                <w:spacing w:val="-2"/>
                <w:sz w:val="20"/>
              </w:rPr>
              <w:t>ilegale</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z w:val="21"/>
              </w:rPr>
              <w:t>20,000 </w:t>
            </w:r>
            <w:r>
              <w:rPr>
                <w:color w:val="543005"/>
                <w:spacing w:val="-10"/>
                <w:sz w:val="21"/>
              </w:rPr>
              <w:t>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r>
        <w:trPr>
          <w:trHeight w:val="1790" w:hRule="atLeast"/>
        </w:trPr>
        <w:tc>
          <w:tcPr>
            <w:tcW w:w="3420" w:type="dxa"/>
          </w:tcPr>
          <w:p>
            <w:pPr>
              <w:pStyle w:val="TableParagraph"/>
              <w:rPr>
                <w:sz w:val="20"/>
              </w:rPr>
            </w:pPr>
          </w:p>
        </w:tc>
        <w:tc>
          <w:tcPr>
            <w:tcW w:w="1260" w:type="dxa"/>
          </w:tcPr>
          <w:p>
            <w:pPr>
              <w:pStyle w:val="TableParagraph"/>
              <w:rPr>
                <w:sz w:val="20"/>
              </w:rPr>
            </w:pPr>
          </w:p>
        </w:tc>
        <w:tc>
          <w:tcPr>
            <w:tcW w:w="2160" w:type="dxa"/>
          </w:tcPr>
          <w:p>
            <w:pPr>
              <w:pStyle w:val="TableParagraph"/>
              <w:spacing w:line="276" w:lineRule="auto"/>
              <w:ind w:left="108"/>
              <w:rPr>
                <w:sz w:val="20"/>
              </w:rPr>
            </w:pPr>
            <w:r>
              <w:rPr>
                <w:color w:val="543005"/>
                <w:sz w:val="20"/>
              </w:rPr>
              <w:t>Vendosjen e shportave nëpër</w:t>
            </w:r>
            <w:r>
              <w:rPr>
                <w:color w:val="543005"/>
                <w:spacing w:val="-2"/>
                <w:sz w:val="20"/>
              </w:rPr>
              <w:t> </w:t>
            </w:r>
            <w:r>
              <w:rPr>
                <w:color w:val="543005"/>
                <w:sz w:val="20"/>
              </w:rPr>
              <w:t>qytete</w:t>
            </w:r>
            <w:r>
              <w:rPr>
                <w:color w:val="543005"/>
                <w:spacing w:val="-2"/>
                <w:sz w:val="20"/>
              </w:rPr>
              <w:t> </w:t>
            </w:r>
            <w:r>
              <w:rPr>
                <w:color w:val="543005"/>
                <w:sz w:val="20"/>
              </w:rPr>
              <w:t>dhe</w:t>
            </w:r>
            <w:r>
              <w:rPr>
                <w:color w:val="543005"/>
                <w:spacing w:val="-2"/>
                <w:sz w:val="20"/>
              </w:rPr>
              <w:t> </w:t>
            </w:r>
            <w:r>
              <w:rPr>
                <w:color w:val="543005"/>
                <w:spacing w:val="-2"/>
                <w:sz w:val="20"/>
              </w:rPr>
              <w:t>fshatra</w:t>
            </w:r>
          </w:p>
        </w:tc>
        <w:tc>
          <w:tcPr>
            <w:tcW w:w="1440" w:type="dxa"/>
          </w:tcPr>
          <w:p>
            <w:pPr>
              <w:pStyle w:val="TableParagraph"/>
              <w:spacing w:line="276" w:lineRule="auto"/>
              <w:ind w:left="128" w:right="116" w:hanging="2"/>
              <w:jc w:val="center"/>
              <w:rPr>
                <w:sz w:val="20"/>
              </w:rPr>
            </w:pPr>
            <w:r>
              <w:rPr>
                <w:color w:val="543005"/>
                <w:sz w:val="20"/>
              </w:rPr>
              <w:t>Kompanit e </w:t>
            </w:r>
            <w:r>
              <w:rPr>
                <w:color w:val="543005"/>
                <w:spacing w:val="-2"/>
                <w:sz w:val="20"/>
              </w:rPr>
              <w:t>përzgjedhura </w:t>
            </w:r>
            <w:r>
              <w:rPr>
                <w:color w:val="543005"/>
                <w:sz w:val="20"/>
              </w:rPr>
              <w:t>në bazë të procedurave</w:t>
            </w:r>
            <w:r>
              <w:rPr>
                <w:color w:val="543005"/>
                <w:spacing w:val="-13"/>
                <w:sz w:val="20"/>
              </w:rPr>
              <w:t> </w:t>
            </w:r>
            <w:r>
              <w:rPr>
                <w:color w:val="543005"/>
                <w:sz w:val="20"/>
              </w:rPr>
              <w:t>të </w:t>
            </w:r>
            <w:r>
              <w:rPr>
                <w:color w:val="543005"/>
                <w:spacing w:val="-2"/>
                <w:sz w:val="20"/>
              </w:rPr>
              <w:t>prokurimit</w:t>
            </w:r>
          </w:p>
        </w:tc>
        <w:tc>
          <w:tcPr>
            <w:tcW w:w="2070" w:type="dxa"/>
          </w:tcPr>
          <w:p>
            <w:pPr>
              <w:pStyle w:val="TableParagraph"/>
              <w:spacing w:line="241" w:lineRule="exact"/>
              <w:ind w:left="108"/>
              <w:rPr>
                <w:sz w:val="21"/>
              </w:rPr>
            </w:pPr>
            <w:r>
              <w:rPr>
                <w:color w:val="543005"/>
                <w:sz w:val="21"/>
              </w:rPr>
              <w:t>2024-</w:t>
            </w:r>
            <w:r>
              <w:rPr>
                <w:color w:val="543005"/>
                <w:spacing w:val="-4"/>
                <w:sz w:val="21"/>
              </w:rPr>
              <w:t>2027</w:t>
            </w:r>
          </w:p>
        </w:tc>
        <w:tc>
          <w:tcPr>
            <w:tcW w:w="2700" w:type="dxa"/>
          </w:tcPr>
          <w:p>
            <w:pPr>
              <w:pStyle w:val="TableParagraph"/>
              <w:spacing w:line="241" w:lineRule="exact"/>
              <w:ind w:left="108"/>
              <w:rPr>
                <w:sz w:val="21"/>
              </w:rPr>
            </w:pPr>
            <w:r>
              <w:rPr>
                <w:color w:val="543005"/>
                <w:spacing w:val="-2"/>
                <w:sz w:val="21"/>
              </w:rPr>
              <w:t>10,000Є</w:t>
            </w:r>
          </w:p>
        </w:tc>
        <w:tc>
          <w:tcPr>
            <w:tcW w:w="1980" w:type="dxa"/>
          </w:tcPr>
          <w:p>
            <w:pPr>
              <w:pStyle w:val="TableParagraph"/>
              <w:spacing w:line="241" w:lineRule="exact"/>
              <w:ind w:left="108"/>
              <w:rPr>
                <w:sz w:val="21"/>
              </w:rPr>
            </w:pPr>
            <w:r>
              <w:rPr>
                <w:color w:val="543005"/>
                <w:sz w:val="21"/>
              </w:rPr>
              <w:t>Bkk-</w:t>
            </w:r>
            <w:r>
              <w:rPr>
                <w:color w:val="543005"/>
                <w:spacing w:val="-5"/>
                <w:sz w:val="21"/>
              </w:rPr>
              <w:t>THV</w:t>
            </w:r>
          </w:p>
        </w:tc>
      </w:tr>
    </w:tbl>
    <w:sectPr>
      <w:pgSz w:w="15840" w:h="12240" w:orient="landscape"/>
      <w:pgMar w:header="0" w:footer="990" w:top="1380" w:bottom="1180" w:left="42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Symbol">
    <w:altName w:val="Symbol"/>
    <w:charset w:val="2"/>
    <w:family w:val="decorative"/>
    <w:pitch w:val="variable"/>
  </w:font>
  <w:font w:name="Calibri">
    <w:altName w:val="Calibri"/>
    <w:charset w:val="1"/>
    <w:family w:val="roman"/>
    <w:pitch w:val="variable"/>
  </w:font>
  <w:font w:name="Wingdings">
    <w:altName w:val="Wingdings"/>
    <w:charset w:val="2"/>
    <w:family w:val="decorative"/>
    <w:pitch w:val="variable"/>
  </w:font>
  <w:font w:name="Segoe UI Symbol">
    <w:altName w:val="Segoe UI Symbol"/>
    <w:charset w:val="1"/>
    <w:family w:val="swiss"/>
    <w:pitch w:val="variable"/>
  </w:font>
  <w:font w:name="Georgia">
    <w:altName w:val="Georgia"/>
    <w:charset w:val="1"/>
    <w:family w:val="roman"/>
    <w:pitch w:val="variable"/>
  </w:font>
  <w:font w:name="Courier New">
    <w:altName w:val="Courier New"/>
    <w:charset w:val="1"/>
    <w:family w:val="moder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700012pt;margin-top:731.525024pt;width:12.35pt;height:12.5pt;mso-position-horizontal-relative:page;mso-position-vertical-relative:page;z-index:-19996160" type="#_x0000_t202" id="docshape23" filled="false" stroked="false">
          <v:textbox inset="0,0,0,0">
            <w:txbxContent>
              <w:p>
                <w:pPr>
                  <w:spacing w:line="234" w:lineRule="exact" w:before="0"/>
                  <w:ind w:left="60" w:right="0" w:firstLine="0"/>
                  <w:jc w:val="left"/>
                  <w:rPr>
                    <w:rFonts w:ascii="Calibri"/>
                    <w:sz w:val="21"/>
                  </w:rPr>
                </w:pPr>
                <w:r>
                  <w:rPr>
                    <w:rFonts w:ascii="Calibri"/>
                    <w:sz w:val="21"/>
                  </w:rPr>
                  <w:fldChar w:fldCharType="begin"/>
                </w:r>
                <w:r>
                  <w:rPr>
                    <w:rFonts w:ascii="Calibri"/>
                    <w:sz w:val="21"/>
                  </w:rPr>
                  <w:instrText> PAGE </w:instrText>
                </w:r>
                <w:r>
                  <w:rPr>
                    <w:rFonts w:ascii="Calibri"/>
                    <w:sz w:val="21"/>
                  </w:rPr>
                  <w:fldChar w:fldCharType="separate"/>
                </w:r>
                <w:r>
                  <w:rPr>
                    <w:rFonts w:ascii="Calibri"/>
                    <w:sz w:val="21"/>
                  </w:rPr>
                  <w:t>2</w:t>
                </w:r>
                <w:r>
                  <w:rPr>
                    <w:rFonts w:ascii="Calibri"/>
                    <w:sz w:val="21"/>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2576" type="#_x0000_t202" id="docshape190"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32</w:t>
                </w:r>
                <w:r>
                  <w:rPr>
                    <w:rFonts w:ascii="Calibri"/>
                    <w:spacing w:val="-5"/>
                    <w:sz w:val="21"/>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2064" type="#_x0000_t202" id="docshape273"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40</w:t>
                </w:r>
                <w:r>
                  <w:rPr>
                    <w:rFonts w:ascii="Calibri"/>
                    <w:spacing w:val="-5"/>
                    <w:sz w:val="21"/>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1552" type="#_x0000_t202" id="docshape298"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51</w:t>
                </w:r>
                <w:r>
                  <w:rPr>
                    <w:rFonts w:ascii="Calibri"/>
                    <w:spacing w:val="-5"/>
                    <w:sz w:val="21"/>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440002pt;margin-top:551.525024pt;width:17.7pt;height:12.5pt;mso-position-horizontal-relative:page;mso-position-vertical-relative:page;z-index:-19991040" type="#_x0000_t202" id="docshape333"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58</w:t>
                </w:r>
                <w:r>
                  <w:rPr>
                    <w:rFonts w:ascii="Calibri"/>
                    <w:spacing w:val="-5"/>
                    <w:sz w:val="21"/>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440002pt;margin-top:551.525024pt;width:17.7pt;height:12.5pt;mso-position-horizontal-relative:page;mso-position-vertical-relative:page;z-index:-19990528" type="#_x0000_t202" id="docshape334"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64</w:t>
                </w:r>
                <w:r>
                  <w:rPr>
                    <w:rFonts w:ascii="Calibri"/>
                    <w:spacing w:val="-5"/>
                    <w:sz w:val="21"/>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5648" type="#_x0000_t202" id="docshape61"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11</w:t>
                </w:r>
                <w:r>
                  <w:rPr>
                    <w:rFonts w:ascii="Calibri"/>
                    <w:spacing w:val="-5"/>
                    <w:sz w:val="21"/>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5136" type="#_x0000_t202" id="docshape126"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19</w:t>
                </w:r>
                <w:r>
                  <w:rPr>
                    <w:rFonts w:ascii="Calibri"/>
                    <w:spacing w:val="-5"/>
                    <w:sz w:val="21"/>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19983pt;margin-top:731.525024pt;width:17.7pt;height:12.5pt;mso-position-horizontal-relative:page;mso-position-vertical-relative:page;z-index:-19994624" type="#_x0000_t202" id="docshape178" filled="false" stroked="false">
          <v:textbox inset="0,0,0,0">
            <w:txbxContent>
              <w:p>
                <w:pPr>
                  <w:spacing w:line="234" w:lineRule="exact" w:before="0"/>
                  <w:ind w:left="60" w:right="0" w:firstLine="0"/>
                  <w:jc w:val="left"/>
                  <w:rPr>
                    <w:rFonts w:ascii="Calibri"/>
                    <w:sz w:val="21"/>
                  </w:rPr>
                </w:pPr>
                <w:r>
                  <w:rPr>
                    <w:rFonts w:ascii="Calibri"/>
                    <w:spacing w:val="-5"/>
                    <w:sz w:val="21"/>
                  </w:rPr>
                  <w:fldChar w:fldCharType="begin"/>
                </w:r>
                <w:r>
                  <w:rPr>
                    <w:rFonts w:ascii="Calibri"/>
                    <w:spacing w:val="-5"/>
                    <w:sz w:val="21"/>
                  </w:rPr>
                  <w:instrText> PAGE </w:instrText>
                </w:r>
                <w:r>
                  <w:rPr>
                    <w:rFonts w:ascii="Calibri"/>
                    <w:spacing w:val="-5"/>
                    <w:sz w:val="21"/>
                  </w:rPr>
                  <w:fldChar w:fldCharType="separate"/>
                </w:r>
                <w:r>
                  <w:rPr>
                    <w:rFonts w:ascii="Calibri"/>
                    <w:spacing w:val="-5"/>
                    <w:sz w:val="21"/>
                  </w:rPr>
                  <w:t>27</w:t>
                </w:r>
                <w:r>
                  <w:rPr>
                    <w:rFonts w:ascii="Calibri"/>
                    <w:spacing w:val="-5"/>
                    <w:sz w:val="21"/>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2pt;margin-top:687.700012pt;width:144.020pt;height:.65997pt;mso-position-horizontal-relative:page;mso-position-vertical-relative:page;z-index:-19994112" id="docshape187" filled="true" fillcolor="#000000" stroked="false">
          <v:fill type="solid"/>
          <w10:wrap type="none"/>
        </v:rect>
      </w:pict>
    </w:r>
    <w:r>
      <w:rPr/>
      <w:pict>
        <v:shape style="position:absolute;margin-left:71pt;margin-top:693.320007pt;width:244.85pt;height:25.1pt;mso-position-horizontal-relative:page;mso-position-vertical-relative:page;z-index:-19993600" type="#_x0000_t202" id="docshape188" filled="false" stroked="false">
          <v:textbox inset="0,0,0,0">
            <w:txbxContent>
              <w:p>
                <w:pPr>
                  <w:spacing w:line="241" w:lineRule="exact" w:before="0"/>
                  <w:ind w:left="20" w:right="0" w:firstLine="0"/>
                  <w:jc w:val="left"/>
                  <w:rPr>
                    <w:rFonts w:ascii="Calibri" w:hAnsi="Calibri"/>
                    <w:sz w:val="20"/>
                  </w:rPr>
                </w:pPr>
                <w:r>
                  <w:rPr>
                    <w:rFonts w:ascii="Calibri" w:hAnsi="Calibri"/>
                    <w:sz w:val="20"/>
                    <w:vertAlign w:val="superscript"/>
                  </w:rPr>
                  <w:t>7</w:t>
                </w:r>
                <w:r>
                  <w:rPr>
                    <w:rFonts w:ascii="Calibri" w:hAnsi="Calibri"/>
                    <w:spacing w:val="-4"/>
                    <w:sz w:val="20"/>
                    <w:vertAlign w:val="baseline"/>
                  </w:rPr>
                  <w:t> </w:t>
                </w:r>
                <w:r>
                  <w:rPr>
                    <w:rFonts w:ascii="Calibri" w:hAnsi="Calibri"/>
                    <w:sz w:val="20"/>
                    <w:vertAlign w:val="baseline"/>
                  </w:rPr>
                  <w:t>Drejtoria</w:t>
                </w:r>
                <w:r>
                  <w:rPr>
                    <w:rFonts w:ascii="Calibri" w:hAnsi="Calibri"/>
                    <w:spacing w:val="-4"/>
                    <w:sz w:val="20"/>
                    <w:vertAlign w:val="baseline"/>
                  </w:rPr>
                  <w:t> </w:t>
                </w:r>
                <w:r>
                  <w:rPr>
                    <w:rFonts w:ascii="Calibri" w:hAnsi="Calibri"/>
                    <w:sz w:val="20"/>
                    <w:vertAlign w:val="baseline"/>
                  </w:rPr>
                  <w:t>për</w:t>
                </w:r>
                <w:r>
                  <w:rPr>
                    <w:rFonts w:ascii="Calibri" w:hAnsi="Calibri"/>
                    <w:spacing w:val="-5"/>
                    <w:sz w:val="20"/>
                    <w:vertAlign w:val="baseline"/>
                  </w:rPr>
                  <w:t> </w:t>
                </w:r>
                <w:r>
                  <w:rPr>
                    <w:rFonts w:ascii="Calibri" w:hAnsi="Calibri"/>
                    <w:sz w:val="20"/>
                    <w:vertAlign w:val="baseline"/>
                  </w:rPr>
                  <w:t>Urbanizëm,</w:t>
                </w:r>
                <w:r>
                  <w:rPr>
                    <w:rFonts w:ascii="Calibri" w:hAnsi="Calibri"/>
                    <w:spacing w:val="-4"/>
                    <w:sz w:val="20"/>
                    <w:vertAlign w:val="baseline"/>
                  </w:rPr>
                  <w:t> </w:t>
                </w:r>
                <w:r>
                  <w:rPr>
                    <w:rFonts w:ascii="Calibri" w:hAnsi="Calibri"/>
                    <w:sz w:val="20"/>
                    <w:vertAlign w:val="baseline"/>
                  </w:rPr>
                  <w:t>Kadastër</w:t>
                </w:r>
                <w:r>
                  <w:rPr>
                    <w:rFonts w:ascii="Calibri" w:hAnsi="Calibri"/>
                    <w:spacing w:val="-4"/>
                    <w:sz w:val="20"/>
                    <w:vertAlign w:val="baseline"/>
                  </w:rPr>
                  <w:t> </w:t>
                </w:r>
                <w:r>
                  <w:rPr>
                    <w:rFonts w:ascii="Calibri" w:hAnsi="Calibri"/>
                    <w:sz w:val="20"/>
                    <w:vertAlign w:val="baseline"/>
                  </w:rPr>
                  <w:t>dhe</w:t>
                </w:r>
                <w:r>
                  <w:rPr>
                    <w:rFonts w:ascii="Calibri" w:hAnsi="Calibri"/>
                    <w:spacing w:val="-5"/>
                    <w:sz w:val="20"/>
                    <w:vertAlign w:val="baseline"/>
                  </w:rPr>
                  <w:t> </w:t>
                </w:r>
                <w:r>
                  <w:rPr>
                    <w:rFonts w:ascii="Calibri" w:hAnsi="Calibri"/>
                    <w:sz w:val="20"/>
                    <w:vertAlign w:val="baseline"/>
                  </w:rPr>
                  <w:t>Mbrojtja</w:t>
                </w:r>
                <w:r>
                  <w:rPr>
                    <w:rFonts w:ascii="Calibri" w:hAnsi="Calibri"/>
                    <w:spacing w:val="-4"/>
                    <w:sz w:val="20"/>
                    <w:vertAlign w:val="baseline"/>
                  </w:rPr>
                  <w:t> </w:t>
                </w:r>
                <w:r>
                  <w:rPr>
                    <w:rFonts w:ascii="Calibri" w:hAnsi="Calibri"/>
                    <w:sz w:val="20"/>
                    <w:vertAlign w:val="baseline"/>
                  </w:rPr>
                  <w:t>e</w:t>
                </w:r>
                <w:r>
                  <w:rPr>
                    <w:rFonts w:ascii="Calibri" w:hAnsi="Calibri"/>
                    <w:spacing w:val="-3"/>
                    <w:sz w:val="20"/>
                    <w:vertAlign w:val="baseline"/>
                  </w:rPr>
                  <w:t> </w:t>
                </w:r>
                <w:r>
                  <w:rPr>
                    <w:rFonts w:ascii="Calibri" w:hAnsi="Calibri"/>
                    <w:spacing w:val="-2"/>
                    <w:sz w:val="20"/>
                    <w:vertAlign w:val="baseline"/>
                  </w:rPr>
                  <w:t>Mjedisit</w:t>
                </w:r>
              </w:p>
              <w:p>
                <w:pPr>
                  <w:spacing w:before="0"/>
                  <w:ind w:left="20" w:right="0" w:firstLine="0"/>
                  <w:jc w:val="left"/>
                  <w:rPr>
                    <w:rFonts w:ascii="Calibri" w:hAnsi="Calibri"/>
                    <w:sz w:val="20"/>
                  </w:rPr>
                </w:pPr>
                <w:r>
                  <w:rPr>
                    <w:rFonts w:ascii="Calibri" w:hAnsi="Calibri"/>
                    <w:sz w:val="20"/>
                    <w:vertAlign w:val="superscript"/>
                  </w:rPr>
                  <w:t>8</w:t>
                </w:r>
                <w:r>
                  <w:rPr>
                    <w:rFonts w:ascii="Calibri" w:hAnsi="Calibri"/>
                    <w:spacing w:val="-3"/>
                    <w:sz w:val="20"/>
                    <w:vertAlign w:val="baseline"/>
                  </w:rPr>
                  <w:t> </w:t>
                </w:r>
                <w:r>
                  <w:rPr>
                    <w:rFonts w:ascii="Calibri" w:hAnsi="Calibri"/>
                    <w:sz w:val="20"/>
                    <w:vertAlign w:val="baseline"/>
                  </w:rPr>
                  <w:t>Zyra</w:t>
                </w:r>
                <w:r>
                  <w:rPr>
                    <w:rFonts w:ascii="Calibri" w:hAnsi="Calibri"/>
                    <w:spacing w:val="-4"/>
                    <w:sz w:val="20"/>
                    <w:vertAlign w:val="baseline"/>
                  </w:rPr>
                  <w:t> </w:t>
                </w:r>
                <w:r>
                  <w:rPr>
                    <w:rFonts w:ascii="Calibri" w:hAnsi="Calibri"/>
                    <w:sz w:val="20"/>
                    <w:vertAlign w:val="baseline"/>
                  </w:rPr>
                  <w:t>për</w:t>
                </w:r>
                <w:r>
                  <w:rPr>
                    <w:rFonts w:ascii="Calibri" w:hAnsi="Calibri"/>
                    <w:spacing w:val="-3"/>
                    <w:sz w:val="20"/>
                    <w:vertAlign w:val="baseline"/>
                  </w:rPr>
                  <w:t> </w:t>
                </w:r>
                <w:r>
                  <w:rPr>
                    <w:rFonts w:ascii="Calibri" w:hAnsi="Calibri"/>
                    <w:sz w:val="20"/>
                    <w:vertAlign w:val="baseline"/>
                  </w:rPr>
                  <w:t>Gjeodezi,</w:t>
                </w:r>
                <w:r>
                  <w:rPr>
                    <w:rFonts w:ascii="Calibri" w:hAnsi="Calibri"/>
                    <w:spacing w:val="-3"/>
                    <w:sz w:val="20"/>
                    <w:vertAlign w:val="baseline"/>
                  </w:rPr>
                  <w:t> </w:t>
                </w:r>
                <w:r>
                  <w:rPr>
                    <w:rFonts w:ascii="Calibri" w:hAnsi="Calibri"/>
                    <w:sz w:val="20"/>
                    <w:vertAlign w:val="baseline"/>
                  </w:rPr>
                  <w:t>Kadastër</w:t>
                </w:r>
                <w:r>
                  <w:rPr>
                    <w:rFonts w:ascii="Calibri" w:hAnsi="Calibri"/>
                    <w:spacing w:val="-5"/>
                    <w:sz w:val="20"/>
                    <w:vertAlign w:val="baseline"/>
                  </w:rPr>
                  <w:t> </w:t>
                </w:r>
                <w:r>
                  <w:rPr>
                    <w:rFonts w:ascii="Calibri" w:hAnsi="Calibri"/>
                    <w:sz w:val="20"/>
                    <w:vertAlign w:val="baseline"/>
                  </w:rPr>
                  <w:t>dhe</w:t>
                </w:r>
                <w:r>
                  <w:rPr>
                    <w:rFonts w:ascii="Calibri" w:hAnsi="Calibri"/>
                    <w:spacing w:val="-2"/>
                    <w:sz w:val="20"/>
                    <w:vertAlign w:val="baseline"/>
                  </w:rPr>
                  <w:t> Pronës</w:t>
                </w:r>
              </w:p>
            </w:txbxContent>
          </v:textbox>
          <w10:wrap type="none"/>
        </v:shape>
      </w:pict>
    </w:r>
    <w:r>
      <w:rPr/>
      <w:pict>
        <v:shape style="position:absolute;margin-left:528.419983pt;margin-top:731.525024pt;width:12.7pt;height:12.5pt;mso-position-horizontal-relative:page;mso-position-vertical-relative:page;z-index:-19993088" type="#_x0000_t202" id="docshape189" filled="false" stroked="false">
          <v:textbox inset="0,0,0,0">
            <w:txbxContent>
              <w:p>
                <w:pPr>
                  <w:spacing w:line="234" w:lineRule="exact" w:before="0"/>
                  <w:ind w:left="20" w:right="0" w:firstLine="0"/>
                  <w:jc w:val="left"/>
                  <w:rPr>
                    <w:rFonts w:ascii="Calibri"/>
                    <w:sz w:val="21"/>
                  </w:rPr>
                </w:pPr>
                <w:r>
                  <w:rPr>
                    <w:rFonts w:ascii="Calibri"/>
                    <w:spacing w:val="-5"/>
                    <w:sz w:val="21"/>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733" w:hanging="152"/>
        <w:jc w:val="left"/>
      </w:pPr>
      <w:rPr>
        <w:rFonts w:hint="default" w:ascii="Times New Roman" w:hAnsi="Times New Roman" w:eastAsia="Times New Roman" w:cs="Times New Roman"/>
        <w:b w:val="0"/>
        <w:bCs w:val="0"/>
        <w:i w:val="0"/>
        <w:iCs w:val="0"/>
        <w:color w:val="543005"/>
        <w:w w:val="100"/>
        <w:sz w:val="18"/>
        <w:szCs w:val="18"/>
        <w:lang w:val="sq-AL" w:eastAsia="en-US" w:bidi="ar-SA"/>
      </w:rPr>
    </w:lvl>
    <w:lvl w:ilvl="1">
      <w:start w:val="0"/>
      <w:numFmt w:val="bullet"/>
      <w:lvlText w:val="•"/>
      <w:lvlJc w:val="left"/>
      <w:pPr>
        <w:ind w:left="1173" w:hanging="152"/>
      </w:pPr>
      <w:rPr>
        <w:rFonts w:hint="default"/>
        <w:lang w:val="sq-AL" w:eastAsia="en-US" w:bidi="ar-SA"/>
      </w:rPr>
    </w:lvl>
    <w:lvl w:ilvl="2">
      <w:start w:val="0"/>
      <w:numFmt w:val="bullet"/>
      <w:lvlText w:val="•"/>
      <w:lvlJc w:val="left"/>
      <w:pPr>
        <w:ind w:left="1607" w:hanging="152"/>
      </w:pPr>
      <w:rPr>
        <w:rFonts w:hint="default"/>
        <w:lang w:val="sq-AL" w:eastAsia="en-US" w:bidi="ar-SA"/>
      </w:rPr>
    </w:lvl>
    <w:lvl w:ilvl="3">
      <w:start w:val="0"/>
      <w:numFmt w:val="bullet"/>
      <w:lvlText w:val="•"/>
      <w:lvlJc w:val="left"/>
      <w:pPr>
        <w:ind w:left="2040" w:hanging="152"/>
      </w:pPr>
      <w:rPr>
        <w:rFonts w:hint="default"/>
        <w:lang w:val="sq-AL" w:eastAsia="en-US" w:bidi="ar-SA"/>
      </w:rPr>
    </w:lvl>
    <w:lvl w:ilvl="4">
      <w:start w:val="0"/>
      <w:numFmt w:val="bullet"/>
      <w:lvlText w:val="•"/>
      <w:lvlJc w:val="left"/>
      <w:pPr>
        <w:ind w:left="2474" w:hanging="152"/>
      </w:pPr>
      <w:rPr>
        <w:rFonts w:hint="default"/>
        <w:lang w:val="sq-AL" w:eastAsia="en-US" w:bidi="ar-SA"/>
      </w:rPr>
    </w:lvl>
    <w:lvl w:ilvl="5">
      <w:start w:val="0"/>
      <w:numFmt w:val="bullet"/>
      <w:lvlText w:val="•"/>
      <w:lvlJc w:val="left"/>
      <w:pPr>
        <w:ind w:left="2908" w:hanging="152"/>
      </w:pPr>
      <w:rPr>
        <w:rFonts w:hint="default"/>
        <w:lang w:val="sq-AL" w:eastAsia="en-US" w:bidi="ar-SA"/>
      </w:rPr>
    </w:lvl>
    <w:lvl w:ilvl="6">
      <w:start w:val="0"/>
      <w:numFmt w:val="bullet"/>
      <w:lvlText w:val="•"/>
      <w:lvlJc w:val="left"/>
      <w:pPr>
        <w:ind w:left="3341" w:hanging="152"/>
      </w:pPr>
      <w:rPr>
        <w:rFonts w:hint="default"/>
        <w:lang w:val="sq-AL" w:eastAsia="en-US" w:bidi="ar-SA"/>
      </w:rPr>
    </w:lvl>
    <w:lvl w:ilvl="7">
      <w:start w:val="0"/>
      <w:numFmt w:val="bullet"/>
      <w:lvlText w:val="•"/>
      <w:lvlJc w:val="left"/>
      <w:pPr>
        <w:ind w:left="3775" w:hanging="152"/>
      </w:pPr>
      <w:rPr>
        <w:rFonts w:hint="default"/>
        <w:lang w:val="sq-AL" w:eastAsia="en-US" w:bidi="ar-SA"/>
      </w:rPr>
    </w:lvl>
    <w:lvl w:ilvl="8">
      <w:start w:val="0"/>
      <w:numFmt w:val="bullet"/>
      <w:lvlText w:val="•"/>
      <w:lvlJc w:val="left"/>
      <w:pPr>
        <w:ind w:left="4208" w:hanging="152"/>
      </w:pPr>
      <w:rPr>
        <w:rFonts w:hint="default"/>
        <w:lang w:val="sq-AL" w:eastAsia="en-US" w:bidi="ar-SA"/>
      </w:rPr>
    </w:lvl>
  </w:abstractNum>
  <w:abstractNum w:abstractNumId="21">
    <w:multiLevelType w:val="hybridMultilevel"/>
    <w:lvl w:ilvl="0">
      <w:start w:val="0"/>
      <w:numFmt w:val="bullet"/>
      <w:lvlText w:val="o"/>
      <w:lvlJc w:val="left"/>
      <w:pPr>
        <w:ind w:left="827"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1121" w:hanging="360"/>
      </w:pPr>
      <w:rPr>
        <w:rFonts w:hint="default"/>
        <w:lang w:val="sq-AL" w:eastAsia="en-US" w:bidi="ar-SA"/>
      </w:rPr>
    </w:lvl>
    <w:lvl w:ilvl="2">
      <w:start w:val="0"/>
      <w:numFmt w:val="bullet"/>
      <w:lvlText w:val="•"/>
      <w:lvlJc w:val="left"/>
      <w:pPr>
        <w:ind w:left="1423" w:hanging="360"/>
      </w:pPr>
      <w:rPr>
        <w:rFonts w:hint="default"/>
        <w:lang w:val="sq-AL" w:eastAsia="en-US" w:bidi="ar-SA"/>
      </w:rPr>
    </w:lvl>
    <w:lvl w:ilvl="3">
      <w:start w:val="0"/>
      <w:numFmt w:val="bullet"/>
      <w:lvlText w:val="•"/>
      <w:lvlJc w:val="left"/>
      <w:pPr>
        <w:ind w:left="1725" w:hanging="360"/>
      </w:pPr>
      <w:rPr>
        <w:rFonts w:hint="default"/>
        <w:lang w:val="sq-AL" w:eastAsia="en-US" w:bidi="ar-SA"/>
      </w:rPr>
    </w:lvl>
    <w:lvl w:ilvl="4">
      <w:start w:val="0"/>
      <w:numFmt w:val="bullet"/>
      <w:lvlText w:val="•"/>
      <w:lvlJc w:val="left"/>
      <w:pPr>
        <w:ind w:left="2027" w:hanging="360"/>
      </w:pPr>
      <w:rPr>
        <w:rFonts w:hint="default"/>
        <w:lang w:val="sq-AL" w:eastAsia="en-US" w:bidi="ar-SA"/>
      </w:rPr>
    </w:lvl>
    <w:lvl w:ilvl="5">
      <w:start w:val="0"/>
      <w:numFmt w:val="bullet"/>
      <w:lvlText w:val="•"/>
      <w:lvlJc w:val="left"/>
      <w:pPr>
        <w:ind w:left="2329" w:hanging="360"/>
      </w:pPr>
      <w:rPr>
        <w:rFonts w:hint="default"/>
        <w:lang w:val="sq-AL" w:eastAsia="en-US" w:bidi="ar-SA"/>
      </w:rPr>
    </w:lvl>
    <w:lvl w:ilvl="6">
      <w:start w:val="0"/>
      <w:numFmt w:val="bullet"/>
      <w:lvlText w:val="•"/>
      <w:lvlJc w:val="left"/>
      <w:pPr>
        <w:ind w:left="2630" w:hanging="360"/>
      </w:pPr>
      <w:rPr>
        <w:rFonts w:hint="default"/>
        <w:lang w:val="sq-AL" w:eastAsia="en-US" w:bidi="ar-SA"/>
      </w:rPr>
    </w:lvl>
    <w:lvl w:ilvl="7">
      <w:start w:val="0"/>
      <w:numFmt w:val="bullet"/>
      <w:lvlText w:val="•"/>
      <w:lvlJc w:val="left"/>
      <w:pPr>
        <w:ind w:left="2932" w:hanging="360"/>
      </w:pPr>
      <w:rPr>
        <w:rFonts w:hint="default"/>
        <w:lang w:val="sq-AL" w:eastAsia="en-US" w:bidi="ar-SA"/>
      </w:rPr>
    </w:lvl>
    <w:lvl w:ilvl="8">
      <w:start w:val="0"/>
      <w:numFmt w:val="bullet"/>
      <w:lvlText w:val="•"/>
      <w:lvlJc w:val="left"/>
      <w:pPr>
        <w:ind w:left="3234" w:hanging="360"/>
      </w:pPr>
      <w:rPr>
        <w:rFonts w:hint="default"/>
        <w:lang w:val="sq-AL" w:eastAsia="en-US" w:bidi="ar-SA"/>
      </w:rPr>
    </w:lvl>
  </w:abstractNum>
  <w:abstractNum w:abstractNumId="20">
    <w:multiLevelType w:val="hybridMultilevel"/>
    <w:lvl w:ilvl="0">
      <w:start w:val="0"/>
      <w:numFmt w:val="bullet"/>
      <w:lvlText w:val="o"/>
      <w:lvlJc w:val="left"/>
      <w:pPr>
        <w:ind w:left="861"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1157" w:hanging="360"/>
      </w:pPr>
      <w:rPr>
        <w:rFonts w:hint="default"/>
        <w:lang w:val="sq-AL" w:eastAsia="en-US" w:bidi="ar-SA"/>
      </w:rPr>
    </w:lvl>
    <w:lvl w:ilvl="2">
      <w:start w:val="0"/>
      <w:numFmt w:val="bullet"/>
      <w:lvlText w:val="•"/>
      <w:lvlJc w:val="left"/>
      <w:pPr>
        <w:ind w:left="1455" w:hanging="360"/>
      </w:pPr>
      <w:rPr>
        <w:rFonts w:hint="default"/>
        <w:lang w:val="sq-AL" w:eastAsia="en-US" w:bidi="ar-SA"/>
      </w:rPr>
    </w:lvl>
    <w:lvl w:ilvl="3">
      <w:start w:val="0"/>
      <w:numFmt w:val="bullet"/>
      <w:lvlText w:val="•"/>
      <w:lvlJc w:val="left"/>
      <w:pPr>
        <w:ind w:left="1753" w:hanging="360"/>
      </w:pPr>
      <w:rPr>
        <w:rFonts w:hint="default"/>
        <w:lang w:val="sq-AL" w:eastAsia="en-US" w:bidi="ar-SA"/>
      </w:rPr>
    </w:lvl>
    <w:lvl w:ilvl="4">
      <w:start w:val="0"/>
      <w:numFmt w:val="bullet"/>
      <w:lvlText w:val="•"/>
      <w:lvlJc w:val="left"/>
      <w:pPr>
        <w:ind w:left="2051" w:hanging="360"/>
      </w:pPr>
      <w:rPr>
        <w:rFonts w:hint="default"/>
        <w:lang w:val="sq-AL" w:eastAsia="en-US" w:bidi="ar-SA"/>
      </w:rPr>
    </w:lvl>
    <w:lvl w:ilvl="5">
      <w:start w:val="0"/>
      <w:numFmt w:val="bullet"/>
      <w:lvlText w:val="•"/>
      <w:lvlJc w:val="left"/>
      <w:pPr>
        <w:ind w:left="2349" w:hanging="360"/>
      </w:pPr>
      <w:rPr>
        <w:rFonts w:hint="default"/>
        <w:lang w:val="sq-AL" w:eastAsia="en-US" w:bidi="ar-SA"/>
      </w:rPr>
    </w:lvl>
    <w:lvl w:ilvl="6">
      <w:start w:val="0"/>
      <w:numFmt w:val="bullet"/>
      <w:lvlText w:val="•"/>
      <w:lvlJc w:val="left"/>
      <w:pPr>
        <w:ind w:left="2646" w:hanging="360"/>
      </w:pPr>
      <w:rPr>
        <w:rFonts w:hint="default"/>
        <w:lang w:val="sq-AL" w:eastAsia="en-US" w:bidi="ar-SA"/>
      </w:rPr>
    </w:lvl>
    <w:lvl w:ilvl="7">
      <w:start w:val="0"/>
      <w:numFmt w:val="bullet"/>
      <w:lvlText w:val="•"/>
      <w:lvlJc w:val="left"/>
      <w:pPr>
        <w:ind w:left="2944" w:hanging="360"/>
      </w:pPr>
      <w:rPr>
        <w:rFonts w:hint="default"/>
        <w:lang w:val="sq-AL" w:eastAsia="en-US" w:bidi="ar-SA"/>
      </w:rPr>
    </w:lvl>
    <w:lvl w:ilvl="8">
      <w:start w:val="0"/>
      <w:numFmt w:val="bullet"/>
      <w:lvlText w:val="•"/>
      <w:lvlJc w:val="left"/>
      <w:pPr>
        <w:ind w:left="3242" w:hanging="360"/>
      </w:pPr>
      <w:rPr>
        <w:rFonts w:hint="default"/>
        <w:lang w:val="sq-AL" w:eastAsia="en-US" w:bidi="ar-SA"/>
      </w:rPr>
    </w:lvl>
  </w:abstractNum>
  <w:abstractNum w:abstractNumId="19">
    <w:multiLevelType w:val="hybridMultilevel"/>
    <w:lvl w:ilvl="0">
      <w:start w:val="0"/>
      <w:numFmt w:val="bullet"/>
      <w:lvlText w:val="o"/>
      <w:lvlJc w:val="left"/>
      <w:pPr>
        <w:ind w:left="878" w:hanging="411"/>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1175" w:hanging="411"/>
      </w:pPr>
      <w:rPr>
        <w:rFonts w:hint="default"/>
        <w:lang w:val="sq-AL" w:eastAsia="en-US" w:bidi="ar-SA"/>
      </w:rPr>
    </w:lvl>
    <w:lvl w:ilvl="2">
      <w:start w:val="0"/>
      <w:numFmt w:val="bullet"/>
      <w:lvlText w:val="•"/>
      <w:lvlJc w:val="left"/>
      <w:pPr>
        <w:ind w:left="1471" w:hanging="411"/>
      </w:pPr>
      <w:rPr>
        <w:rFonts w:hint="default"/>
        <w:lang w:val="sq-AL" w:eastAsia="en-US" w:bidi="ar-SA"/>
      </w:rPr>
    </w:lvl>
    <w:lvl w:ilvl="3">
      <w:start w:val="0"/>
      <w:numFmt w:val="bullet"/>
      <w:lvlText w:val="•"/>
      <w:lvlJc w:val="left"/>
      <w:pPr>
        <w:ind w:left="1767" w:hanging="411"/>
      </w:pPr>
      <w:rPr>
        <w:rFonts w:hint="default"/>
        <w:lang w:val="sq-AL" w:eastAsia="en-US" w:bidi="ar-SA"/>
      </w:rPr>
    </w:lvl>
    <w:lvl w:ilvl="4">
      <w:start w:val="0"/>
      <w:numFmt w:val="bullet"/>
      <w:lvlText w:val="•"/>
      <w:lvlJc w:val="left"/>
      <w:pPr>
        <w:ind w:left="2063" w:hanging="411"/>
      </w:pPr>
      <w:rPr>
        <w:rFonts w:hint="default"/>
        <w:lang w:val="sq-AL" w:eastAsia="en-US" w:bidi="ar-SA"/>
      </w:rPr>
    </w:lvl>
    <w:lvl w:ilvl="5">
      <w:start w:val="0"/>
      <w:numFmt w:val="bullet"/>
      <w:lvlText w:val="•"/>
      <w:lvlJc w:val="left"/>
      <w:pPr>
        <w:ind w:left="2359" w:hanging="411"/>
      </w:pPr>
      <w:rPr>
        <w:rFonts w:hint="default"/>
        <w:lang w:val="sq-AL" w:eastAsia="en-US" w:bidi="ar-SA"/>
      </w:rPr>
    </w:lvl>
    <w:lvl w:ilvl="6">
      <w:start w:val="0"/>
      <w:numFmt w:val="bullet"/>
      <w:lvlText w:val="•"/>
      <w:lvlJc w:val="left"/>
      <w:pPr>
        <w:ind w:left="2654" w:hanging="411"/>
      </w:pPr>
      <w:rPr>
        <w:rFonts w:hint="default"/>
        <w:lang w:val="sq-AL" w:eastAsia="en-US" w:bidi="ar-SA"/>
      </w:rPr>
    </w:lvl>
    <w:lvl w:ilvl="7">
      <w:start w:val="0"/>
      <w:numFmt w:val="bullet"/>
      <w:lvlText w:val="•"/>
      <w:lvlJc w:val="left"/>
      <w:pPr>
        <w:ind w:left="2950" w:hanging="411"/>
      </w:pPr>
      <w:rPr>
        <w:rFonts w:hint="default"/>
        <w:lang w:val="sq-AL" w:eastAsia="en-US" w:bidi="ar-SA"/>
      </w:rPr>
    </w:lvl>
    <w:lvl w:ilvl="8">
      <w:start w:val="0"/>
      <w:numFmt w:val="bullet"/>
      <w:lvlText w:val="•"/>
      <w:lvlJc w:val="left"/>
      <w:pPr>
        <w:ind w:left="3246" w:hanging="411"/>
      </w:pPr>
      <w:rPr>
        <w:rFonts w:hint="default"/>
        <w:lang w:val="sq-AL" w:eastAsia="en-US" w:bidi="ar-SA"/>
      </w:rPr>
    </w:lvl>
  </w:abstractNum>
  <w:abstractNum w:abstractNumId="18">
    <w:multiLevelType w:val="hybridMultilevel"/>
    <w:lvl w:ilvl="0">
      <w:start w:val="0"/>
      <w:numFmt w:val="bullet"/>
      <w:lvlText w:val="o"/>
      <w:lvlJc w:val="left"/>
      <w:pPr>
        <w:ind w:left="1055"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o"/>
      <w:lvlJc w:val="left"/>
      <w:pPr>
        <w:ind w:left="958" w:hanging="361"/>
      </w:pPr>
      <w:rPr>
        <w:rFonts w:hint="default" w:ascii="Courier New" w:hAnsi="Courier New" w:eastAsia="Courier New" w:cs="Courier New"/>
        <w:b w:val="0"/>
        <w:bCs w:val="0"/>
        <w:i w:val="0"/>
        <w:iCs w:val="0"/>
        <w:w w:val="100"/>
        <w:sz w:val="20"/>
        <w:szCs w:val="20"/>
        <w:lang w:val="sq-AL" w:eastAsia="en-US" w:bidi="ar-SA"/>
      </w:rPr>
    </w:lvl>
    <w:lvl w:ilvl="2">
      <w:start w:val="0"/>
      <w:numFmt w:val="bullet"/>
      <w:lvlText w:val="•"/>
      <w:lvlJc w:val="left"/>
      <w:pPr>
        <w:ind w:left="1210" w:hanging="361"/>
      </w:pPr>
      <w:rPr>
        <w:rFonts w:hint="default"/>
        <w:lang w:val="sq-AL" w:eastAsia="en-US" w:bidi="ar-SA"/>
      </w:rPr>
    </w:lvl>
    <w:lvl w:ilvl="3">
      <w:start w:val="0"/>
      <w:numFmt w:val="bullet"/>
      <w:lvlText w:val="•"/>
      <w:lvlJc w:val="left"/>
      <w:pPr>
        <w:ind w:left="1360" w:hanging="361"/>
      </w:pPr>
      <w:rPr>
        <w:rFonts w:hint="default"/>
        <w:lang w:val="sq-AL" w:eastAsia="en-US" w:bidi="ar-SA"/>
      </w:rPr>
    </w:lvl>
    <w:lvl w:ilvl="4">
      <w:start w:val="0"/>
      <w:numFmt w:val="bullet"/>
      <w:lvlText w:val="•"/>
      <w:lvlJc w:val="left"/>
      <w:pPr>
        <w:ind w:left="1511" w:hanging="361"/>
      </w:pPr>
      <w:rPr>
        <w:rFonts w:hint="default"/>
        <w:lang w:val="sq-AL" w:eastAsia="en-US" w:bidi="ar-SA"/>
      </w:rPr>
    </w:lvl>
    <w:lvl w:ilvl="5">
      <w:start w:val="0"/>
      <w:numFmt w:val="bullet"/>
      <w:lvlText w:val="•"/>
      <w:lvlJc w:val="left"/>
      <w:pPr>
        <w:ind w:left="1661" w:hanging="361"/>
      </w:pPr>
      <w:rPr>
        <w:rFonts w:hint="default"/>
        <w:lang w:val="sq-AL" w:eastAsia="en-US" w:bidi="ar-SA"/>
      </w:rPr>
    </w:lvl>
    <w:lvl w:ilvl="6">
      <w:start w:val="0"/>
      <w:numFmt w:val="bullet"/>
      <w:lvlText w:val="•"/>
      <w:lvlJc w:val="left"/>
      <w:pPr>
        <w:ind w:left="1812" w:hanging="361"/>
      </w:pPr>
      <w:rPr>
        <w:rFonts w:hint="default"/>
        <w:lang w:val="sq-AL" w:eastAsia="en-US" w:bidi="ar-SA"/>
      </w:rPr>
    </w:lvl>
    <w:lvl w:ilvl="7">
      <w:start w:val="0"/>
      <w:numFmt w:val="bullet"/>
      <w:lvlText w:val="•"/>
      <w:lvlJc w:val="left"/>
      <w:pPr>
        <w:ind w:left="1962" w:hanging="361"/>
      </w:pPr>
      <w:rPr>
        <w:rFonts w:hint="default"/>
        <w:lang w:val="sq-AL" w:eastAsia="en-US" w:bidi="ar-SA"/>
      </w:rPr>
    </w:lvl>
    <w:lvl w:ilvl="8">
      <w:start w:val="0"/>
      <w:numFmt w:val="bullet"/>
      <w:lvlText w:val="•"/>
      <w:lvlJc w:val="left"/>
      <w:pPr>
        <w:ind w:left="2113" w:hanging="361"/>
      </w:pPr>
      <w:rPr>
        <w:rFonts w:hint="default"/>
        <w:lang w:val="sq-AL" w:eastAsia="en-US" w:bidi="ar-SA"/>
      </w:rPr>
    </w:lvl>
  </w:abstractNum>
  <w:abstractNum w:abstractNumId="17">
    <w:multiLevelType w:val="hybridMultilevel"/>
    <w:lvl w:ilvl="0">
      <w:start w:val="0"/>
      <w:numFmt w:val="bullet"/>
      <w:lvlText w:val="o"/>
      <w:lvlJc w:val="left"/>
      <w:pPr>
        <w:ind w:left="828"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998" w:hanging="360"/>
      </w:pPr>
      <w:rPr>
        <w:rFonts w:hint="default"/>
        <w:lang w:val="sq-AL" w:eastAsia="en-US" w:bidi="ar-SA"/>
      </w:rPr>
    </w:lvl>
    <w:lvl w:ilvl="2">
      <w:start w:val="0"/>
      <w:numFmt w:val="bullet"/>
      <w:lvlText w:val="•"/>
      <w:lvlJc w:val="left"/>
      <w:pPr>
        <w:ind w:left="1176" w:hanging="360"/>
      </w:pPr>
      <w:rPr>
        <w:rFonts w:hint="default"/>
        <w:lang w:val="sq-AL" w:eastAsia="en-US" w:bidi="ar-SA"/>
      </w:rPr>
    </w:lvl>
    <w:lvl w:ilvl="3">
      <w:start w:val="0"/>
      <w:numFmt w:val="bullet"/>
      <w:lvlText w:val="•"/>
      <w:lvlJc w:val="left"/>
      <w:pPr>
        <w:ind w:left="1354" w:hanging="360"/>
      </w:pPr>
      <w:rPr>
        <w:rFonts w:hint="default"/>
        <w:lang w:val="sq-AL" w:eastAsia="en-US" w:bidi="ar-SA"/>
      </w:rPr>
    </w:lvl>
    <w:lvl w:ilvl="4">
      <w:start w:val="0"/>
      <w:numFmt w:val="bullet"/>
      <w:lvlText w:val="•"/>
      <w:lvlJc w:val="left"/>
      <w:pPr>
        <w:ind w:left="1532" w:hanging="360"/>
      </w:pPr>
      <w:rPr>
        <w:rFonts w:hint="default"/>
        <w:lang w:val="sq-AL" w:eastAsia="en-US" w:bidi="ar-SA"/>
      </w:rPr>
    </w:lvl>
    <w:lvl w:ilvl="5">
      <w:start w:val="0"/>
      <w:numFmt w:val="bullet"/>
      <w:lvlText w:val="•"/>
      <w:lvlJc w:val="left"/>
      <w:pPr>
        <w:ind w:left="1710" w:hanging="360"/>
      </w:pPr>
      <w:rPr>
        <w:rFonts w:hint="default"/>
        <w:lang w:val="sq-AL" w:eastAsia="en-US" w:bidi="ar-SA"/>
      </w:rPr>
    </w:lvl>
    <w:lvl w:ilvl="6">
      <w:start w:val="0"/>
      <w:numFmt w:val="bullet"/>
      <w:lvlText w:val="•"/>
      <w:lvlJc w:val="left"/>
      <w:pPr>
        <w:ind w:left="1888" w:hanging="360"/>
      </w:pPr>
      <w:rPr>
        <w:rFonts w:hint="default"/>
        <w:lang w:val="sq-AL" w:eastAsia="en-US" w:bidi="ar-SA"/>
      </w:rPr>
    </w:lvl>
    <w:lvl w:ilvl="7">
      <w:start w:val="0"/>
      <w:numFmt w:val="bullet"/>
      <w:lvlText w:val="•"/>
      <w:lvlJc w:val="left"/>
      <w:pPr>
        <w:ind w:left="2066" w:hanging="360"/>
      </w:pPr>
      <w:rPr>
        <w:rFonts w:hint="default"/>
        <w:lang w:val="sq-AL" w:eastAsia="en-US" w:bidi="ar-SA"/>
      </w:rPr>
    </w:lvl>
    <w:lvl w:ilvl="8">
      <w:start w:val="0"/>
      <w:numFmt w:val="bullet"/>
      <w:lvlText w:val="•"/>
      <w:lvlJc w:val="left"/>
      <w:pPr>
        <w:ind w:left="2244" w:hanging="360"/>
      </w:pPr>
      <w:rPr>
        <w:rFonts w:hint="default"/>
        <w:lang w:val="sq-AL" w:eastAsia="en-US" w:bidi="ar-SA"/>
      </w:rPr>
    </w:lvl>
  </w:abstractNum>
  <w:abstractNum w:abstractNumId="16">
    <w:multiLevelType w:val="hybridMultilevel"/>
    <w:lvl w:ilvl="0">
      <w:start w:val="0"/>
      <w:numFmt w:val="bullet"/>
      <w:lvlText w:val="o"/>
      <w:lvlJc w:val="left"/>
      <w:pPr>
        <w:ind w:left="828"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998" w:hanging="360"/>
      </w:pPr>
      <w:rPr>
        <w:rFonts w:hint="default"/>
        <w:lang w:val="sq-AL" w:eastAsia="en-US" w:bidi="ar-SA"/>
      </w:rPr>
    </w:lvl>
    <w:lvl w:ilvl="2">
      <w:start w:val="0"/>
      <w:numFmt w:val="bullet"/>
      <w:lvlText w:val="•"/>
      <w:lvlJc w:val="left"/>
      <w:pPr>
        <w:ind w:left="1176" w:hanging="360"/>
      </w:pPr>
      <w:rPr>
        <w:rFonts w:hint="default"/>
        <w:lang w:val="sq-AL" w:eastAsia="en-US" w:bidi="ar-SA"/>
      </w:rPr>
    </w:lvl>
    <w:lvl w:ilvl="3">
      <w:start w:val="0"/>
      <w:numFmt w:val="bullet"/>
      <w:lvlText w:val="•"/>
      <w:lvlJc w:val="left"/>
      <w:pPr>
        <w:ind w:left="1354" w:hanging="360"/>
      </w:pPr>
      <w:rPr>
        <w:rFonts w:hint="default"/>
        <w:lang w:val="sq-AL" w:eastAsia="en-US" w:bidi="ar-SA"/>
      </w:rPr>
    </w:lvl>
    <w:lvl w:ilvl="4">
      <w:start w:val="0"/>
      <w:numFmt w:val="bullet"/>
      <w:lvlText w:val="•"/>
      <w:lvlJc w:val="left"/>
      <w:pPr>
        <w:ind w:left="1532" w:hanging="360"/>
      </w:pPr>
      <w:rPr>
        <w:rFonts w:hint="default"/>
        <w:lang w:val="sq-AL" w:eastAsia="en-US" w:bidi="ar-SA"/>
      </w:rPr>
    </w:lvl>
    <w:lvl w:ilvl="5">
      <w:start w:val="0"/>
      <w:numFmt w:val="bullet"/>
      <w:lvlText w:val="•"/>
      <w:lvlJc w:val="left"/>
      <w:pPr>
        <w:ind w:left="1710" w:hanging="360"/>
      </w:pPr>
      <w:rPr>
        <w:rFonts w:hint="default"/>
        <w:lang w:val="sq-AL" w:eastAsia="en-US" w:bidi="ar-SA"/>
      </w:rPr>
    </w:lvl>
    <w:lvl w:ilvl="6">
      <w:start w:val="0"/>
      <w:numFmt w:val="bullet"/>
      <w:lvlText w:val="•"/>
      <w:lvlJc w:val="left"/>
      <w:pPr>
        <w:ind w:left="1888" w:hanging="360"/>
      </w:pPr>
      <w:rPr>
        <w:rFonts w:hint="default"/>
        <w:lang w:val="sq-AL" w:eastAsia="en-US" w:bidi="ar-SA"/>
      </w:rPr>
    </w:lvl>
    <w:lvl w:ilvl="7">
      <w:start w:val="0"/>
      <w:numFmt w:val="bullet"/>
      <w:lvlText w:val="•"/>
      <w:lvlJc w:val="left"/>
      <w:pPr>
        <w:ind w:left="2066" w:hanging="360"/>
      </w:pPr>
      <w:rPr>
        <w:rFonts w:hint="default"/>
        <w:lang w:val="sq-AL" w:eastAsia="en-US" w:bidi="ar-SA"/>
      </w:rPr>
    </w:lvl>
    <w:lvl w:ilvl="8">
      <w:start w:val="0"/>
      <w:numFmt w:val="bullet"/>
      <w:lvlText w:val="•"/>
      <w:lvlJc w:val="left"/>
      <w:pPr>
        <w:ind w:left="2244" w:hanging="360"/>
      </w:pPr>
      <w:rPr>
        <w:rFonts w:hint="default"/>
        <w:lang w:val="sq-AL" w:eastAsia="en-US" w:bidi="ar-SA"/>
      </w:rPr>
    </w:lvl>
  </w:abstractNum>
  <w:abstractNum w:abstractNumId="15">
    <w:multiLevelType w:val="hybridMultilevel"/>
    <w:lvl w:ilvl="0">
      <w:start w:val="0"/>
      <w:numFmt w:val="bullet"/>
      <w:lvlText w:val="o"/>
      <w:lvlJc w:val="left"/>
      <w:pPr>
        <w:ind w:left="828" w:hanging="360"/>
      </w:pPr>
      <w:rPr>
        <w:rFonts w:hint="default" w:ascii="Courier New" w:hAnsi="Courier New" w:eastAsia="Courier New" w:cs="Courier New"/>
        <w:b w:val="0"/>
        <w:bCs w:val="0"/>
        <w:i w:val="0"/>
        <w:iCs w:val="0"/>
        <w:w w:val="100"/>
        <w:sz w:val="20"/>
        <w:szCs w:val="20"/>
        <w:lang w:val="sq-AL" w:eastAsia="en-US" w:bidi="ar-SA"/>
      </w:rPr>
    </w:lvl>
    <w:lvl w:ilvl="1">
      <w:start w:val="0"/>
      <w:numFmt w:val="bullet"/>
      <w:lvlText w:val="•"/>
      <w:lvlJc w:val="left"/>
      <w:pPr>
        <w:ind w:left="998" w:hanging="360"/>
      </w:pPr>
      <w:rPr>
        <w:rFonts w:hint="default"/>
        <w:lang w:val="sq-AL" w:eastAsia="en-US" w:bidi="ar-SA"/>
      </w:rPr>
    </w:lvl>
    <w:lvl w:ilvl="2">
      <w:start w:val="0"/>
      <w:numFmt w:val="bullet"/>
      <w:lvlText w:val="•"/>
      <w:lvlJc w:val="left"/>
      <w:pPr>
        <w:ind w:left="1176" w:hanging="360"/>
      </w:pPr>
      <w:rPr>
        <w:rFonts w:hint="default"/>
        <w:lang w:val="sq-AL" w:eastAsia="en-US" w:bidi="ar-SA"/>
      </w:rPr>
    </w:lvl>
    <w:lvl w:ilvl="3">
      <w:start w:val="0"/>
      <w:numFmt w:val="bullet"/>
      <w:lvlText w:val="•"/>
      <w:lvlJc w:val="left"/>
      <w:pPr>
        <w:ind w:left="1354" w:hanging="360"/>
      </w:pPr>
      <w:rPr>
        <w:rFonts w:hint="default"/>
        <w:lang w:val="sq-AL" w:eastAsia="en-US" w:bidi="ar-SA"/>
      </w:rPr>
    </w:lvl>
    <w:lvl w:ilvl="4">
      <w:start w:val="0"/>
      <w:numFmt w:val="bullet"/>
      <w:lvlText w:val="•"/>
      <w:lvlJc w:val="left"/>
      <w:pPr>
        <w:ind w:left="1532" w:hanging="360"/>
      </w:pPr>
      <w:rPr>
        <w:rFonts w:hint="default"/>
        <w:lang w:val="sq-AL" w:eastAsia="en-US" w:bidi="ar-SA"/>
      </w:rPr>
    </w:lvl>
    <w:lvl w:ilvl="5">
      <w:start w:val="0"/>
      <w:numFmt w:val="bullet"/>
      <w:lvlText w:val="•"/>
      <w:lvlJc w:val="left"/>
      <w:pPr>
        <w:ind w:left="1710" w:hanging="360"/>
      </w:pPr>
      <w:rPr>
        <w:rFonts w:hint="default"/>
        <w:lang w:val="sq-AL" w:eastAsia="en-US" w:bidi="ar-SA"/>
      </w:rPr>
    </w:lvl>
    <w:lvl w:ilvl="6">
      <w:start w:val="0"/>
      <w:numFmt w:val="bullet"/>
      <w:lvlText w:val="•"/>
      <w:lvlJc w:val="left"/>
      <w:pPr>
        <w:ind w:left="1888" w:hanging="360"/>
      </w:pPr>
      <w:rPr>
        <w:rFonts w:hint="default"/>
        <w:lang w:val="sq-AL" w:eastAsia="en-US" w:bidi="ar-SA"/>
      </w:rPr>
    </w:lvl>
    <w:lvl w:ilvl="7">
      <w:start w:val="0"/>
      <w:numFmt w:val="bullet"/>
      <w:lvlText w:val="•"/>
      <w:lvlJc w:val="left"/>
      <w:pPr>
        <w:ind w:left="2066" w:hanging="360"/>
      </w:pPr>
      <w:rPr>
        <w:rFonts w:hint="default"/>
        <w:lang w:val="sq-AL" w:eastAsia="en-US" w:bidi="ar-SA"/>
      </w:rPr>
    </w:lvl>
    <w:lvl w:ilvl="8">
      <w:start w:val="0"/>
      <w:numFmt w:val="bullet"/>
      <w:lvlText w:val="•"/>
      <w:lvlJc w:val="left"/>
      <w:pPr>
        <w:ind w:left="2244" w:hanging="360"/>
      </w:pPr>
      <w:rPr>
        <w:rFonts w:hint="default"/>
        <w:lang w:val="sq-AL" w:eastAsia="en-US" w:bidi="ar-SA"/>
      </w:rPr>
    </w:lvl>
  </w:abstractNum>
  <w:abstractNum w:abstractNumId="14">
    <w:multiLevelType w:val="hybridMultilevel"/>
    <w:lvl w:ilvl="0">
      <w:start w:val="0"/>
      <w:numFmt w:val="bullet"/>
      <w:lvlText w:val="•"/>
      <w:lvlJc w:val="left"/>
      <w:pPr>
        <w:ind w:left="106" w:hanging="127"/>
      </w:pPr>
      <w:rPr>
        <w:rFonts w:hint="default" w:ascii="Calibri" w:hAnsi="Calibri" w:eastAsia="Calibri" w:cs="Calibri"/>
        <w:b w:val="0"/>
        <w:bCs w:val="0"/>
        <w:i w:val="0"/>
        <w:iCs w:val="0"/>
        <w:w w:val="102"/>
        <w:sz w:val="17"/>
        <w:szCs w:val="17"/>
        <w:lang w:val="sq-AL" w:eastAsia="en-US" w:bidi="ar-SA"/>
      </w:rPr>
    </w:lvl>
    <w:lvl w:ilvl="1">
      <w:start w:val="0"/>
      <w:numFmt w:val="bullet"/>
      <w:lvlText w:val="•"/>
      <w:lvlJc w:val="left"/>
      <w:pPr>
        <w:ind w:left="558" w:hanging="127"/>
      </w:pPr>
      <w:rPr>
        <w:rFonts w:hint="default"/>
        <w:lang w:val="sq-AL" w:eastAsia="en-US" w:bidi="ar-SA"/>
      </w:rPr>
    </w:lvl>
    <w:lvl w:ilvl="2">
      <w:start w:val="0"/>
      <w:numFmt w:val="bullet"/>
      <w:lvlText w:val="•"/>
      <w:lvlJc w:val="left"/>
      <w:pPr>
        <w:ind w:left="1016" w:hanging="127"/>
      </w:pPr>
      <w:rPr>
        <w:rFonts w:hint="default"/>
        <w:lang w:val="sq-AL" w:eastAsia="en-US" w:bidi="ar-SA"/>
      </w:rPr>
    </w:lvl>
    <w:lvl w:ilvl="3">
      <w:start w:val="0"/>
      <w:numFmt w:val="bullet"/>
      <w:lvlText w:val="•"/>
      <w:lvlJc w:val="left"/>
      <w:pPr>
        <w:ind w:left="1474" w:hanging="127"/>
      </w:pPr>
      <w:rPr>
        <w:rFonts w:hint="default"/>
        <w:lang w:val="sq-AL" w:eastAsia="en-US" w:bidi="ar-SA"/>
      </w:rPr>
    </w:lvl>
    <w:lvl w:ilvl="4">
      <w:start w:val="0"/>
      <w:numFmt w:val="bullet"/>
      <w:lvlText w:val="•"/>
      <w:lvlJc w:val="left"/>
      <w:pPr>
        <w:ind w:left="1932" w:hanging="127"/>
      </w:pPr>
      <w:rPr>
        <w:rFonts w:hint="default"/>
        <w:lang w:val="sq-AL" w:eastAsia="en-US" w:bidi="ar-SA"/>
      </w:rPr>
    </w:lvl>
    <w:lvl w:ilvl="5">
      <w:start w:val="0"/>
      <w:numFmt w:val="bullet"/>
      <w:lvlText w:val="•"/>
      <w:lvlJc w:val="left"/>
      <w:pPr>
        <w:ind w:left="2390" w:hanging="127"/>
      </w:pPr>
      <w:rPr>
        <w:rFonts w:hint="default"/>
        <w:lang w:val="sq-AL" w:eastAsia="en-US" w:bidi="ar-SA"/>
      </w:rPr>
    </w:lvl>
    <w:lvl w:ilvl="6">
      <w:start w:val="0"/>
      <w:numFmt w:val="bullet"/>
      <w:lvlText w:val="•"/>
      <w:lvlJc w:val="left"/>
      <w:pPr>
        <w:ind w:left="2848" w:hanging="127"/>
      </w:pPr>
      <w:rPr>
        <w:rFonts w:hint="default"/>
        <w:lang w:val="sq-AL" w:eastAsia="en-US" w:bidi="ar-SA"/>
      </w:rPr>
    </w:lvl>
    <w:lvl w:ilvl="7">
      <w:start w:val="0"/>
      <w:numFmt w:val="bullet"/>
      <w:lvlText w:val="•"/>
      <w:lvlJc w:val="left"/>
      <w:pPr>
        <w:ind w:left="3306" w:hanging="127"/>
      </w:pPr>
      <w:rPr>
        <w:rFonts w:hint="default"/>
        <w:lang w:val="sq-AL" w:eastAsia="en-US" w:bidi="ar-SA"/>
      </w:rPr>
    </w:lvl>
    <w:lvl w:ilvl="8">
      <w:start w:val="0"/>
      <w:numFmt w:val="bullet"/>
      <w:lvlText w:val="•"/>
      <w:lvlJc w:val="left"/>
      <w:pPr>
        <w:ind w:left="3764" w:hanging="127"/>
      </w:pPr>
      <w:rPr>
        <w:rFonts w:hint="default"/>
        <w:lang w:val="sq-AL" w:eastAsia="en-US" w:bidi="ar-SA"/>
      </w:rPr>
    </w:lvl>
  </w:abstractNum>
  <w:abstractNum w:abstractNumId="13">
    <w:multiLevelType w:val="hybridMultilevel"/>
    <w:lvl w:ilvl="0">
      <w:start w:val="0"/>
      <w:numFmt w:val="bullet"/>
      <w:lvlText w:val="•"/>
      <w:lvlJc w:val="left"/>
      <w:pPr>
        <w:ind w:left="104" w:hanging="127"/>
      </w:pPr>
      <w:rPr>
        <w:rFonts w:hint="default" w:ascii="Calibri" w:hAnsi="Calibri" w:eastAsia="Calibri" w:cs="Calibri"/>
        <w:b w:val="0"/>
        <w:bCs w:val="0"/>
        <w:i w:val="0"/>
        <w:iCs w:val="0"/>
        <w:w w:val="144"/>
        <w:sz w:val="12"/>
        <w:szCs w:val="12"/>
        <w:lang w:val="sq-AL" w:eastAsia="en-US" w:bidi="ar-SA"/>
      </w:rPr>
    </w:lvl>
    <w:lvl w:ilvl="1">
      <w:start w:val="0"/>
      <w:numFmt w:val="bullet"/>
      <w:lvlText w:val="•"/>
      <w:lvlJc w:val="left"/>
      <w:pPr>
        <w:ind w:left="556" w:hanging="127"/>
      </w:pPr>
      <w:rPr>
        <w:rFonts w:hint="default"/>
        <w:lang w:val="sq-AL" w:eastAsia="en-US" w:bidi="ar-SA"/>
      </w:rPr>
    </w:lvl>
    <w:lvl w:ilvl="2">
      <w:start w:val="0"/>
      <w:numFmt w:val="bullet"/>
      <w:lvlText w:val="•"/>
      <w:lvlJc w:val="left"/>
      <w:pPr>
        <w:ind w:left="1012" w:hanging="127"/>
      </w:pPr>
      <w:rPr>
        <w:rFonts w:hint="default"/>
        <w:lang w:val="sq-AL" w:eastAsia="en-US" w:bidi="ar-SA"/>
      </w:rPr>
    </w:lvl>
    <w:lvl w:ilvl="3">
      <w:start w:val="0"/>
      <w:numFmt w:val="bullet"/>
      <w:lvlText w:val="•"/>
      <w:lvlJc w:val="left"/>
      <w:pPr>
        <w:ind w:left="1469" w:hanging="127"/>
      </w:pPr>
      <w:rPr>
        <w:rFonts w:hint="default"/>
        <w:lang w:val="sq-AL" w:eastAsia="en-US" w:bidi="ar-SA"/>
      </w:rPr>
    </w:lvl>
    <w:lvl w:ilvl="4">
      <w:start w:val="0"/>
      <w:numFmt w:val="bullet"/>
      <w:lvlText w:val="•"/>
      <w:lvlJc w:val="left"/>
      <w:pPr>
        <w:ind w:left="1925" w:hanging="127"/>
      </w:pPr>
      <w:rPr>
        <w:rFonts w:hint="default"/>
        <w:lang w:val="sq-AL" w:eastAsia="en-US" w:bidi="ar-SA"/>
      </w:rPr>
    </w:lvl>
    <w:lvl w:ilvl="5">
      <w:start w:val="0"/>
      <w:numFmt w:val="bullet"/>
      <w:lvlText w:val="•"/>
      <w:lvlJc w:val="left"/>
      <w:pPr>
        <w:ind w:left="2382" w:hanging="127"/>
      </w:pPr>
      <w:rPr>
        <w:rFonts w:hint="default"/>
        <w:lang w:val="sq-AL" w:eastAsia="en-US" w:bidi="ar-SA"/>
      </w:rPr>
    </w:lvl>
    <w:lvl w:ilvl="6">
      <w:start w:val="0"/>
      <w:numFmt w:val="bullet"/>
      <w:lvlText w:val="•"/>
      <w:lvlJc w:val="left"/>
      <w:pPr>
        <w:ind w:left="2838" w:hanging="127"/>
      </w:pPr>
      <w:rPr>
        <w:rFonts w:hint="default"/>
        <w:lang w:val="sq-AL" w:eastAsia="en-US" w:bidi="ar-SA"/>
      </w:rPr>
    </w:lvl>
    <w:lvl w:ilvl="7">
      <w:start w:val="0"/>
      <w:numFmt w:val="bullet"/>
      <w:lvlText w:val="•"/>
      <w:lvlJc w:val="left"/>
      <w:pPr>
        <w:ind w:left="3294" w:hanging="127"/>
      </w:pPr>
      <w:rPr>
        <w:rFonts w:hint="default"/>
        <w:lang w:val="sq-AL" w:eastAsia="en-US" w:bidi="ar-SA"/>
      </w:rPr>
    </w:lvl>
    <w:lvl w:ilvl="8">
      <w:start w:val="0"/>
      <w:numFmt w:val="bullet"/>
      <w:lvlText w:val="•"/>
      <w:lvlJc w:val="left"/>
      <w:pPr>
        <w:ind w:left="3751" w:hanging="127"/>
      </w:pPr>
      <w:rPr>
        <w:rFonts w:hint="default"/>
        <w:lang w:val="sq-AL" w:eastAsia="en-US" w:bidi="ar-SA"/>
      </w:rPr>
    </w:lvl>
  </w:abstractNum>
  <w:abstractNum w:abstractNumId="12">
    <w:multiLevelType w:val="hybridMultilevel"/>
    <w:lvl w:ilvl="0">
      <w:start w:val="0"/>
      <w:numFmt w:val="bullet"/>
      <w:lvlText w:val=""/>
      <w:lvlJc w:val="left"/>
      <w:pPr>
        <w:ind w:left="1460" w:hanging="361"/>
      </w:pPr>
      <w:rPr>
        <w:rFonts w:hint="default" w:ascii="Symbol" w:hAnsi="Symbol" w:eastAsia="Symbol" w:cs="Symbol"/>
        <w:b w:val="0"/>
        <w:bCs w:val="0"/>
        <w:i w:val="0"/>
        <w:iCs w:val="0"/>
        <w:w w:val="100"/>
        <w:sz w:val="24"/>
        <w:szCs w:val="24"/>
        <w:lang w:val="sq-AL" w:eastAsia="en-US" w:bidi="ar-SA"/>
      </w:rPr>
    </w:lvl>
    <w:lvl w:ilvl="1">
      <w:start w:val="0"/>
      <w:numFmt w:val="bullet"/>
      <w:lvlText w:val="•"/>
      <w:lvlJc w:val="left"/>
      <w:pPr>
        <w:ind w:left="2468" w:hanging="361"/>
      </w:pPr>
      <w:rPr>
        <w:rFonts w:hint="default"/>
        <w:lang w:val="sq-AL" w:eastAsia="en-US" w:bidi="ar-SA"/>
      </w:rPr>
    </w:lvl>
    <w:lvl w:ilvl="2">
      <w:start w:val="0"/>
      <w:numFmt w:val="bullet"/>
      <w:lvlText w:val="•"/>
      <w:lvlJc w:val="left"/>
      <w:pPr>
        <w:ind w:left="3476" w:hanging="361"/>
      </w:pPr>
      <w:rPr>
        <w:rFonts w:hint="default"/>
        <w:lang w:val="sq-AL" w:eastAsia="en-US" w:bidi="ar-SA"/>
      </w:rPr>
    </w:lvl>
    <w:lvl w:ilvl="3">
      <w:start w:val="0"/>
      <w:numFmt w:val="bullet"/>
      <w:lvlText w:val="•"/>
      <w:lvlJc w:val="left"/>
      <w:pPr>
        <w:ind w:left="4484" w:hanging="361"/>
      </w:pPr>
      <w:rPr>
        <w:rFonts w:hint="default"/>
        <w:lang w:val="sq-AL" w:eastAsia="en-US" w:bidi="ar-SA"/>
      </w:rPr>
    </w:lvl>
    <w:lvl w:ilvl="4">
      <w:start w:val="0"/>
      <w:numFmt w:val="bullet"/>
      <w:lvlText w:val="•"/>
      <w:lvlJc w:val="left"/>
      <w:pPr>
        <w:ind w:left="5492" w:hanging="361"/>
      </w:pPr>
      <w:rPr>
        <w:rFonts w:hint="default"/>
        <w:lang w:val="sq-AL" w:eastAsia="en-US" w:bidi="ar-SA"/>
      </w:rPr>
    </w:lvl>
    <w:lvl w:ilvl="5">
      <w:start w:val="0"/>
      <w:numFmt w:val="bullet"/>
      <w:lvlText w:val="•"/>
      <w:lvlJc w:val="left"/>
      <w:pPr>
        <w:ind w:left="6500" w:hanging="361"/>
      </w:pPr>
      <w:rPr>
        <w:rFonts w:hint="default"/>
        <w:lang w:val="sq-AL" w:eastAsia="en-US" w:bidi="ar-SA"/>
      </w:rPr>
    </w:lvl>
    <w:lvl w:ilvl="6">
      <w:start w:val="0"/>
      <w:numFmt w:val="bullet"/>
      <w:lvlText w:val="•"/>
      <w:lvlJc w:val="left"/>
      <w:pPr>
        <w:ind w:left="7508" w:hanging="361"/>
      </w:pPr>
      <w:rPr>
        <w:rFonts w:hint="default"/>
        <w:lang w:val="sq-AL" w:eastAsia="en-US" w:bidi="ar-SA"/>
      </w:rPr>
    </w:lvl>
    <w:lvl w:ilvl="7">
      <w:start w:val="0"/>
      <w:numFmt w:val="bullet"/>
      <w:lvlText w:val="•"/>
      <w:lvlJc w:val="left"/>
      <w:pPr>
        <w:ind w:left="8516" w:hanging="361"/>
      </w:pPr>
      <w:rPr>
        <w:rFonts w:hint="default"/>
        <w:lang w:val="sq-AL" w:eastAsia="en-US" w:bidi="ar-SA"/>
      </w:rPr>
    </w:lvl>
    <w:lvl w:ilvl="8">
      <w:start w:val="0"/>
      <w:numFmt w:val="bullet"/>
      <w:lvlText w:val="•"/>
      <w:lvlJc w:val="left"/>
      <w:pPr>
        <w:ind w:left="9524" w:hanging="361"/>
      </w:pPr>
      <w:rPr>
        <w:rFonts w:hint="default"/>
        <w:lang w:val="sq-AL" w:eastAsia="en-US" w:bidi="ar-SA"/>
      </w:rPr>
    </w:lvl>
  </w:abstractNum>
  <w:abstractNum w:abstractNumId="11">
    <w:multiLevelType w:val="hybridMultilevel"/>
    <w:lvl w:ilvl="0">
      <w:start w:val="10"/>
      <w:numFmt w:val="decimal"/>
      <w:lvlText w:val="%1"/>
      <w:lvlJc w:val="left"/>
      <w:pPr>
        <w:ind w:left="1311" w:hanging="511"/>
        <w:jc w:val="left"/>
      </w:pPr>
      <w:rPr>
        <w:rFonts w:hint="default"/>
        <w:lang w:val="sq-AL" w:eastAsia="en-US" w:bidi="ar-SA"/>
      </w:rPr>
    </w:lvl>
    <w:lvl w:ilvl="1">
      <w:start w:val="1"/>
      <w:numFmt w:val="decimal"/>
      <w:lvlText w:val="%1.%2."/>
      <w:lvlJc w:val="left"/>
      <w:pPr>
        <w:ind w:left="1311" w:hanging="511"/>
        <w:jc w:val="left"/>
      </w:pPr>
      <w:rPr>
        <w:rFonts w:hint="default"/>
        <w:w w:val="100"/>
        <w:lang w:val="sq-AL" w:eastAsia="en-US" w:bidi="ar-SA"/>
      </w:rPr>
    </w:lvl>
    <w:lvl w:ilvl="2">
      <w:start w:val="0"/>
      <w:numFmt w:val="bullet"/>
      <w:lvlText w:val="•"/>
      <w:lvlJc w:val="left"/>
      <w:pPr>
        <w:ind w:left="3364" w:hanging="511"/>
      </w:pPr>
      <w:rPr>
        <w:rFonts w:hint="default"/>
        <w:lang w:val="sq-AL" w:eastAsia="en-US" w:bidi="ar-SA"/>
      </w:rPr>
    </w:lvl>
    <w:lvl w:ilvl="3">
      <w:start w:val="0"/>
      <w:numFmt w:val="bullet"/>
      <w:lvlText w:val="•"/>
      <w:lvlJc w:val="left"/>
      <w:pPr>
        <w:ind w:left="4386" w:hanging="511"/>
      </w:pPr>
      <w:rPr>
        <w:rFonts w:hint="default"/>
        <w:lang w:val="sq-AL" w:eastAsia="en-US" w:bidi="ar-SA"/>
      </w:rPr>
    </w:lvl>
    <w:lvl w:ilvl="4">
      <w:start w:val="0"/>
      <w:numFmt w:val="bullet"/>
      <w:lvlText w:val="•"/>
      <w:lvlJc w:val="left"/>
      <w:pPr>
        <w:ind w:left="5408" w:hanging="511"/>
      </w:pPr>
      <w:rPr>
        <w:rFonts w:hint="default"/>
        <w:lang w:val="sq-AL" w:eastAsia="en-US" w:bidi="ar-SA"/>
      </w:rPr>
    </w:lvl>
    <w:lvl w:ilvl="5">
      <w:start w:val="0"/>
      <w:numFmt w:val="bullet"/>
      <w:lvlText w:val="•"/>
      <w:lvlJc w:val="left"/>
      <w:pPr>
        <w:ind w:left="6430" w:hanging="511"/>
      </w:pPr>
      <w:rPr>
        <w:rFonts w:hint="default"/>
        <w:lang w:val="sq-AL" w:eastAsia="en-US" w:bidi="ar-SA"/>
      </w:rPr>
    </w:lvl>
    <w:lvl w:ilvl="6">
      <w:start w:val="0"/>
      <w:numFmt w:val="bullet"/>
      <w:lvlText w:val="•"/>
      <w:lvlJc w:val="left"/>
      <w:pPr>
        <w:ind w:left="7452" w:hanging="511"/>
      </w:pPr>
      <w:rPr>
        <w:rFonts w:hint="default"/>
        <w:lang w:val="sq-AL" w:eastAsia="en-US" w:bidi="ar-SA"/>
      </w:rPr>
    </w:lvl>
    <w:lvl w:ilvl="7">
      <w:start w:val="0"/>
      <w:numFmt w:val="bullet"/>
      <w:lvlText w:val="•"/>
      <w:lvlJc w:val="left"/>
      <w:pPr>
        <w:ind w:left="8474" w:hanging="511"/>
      </w:pPr>
      <w:rPr>
        <w:rFonts w:hint="default"/>
        <w:lang w:val="sq-AL" w:eastAsia="en-US" w:bidi="ar-SA"/>
      </w:rPr>
    </w:lvl>
    <w:lvl w:ilvl="8">
      <w:start w:val="0"/>
      <w:numFmt w:val="bullet"/>
      <w:lvlText w:val="•"/>
      <w:lvlJc w:val="left"/>
      <w:pPr>
        <w:ind w:left="9496" w:hanging="511"/>
      </w:pPr>
      <w:rPr>
        <w:rFonts w:hint="default"/>
        <w:lang w:val="sq-AL" w:eastAsia="en-US" w:bidi="ar-SA"/>
      </w:rPr>
    </w:lvl>
  </w:abstractNum>
  <w:abstractNum w:abstractNumId="10">
    <w:multiLevelType w:val="hybridMultilevel"/>
    <w:lvl w:ilvl="0">
      <w:start w:val="9"/>
      <w:numFmt w:val="decimal"/>
      <w:lvlText w:val="%1"/>
      <w:lvlJc w:val="left"/>
      <w:pPr>
        <w:ind w:left="1160" w:hanging="450"/>
        <w:jc w:val="left"/>
      </w:pPr>
      <w:rPr>
        <w:rFonts w:hint="default"/>
        <w:lang w:val="sq-AL" w:eastAsia="en-US" w:bidi="ar-SA"/>
      </w:rPr>
    </w:lvl>
    <w:lvl w:ilvl="1">
      <w:start w:val="2"/>
      <w:numFmt w:val="decimal"/>
      <w:lvlText w:val="%1.%2."/>
      <w:lvlJc w:val="left"/>
      <w:pPr>
        <w:ind w:left="1160" w:hanging="450"/>
        <w:jc w:val="left"/>
      </w:pPr>
      <w:rPr>
        <w:rFonts w:hint="default"/>
        <w:w w:val="100"/>
        <w:lang w:val="sq-AL" w:eastAsia="en-US" w:bidi="ar-SA"/>
      </w:rPr>
    </w:lvl>
    <w:lvl w:ilvl="2">
      <w:start w:val="0"/>
      <w:numFmt w:val="bullet"/>
      <w:lvlText w:val="•"/>
      <w:lvlJc w:val="left"/>
      <w:pPr>
        <w:ind w:left="3236" w:hanging="450"/>
      </w:pPr>
      <w:rPr>
        <w:rFonts w:hint="default"/>
        <w:lang w:val="sq-AL" w:eastAsia="en-US" w:bidi="ar-SA"/>
      </w:rPr>
    </w:lvl>
    <w:lvl w:ilvl="3">
      <w:start w:val="0"/>
      <w:numFmt w:val="bullet"/>
      <w:lvlText w:val="•"/>
      <w:lvlJc w:val="left"/>
      <w:pPr>
        <w:ind w:left="4274" w:hanging="450"/>
      </w:pPr>
      <w:rPr>
        <w:rFonts w:hint="default"/>
        <w:lang w:val="sq-AL" w:eastAsia="en-US" w:bidi="ar-SA"/>
      </w:rPr>
    </w:lvl>
    <w:lvl w:ilvl="4">
      <w:start w:val="0"/>
      <w:numFmt w:val="bullet"/>
      <w:lvlText w:val="•"/>
      <w:lvlJc w:val="left"/>
      <w:pPr>
        <w:ind w:left="5312" w:hanging="450"/>
      </w:pPr>
      <w:rPr>
        <w:rFonts w:hint="default"/>
        <w:lang w:val="sq-AL" w:eastAsia="en-US" w:bidi="ar-SA"/>
      </w:rPr>
    </w:lvl>
    <w:lvl w:ilvl="5">
      <w:start w:val="0"/>
      <w:numFmt w:val="bullet"/>
      <w:lvlText w:val="•"/>
      <w:lvlJc w:val="left"/>
      <w:pPr>
        <w:ind w:left="6350" w:hanging="450"/>
      </w:pPr>
      <w:rPr>
        <w:rFonts w:hint="default"/>
        <w:lang w:val="sq-AL" w:eastAsia="en-US" w:bidi="ar-SA"/>
      </w:rPr>
    </w:lvl>
    <w:lvl w:ilvl="6">
      <w:start w:val="0"/>
      <w:numFmt w:val="bullet"/>
      <w:lvlText w:val="•"/>
      <w:lvlJc w:val="left"/>
      <w:pPr>
        <w:ind w:left="7388" w:hanging="450"/>
      </w:pPr>
      <w:rPr>
        <w:rFonts w:hint="default"/>
        <w:lang w:val="sq-AL" w:eastAsia="en-US" w:bidi="ar-SA"/>
      </w:rPr>
    </w:lvl>
    <w:lvl w:ilvl="7">
      <w:start w:val="0"/>
      <w:numFmt w:val="bullet"/>
      <w:lvlText w:val="•"/>
      <w:lvlJc w:val="left"/>
      <w:pPr>
        <w:ind w:left="8426" w:hanging="450"/>
      </w:pPr>
      <w:rPr>
        <w:rFonts w:hint="default"/>
        <w:lang w:val="sq-AL" w:eastAsia="en-US" w:bidi="ar-SA"/>
      </w:rPr>
    </w:lvl>
    <w:lvl w:ilvl="8">
      <w:start w:val="0"/>
      <w:numFmt w:val="bullet"/>
      <w:lvlText w:val="•"/>
      <w:lvlJc w:val="left"/>
      <w:pPr>
        <w:ind w:left="9464" w:hanging="450"/>
      </w:pPr>
      <w:rPr>
        <w:rFonts w:hint="default"/>
        <w:lang w:val="sq-AL" w:eastAsia="en-US" w:bidi="ar-SA"/>
      </w:rPr>
    </w:lvl>
  </w:abstractNum>
  <w:abstractNum w:abstractNumId="9">
    <w:multiLevelType w:val="hybridMultilevel"/>
    <w:lvl w:ilvl="0">
      <w:start w:val="7"/>
      <w:numFmt w:val="decimal"/>
      <w:lvlText w:val="%1."/>
      <w:lvlJc w:val="left"/>
      <w:pPr>
        <w:ind w:left="868" w:hanging="360"/>
        <w:jc w:val="right"/>
      </w:pPr>
      <w:rPr>
        <w:rFonts w:hint="default"/>
        <w:w w:val="100"/>
        <w:lang w:val="sq-AL" w:eastAsia="en-US" w:bidi="ar-SA"/>
      </w:rPr>
    </w:lvl>
    <w:lvl w:ilvl="1">
      <w:start w:val="1"/>
      <w:numFmt w:val="decimal"/>
      <w:lvlText w:val="%1.%2."/>
      <w:lvlJc w:val="left"/>
      <w:pPr>
        <w:ind w:left="1520" w:hanging="451"/>
        <w:jc w:val="left"/>
      </w:pPr>
      <w:rPr>
        <w:rFonts w:hint="default" w:ascii="Times New Roman" w:hAnsi="Times New Roman" w:eastAsia="Times New Roman" w:cs="Times New Roman"/>
        <w:b/>
        <w:bCs/>
        <w:i w:val="0"/>
        <w:iCs w:val="0"/>
        <w:color w:val="FFFFFF"/>
        <w:w w:val="100"/>
        <w:sz w:val="24"/>
        <w:szCs w:val="24"/>
        <w:shd w:fill="EAB8A3" w:color="auto" w:val="clear"/>
        <w:lang w:val="sq-AL" w:eastAsia="en-US" w:bidi="ar-SA"/>
      </w:rPr>
    </w:lvl>
    <w:lvl w:ilvl="2">
      <w:start w:val="0"/>
      <w:numFmt w:val="bullet"/>
      <w:lvlText w:val="•"/>
      <w:lvlJc w:val="left"/>
      <w:pPr>
        <w:ind w:left="2633" w:hanging="451"/>
      </w:pPr>
      <w:rPr>
        <w:rFonts w:hint="default"/>
        <w:lang w:val="sq-AL" w:eastAsia="en-US" w:bidi="ar-SA"/>
      </w:rPr>
    </w:lvl>
    <w:lvl w:ilvl="3">
      <w:start w:val="0"/>
      <w:numFmt w:val="bullet"/>
      <w:lvlText w:val="•"/>
      <w:lvlJc w:val="left"/>
      <w:pPr>
        <w:ind w:left="3746" w:hanging="451"/>
      </w:pPr>
      <w:rPr>
        <w:rFonts w:hint="default"/>
        <w:lang w:val="sq-AL" w:eastAsia="en-US" w:bidi="ar-SA"/>
      </w:rPr>
    </w:lvl>
    <w:lvl w:ilvl="4">
      <w:start w:val="0"/>
      <w:numFmt w:val="bullet"/>
      <w:lvlText w:val="•"/>
      <w:lvlJc w:val="left"/>
      <w:pPr>
        <w:ind w:left="4860" w:hanging="451"/>
      </w:pPr>
      <w:rPr>
        <w:rFonts w:hint="default"/>
        <w:lang w:val="sq-AL" w:eastAsia="en-US" w:bidi="ar-SA"/>
      </w:rPr>
    </w:lvl>
    <w:lvl w:ilvl="5">
      <w:start w:val="0"/>
      <w:numFmt w:val="bullet"/>
      <w:lvlText w:val="•"/>
      <w:lvlJc w:val="left"/>
      <w:pPr>
        <w:ind w:left="5973" w:hanging="451"/>
      </w:pPr>
      <w:rPr>
        <w:rFonts w:hint="default"/>
        <w:lang w:val="sq-AL" w:eastAsia="en-US" w:bidi="ar-SA"/>
      </w:rPr>
    </w:lvl>
    <w:lvl w:ilvl="6">
      <w:start w:val="0"/>
      <w:numFmt w:val="bullet"/>
      <w:lvlText w:val="•"/>
      <w:lvlJc w:val="left"/>
      <w:pPr>
        <w:ind w:left="7086" w:hanging="451"/>
      </w:pPr>
      <w:rPr>
        <w:rFonts w:hint="default"/>
        <w:lang w:val="sq-AL" w:eastAsia="en-US" w:bidi="ar-SA"/>
      </w:rPr>
    </w:lvl>
    <w:lvl w:ilvl="7">
      <w:start w:val="0"/>
      <w:numFmt w:val="bullet"/>
      <w:lvlText w:val="•"/>
      <w:lvlJc w:val="left"/>
      <w:pPr>
        <w:ind w:left="8200" w:hanging="451"/>
      </w:pPr>
      <w:rPr>
        <w:rFonts w:hint="default"/>
        <w:lang w:val="sq-AL" w:eastAsia="en-US" w:bidi="ar-SA"/>
      </w:rPr>
    </w:lvl>
    <w:lvl w:ilvl="8">
      <w:start w:val="0"/>
      <w:numFmt w:val="bullet"/>
      <w:lvlText w:val="•"/>
      <w:lvlJc w:val="left"/>
      <w:pPr>
        <w:ind w:left="9313" w:hanging="451"/>
      </w:pPr>
      <w:rPr>
        <w:rFonts w:hint="default"/>
        <w:lang w:val="sq-AL" w:eastAsia="en-US" w:bidi="ar-SA"/>
      </w:rPr>
    </w:lvl>
  </w:abstractNum>
  <w:abstractNum w:abstractNumId="8">
    <w:multiLevelType w:val="hybridMultilevel"/>
    <w:lvl w:ilvl="0">
      <w:start w:val="3"/>
      <w:numFmt w:val="decimal"/>
      <w:lvlText w:val="%1"/>
      <w:lvlJc w:val="left"/>
      <w:pPr>
        <w:ind w:left="1460" w:hanging="751"/>
        <w:jc w:val="left"/>
      </w:pPr>
      <w:rPr>
        <w:rFonts w:hint="default"/>
        <w:lang w:val="sq-AL" w:eastAsia="en-US" w:bidi="ar-SA"/>
      </w:rPr>
    </w:lvl>
    <w:lvl w:ilvl="1">
      <w:start w:val="4"/>
      <w:numFmt w:val="decimal"/>
      <w:lvlText w:val="%1.%2."/>
      <w:lvlJc w:val="left"/>
      <w:pPr>
        <w:ind w:left="1460" w:hanging="751"/>
        <w:jc w:val="left"/>
      </w:pPr>
      <w:rPr>
        <w:rFonts w:hint="default" w:ascii="Times New Roman" w:hAnsi="Times New Roman" w:eastAsia="Times New Roman" w:cs="Times New Roman"/>
        <w:b/>
        <w:bCs/>
        <w:i w:val="0"/>
        <w:iCs w:val="0"/>
        <w:w w:val="100"/>
        <w:sz w:val="24"/>
        <w:szCs w:val="24"/>
        <w:shd w:fill="EAB8A3" w:color="auto" w:val="clear"/>
        <w:lang w:val="sq-AL" w:eastAsia="en-US" w:bidi="ar-SA"/>
      </w:rPr>
    </w:lvl>
    <w:lvl w:ilvl="2">
      <w:start w:val="0"/>
      <w:numFmt w:val="bullet"/>
      <w:lvlText w:val="•"/>
      <w:lvlJc w:val="left"/>
      <w:pPr>
        <w:ind w:left="3476" w:hanging="751"/>
      </w:pPr>
      <w:rPr>
        <w:rFonts w:hint="default"/>
        <w:lang w:val="sq-AL" w:eastAsia="en-US" w:bidi="ar-SA"/>
      </w:rPr>
    </w:lvl>
    <w:lvl w:ilvl="3">
      <w:start w:val="0"/>
      <w:numFmt w:val="bullet"/>
      <w:lvlText w:val="•"/>
      <w:lvlJc w:val="left"/>
      <w:pPr>
        <w:ind w:left="4484" w:hanging="751"/>
      </w:pPr>
      <w:rPr>
        <w:rFonts w:hint="default"/>
        <w:lang w:val="sq-AL" w:eastAsia="en-US" w:bidi="ar-SA"/>
      </w:rPr>
    </w:lvl>
    <w:lvl w:ilvl="4">
      <w:start w:val="0"/>
      <w:numFmt w:val="bullet"/>
      <w:lvlText w:val="•"/>
      <w:lvlJc w:val="left"/>
      <w:pPr>
        <w:ind w:left="5492" w:hanging="751"/>
      </w:pPr>
      <w:rPr>
        <w:rFonts w:hint="default"/>
        <w:lang w:val="sq-AL" w:eastAsia="en-US" w:bidi="ar-SA"/>
      </w:rPr>
    </w:lvl>
    <w:lvl w:ilvl="5">
      <w:start w:val="0"/>
      <w:numFmt w:val="bullet"/>
      <w:lvlText w:val="•"/>
      <w:lvlJc w:val="left"/>
      <w:pPr>
        <w:ind w:left="6500" w:hanging="751"/>
      </w:pPr>
      <w:rPr>
        <w:rFonts w:hint="default"/>
        <w:lang w:val="sq-AL" w:eastAsia="en-US" w:bidi="ar-SA"/>
      </w:rPr>
    </w:lvl>
    <w:lvl w:ilvl="6">
      <w:start w:val="0"/>
      <w:numFmt w:val="bullet"/>
      <w:lvlText w:val="•"/>
      <w:lvlJc w:val="left"/>
      <w:pPr>
        <w:ind w:left="7508" w:hanging="751"/>
      </w:pPr>
      <w:rPr>
        <w:rFonts w:hint="default"/>
        <w:lang w:val="sq-AL" w:eastAsia="en-US" w:bidi="ar-SA"/>
      </w:rPr>
    </w:lvl>
    <w:lvl w:ilvl="7">
      <w:start w:val="0"/>
      <w:numFmt w:val="bullet"/>
      <w:lvlText w:val="•"/>
      <w:lvlJc w:val="left"/>
      <w:pPr>
        <w:ind w:left="8516" w:hanging="751"/>
      </w:pPr>
      <w:rPr>
        <w:rFonts w:hint="default"/>
        <w:lang w:val="sq-AL" w:eastAsia="en-US" w:bidi="ar-SA"/>
      </w:rPr>
    </w:lvl>
    <w:lvl w:ilvl="8">
      <w:start w:val="0"/>
      <w:numFmt w:val="bullet"/>
      <w:lvlText w:val="•"/>
      <w:lvlJc w:val="left"/>
      <w:pPr>
        <w:ind w:left="9524" w:hanging="751"/>
      </w:pPr>
      <w:rPr>
        <w:rFonts w:hint="default"/>
        <w:lang w:val="sq-AL" w:eastAsia="en-US" w:bidi="ar-SA"/>
      </w:rPr>
    </w:lvl>
  </w:abstractNum>
  <w:abstractNum w:abstractNumId="7">
    <w:multiLevelType w:val="hybridMultilevel"/>
    <w:lvl w:ilvl="0">
      <w:start w:val="0"/>
      <w:numFmt w:val="bullet"/>
      <w:lvlText w:val="•"/>
      <w:lvlJc w:val="left"/>
      <w:pPr>
        <w:ind w:left="90" w:hanging="90"/>
      </w:pPr>
      <w:rPr>
        <w:rFonts w:hint="default" w:ascii="Calibri" w:hAnsi="Calibri" w:eastAsia="Calibri" w:cs="Calibri"/>
        <w:b w:val="0"/>
        <w:bCs w:val="0"/>
        <w:i w:val="0"/>
        <w:iCs w:val="0"/>
        <w:w w:val="100"/>
        <w:sz w:val="14"/>
        <w:szCs w:val="14"/>
        <w:lang w:val="sq-AL" w:eastAsia="en-US" w:bidi="ar-SA"/>
      </w:rPr>
    </w:lvl>
    <w:lvl w:ilvl="1">
      <w:start w:val="0"/>
      <w:numFmt w:val="bullet"/>
      <w:lvlText w:val="•"/>
      <w:lvlJc w:val="left"/>
      <w:pPr>
        <w:ind w:left="256" w:hanging="90"/>
      </w:pPr>
      <w:rPr>
        <w:rFonts w:hint="default"/>
        <w:lang w:val="sq-AL" w:eastAsia="en-US" w:bidi="ar-SA"/>
      </w:rPr>
    </w:lvl>
    <w:lvl w:ilvl="2">
      <w:start w:val="0"/>
      <w:numFmt w:val="bullet"/>
      <w:lvlText w:val="•"/>
      <w:lvlJc w:val="left"/>
      <w:pPr>
        <w:ind w:left="412" w:hanging="90"/>
      </w:pPr>
      <w:rPr>
        <w:rFonts w:hint="default"/>
        <w:lang w:val="sq-AL" w:eastAsia="en-US" w:bidi="ar-SA"/>
      </w:rPr>
    </w:lvl>
    <w:lvl w:ilvl="3">
      <w:start w:val="0"/>
      <w:numFmt w:val="bullet"/>
      <w:lvlText w:val="•"/>
      <w:lvlJc w:val="left"/>
      <w:pPr>
        <w:ind w:left="569" w:hanging="90"/>
      </w:pPr>
      <w:rPr>
        <w:rFonts w:hint="default"/>
        <w:lang w:val="sq-AL" w:eastAsia="en-US" w:bidi="ar-SA"/>
      </w:rPr>
    </w:lvl>
    <w:lvl w:ilvl="4">
      <w:start w:val="0"/>
      <w:numFmt w:val="bullet"/>
      <w:lvlText w:val="•"/>
      <w:lvlJc w:val="left"/>
      <w:pPr>
        <w:ind w:left="725" w:hanging="90"/>
      </w:pPr>
      <w:rPr>
        <w:rFonts w:hint="default"/>
        <w:lang w:val="sq-AL" w:eastAsia="en-US" w:bidi="ar-SA"/>
      </w:rPr>
    </w:lvl>
    <w:lvl w:ilvl="5">
      <w:start w:val="0"/>
      <w:numFmt w:val="bullet"/>
      <w:lvlText w:val="•"/>
      <w:lvlJc w:val="left"/>
      <w:pPr>
        <w:ind w:left="881" w:hanging="90"/>
      </w:pPr>
      <w:rPr>
        <w:rFonts w:hint="default"/>
        <w:lang w:val="sq-AL" w:eastAsia="en-US" w:bidi="ar-SA"/>
      </w:rPr>
    </w:lvl>
    <w:lvl w:ilvl="6">
      <w:start w:val="0"/>
      <w:numFmt w:val="bullet"/>
      <w:lvlText w:val="•"/>
      <w:lvlJc w:val="left"/>
      <w:pPr>
        <w:ind w:left="1038" w:hanging="90"/>
      </w:pPr>
      <w:rPr>
        <w:rFonts w:hint="default"/>
        <w:lang w:val="sq-AL" w:eastAsia="en-US" w:bidi="ar-SA"/>
      </w:rPr>
    </w:lvl>
    <w:lvl w:ilvl="7">
      <w:start w:val="0"/>
      <w:numFmt w:val="bullet"/>
      <w:lvlText w:val="•"/>
      <w:lvlJc w:val="left"/>
      <w:pPr>
        <w:ind w:left="1194" w:hanging="90"/>
      </w:pPr>
      <w:rPr>
        <w:rFonts w:hint="default"/>
        <w:lang w:val="sq-AL" w:eastAsia="en-US" w:bidi="ar-SA"/>
      </w:rPr>
    </w:lvl>
    <w:lvl w:ilvl="8">
      <w:start w:val="0"/>
      <w:numFmt w:val="bullet"/>
      <w:lvlText w:val="•"/>
      <w:lvlJc w:val="left"/>
      <w:pPr>
        <w:ind w:left="1350" w:hanging="90"/>
      </w:pPr>
      <w:rPr>
        <w:rFonts w:hint="default"/>
        <w:lang w:val="sq-AL" w:eastAsia="en-US" w:bidi="ar-SA"/>
      </w:rPr>
    </w:lvl>
  </w:abstractNum>
  <w:abstractNum w:abstractNumId="6">
    <w:multiLevelType w:val="hybridMultilevel"/>
    <w:lvl w:ilvl="0">
      <w:start w:val="0"/>
      <w:numFmt w:val="bullet"/>
      <w:lvlText w:val="•"/>
      <w:lvlJc w:val="left"/>
      <w:pPr>
        <w:ind w:left="90" w:hanging="90"/>
      </w:pPr>
      <w:rPr>
        <w:rFonts w:hint="default" w:ascii="Calibri" w:hAnsi="Calibri" w:eastAsia="Calibri" w:cs="Calibri"/>
        <w:b w:val="0"/>
        <w:bCs w:val="0"/>
        <w:i w:val="0"/>
        <w:iCs w:val="0"/>
        <w:w w:val="100"/>
        <w:sz w:val="14"/>
        <w:szCs w:val="14"/>
        <w:lang w:val="sq-AL" w:eastAsia="en-US" w:bidi="ar-SA"/>
      </w:rPr>
    </w:lvl>
    <w:lvl w:ilvl="1">
      <w:start w:val="0"/>
      <w:numFmt w:val="bullet"/>
      <w:lvlText w:val="•"/>
      <w:lvlJc w:val="left"/>
      <w:pPr>
        <w:ind w:left="249" w:hanging="90"/>
      </w:pPr>
      <w:rPr>
        <w:rFonts w:hint="default"/>
        <w:lang w:val="sq-AL" w:eastAsia="en-US" w:bidi="ar-SA"/>
      </w:rPr>
    </w:lvl>
    <w:lvl w:ilvl="2">
      <w:start w:val="0"/>
      <w:numFmt w:val="bullet"/>
      <w:lvlText w:val="•"/>
      <w:lvlJc w:val="left"/>
      <w:pPr>
        <w:ind w:left="399" w:hanging="90"/>
      </w:pPr>
      <w:rPr>
        <w:rFonts w:hint="default"/>
        <w:lang w:val="sq-AL" w:eastAsia="en-US" w:bidi="ar-SA"/>
      </w:rPr>
    </w:lvl>
    <w:lvl w:ilvl="3">
      <w:start w:val="0"/>
      <w:numFmt w:val="bullet"/>
      <w:lvlText w:val="•"/>
      <w:lvlJc w:val="left"/>
      <w:pPr>
        <w:ind w:left="549" w:hanging="90"/>
      </w:pPr>
      <w:rPr>
        <w:rFonts w:hint="default"/>
        <w:lang w:val="sq-AL" w:eastAsia="en-US" w:bidi="ar-SA"/>
      </w:rPr>
    </w:lvl>
    <w:lvl w:ilvl="4">
      <w:start w:val="0"/>
      <w:numFmt w:val="bullet"/>
      <w:lvlText w:val="•"/>
      <w:lvlJc w:val="left"/>
      <w:pPr>
        <w:ind w:left="699" w:hanging="90"/>
      </w:pPr>
      <w:rPr>
        <w:rFonts w:hint="default"/>
        <w:lang w:val="sq-AL" w:eastAsia="en-US" w:bidi="ar-SA"/>
      </w:rPr>
    </w:lvl>
    <w:lvl w:ilvl="5">
      <w:start w:val="0"/>
      <w:numFmt w:val="bullet"/>
      <w:lvlText w:val="•"/>
      <w:lvlJc w:val="left"/>
      <w:pPr>
        <w:ind w:left="849" w:hanging="90"/>
      </w:pPr>
      <w:rPr>
        <w:rFonts w:hint="default"/>
        <w:lang w:val="sq-AL" w:eastAsia="en-US" w:bidi="ar-SA"/>
      </w:rPr>
    </w:lvl>
    <w:lvl w:ilvl="6">
      <w:start w:val="0"/>
      <w:numFmt w:val="bullet"/>
      <w:lvlText w:val="•"/>
      <w:lvlJc w:val="left"/>
      <w:pPr>
        <w:ind w:left="999" w:hanging="90"/>
      </w:pPr>
      <w:rPr>
        <w:rFonts w:hint="default"/>
        <w:lang w:val="sq-AL" w:eastAsia="en-US" w:bidi="ar-SA"/>
      </w:rPr>
    </w:lvl>
    <w:lvl w:ilvl="7">
      <w:start w:val="0"/>
      <w:numFmt w:val="bullet"/>
      <w:lvlText w:val="•"/>
      <w:lvlJc w:val="left"/>
      <w:pPr>
        <w:ind w:left="1149" w:hanging="90"/>
      </w:pPr>
      <w:rPr>
        <w:rFonts w:hint="default"/>
        <w:lang w:val="sq-AL" w:eastAsia="en-US" w:bidi="ar-SA"/>
      </w:rPr>
    </w:lvl>
    <w:lvl w:ilvl="8">
      <w:start w:val="0"/>
      <w:numFmt w:val="bullet"/>
      <w:lvlText w:val="•"/>
      <w:lvlJc w:val="left"/>
      <w:pPr>
        <w:ind w:left="1299" w:hanging="90"/>
      </w:pPr>
      <w:rPr>
        <w:rFonts w:hint="default"/>
        <w:lang w:val="sq-AL" w:eastAsia="en-US" w:bidi="ar-SA"/>
      </w:rPr>
    </w:lvl>
  </w:abstractNum>
  <w:abstractNum w:abstractNumId="5">
    <w:multiLevelType w:val="hybridMultilevel"/>
    <w:lvl w:ilvl="0">
      <w:start w:val="0"/>
      <w:numFmt w:val="bullet"/>
      <w:lvlText w:val="•"/>
      <w:lvlJc w:val="left"/>
      <w:pPr>
        <w:ind w:left="90" w:hanging="90"/>
      </w:pPr>
      <w:rPr>
        <w:rFonts w:hint="default" w:ascii="Calibri" w:hAnsi="Calibri" w:eastAsia="Calibri" w:cs="Calibri"/>
        <w:b w:val="0"/>
        <w:bCs w:val="0"/>
        <w:i w:val="0"/>
        <w:iCs w:val="0"/>
        <w:w w:val="100"/>
        <w:sz w:val="14"/>
        <w:szCs w:val="14"/>
        <w:lang w:val="sq-AL" w:eastAsia="en-US" w:bidi="ar-SA"/>
      </w:rPr>
    </w:lvl>
    <w:lvl w:ilvl="1">
      <w:start w:val="0"/>
      <w:numFmt w:val="bullet"/>
      <w:lvlText w:val="•"/>
      <w:lvlJc w:val="left"/>
      <w:pPr>
        <w:ind w:left="277" w:hanging="90"/>
      </w:pPr>
      <w:rPr>
        <w:rFonts w:hint="default"/>
        <w:lang w:val="sq-AL" w:eastAsia="en-US" w:bidi="ar-SA"/>
      </w:rPr>
    </w:lvl>
    <w:lvl w:ilvl="2">
      <w:start w:val="0"/>
      <w:numFmt w:val="bullet"/>
      <w:lvlText w:val="•"/>
      <w:lvlJc w:val="left"/>
      <w:pPr>
        <w:ind w:left="455" w:hanging="90"/>
      </w:pPr>
      <w:rPr>
        <w:rFonts w:hint="default"/>
        <w:lang w:val="sq-AL" w:eastAsia="en-US" w:bidi="ar-SA"/>
      </w:rPr>
    </w:lvl>
    <w:lvl w:ilvl="3">
      <w:start w:val="0"/>
      <w:numFmt w:val="bullet"/>
      <w:lvlText w:val="•"/>
      <w:lvlJc w:val="left"/>
      <w:pPr>
        <w:ind w:left="633" w:hanging="90"/>
      </w:pPr>
      <w:rPr>
        <w:rFonts w:hint="default"/>
        <w:lang w:val="sq-AL" w:eastAsia="en-US" w:bidi="ar-SA"/>
      </w:rPr>
    </w:lvl>
    <w:lvl w:ilvl="4">
      <w:start w:val="0"/>
      <w:numFmt w:val="bullet"/>
      <w:lvlText w:val="•"/>
      <w:lvlJc w:val="left"/>
      <w:pPr>
        <w:ind w:left="810" w:hanging="90"/>
      </w:pPr>
      <w:rPr>
        <w:rFonts w:hint="default"/>
        <w:lang w:val="sq-AL" w:eastAsia="en-US" w:bidi="ar-SA"/>
      </w:rPr>
    </w:lvl>
    <w:lvl w:ilvl="5">
      <w:start w:val="0"/>
      <w:numFmt w:val="bullet"/>
      <w:lvlText w:val="•"/>
      <w:lvlJc w:val="left"/>
      <w:pPr>
        <w:ind w:left="988" w:hanging="90"/>
      </w:pPr>
      <w:rPr>
        <w:rFonts w:hint="default"/>
        <w:lang w:val="sq-AL" w:eastAsia="en-US" w:bidi="ar-SA"/>
      </w:rPr>
    </w:lvl>
    <w:lvl w:ilvl="6">
      <w:start w:val="0"/>
      <w:numFmt w:val="bullet"/>
      <w:lvlText w:val="•"/>
      <w:lvlJc w:val="left"/>
      <w:pPr>
        <w:ind w:left="1166" w:hanging="90"/>
      </w:pPr>
      <w:rPr>
        <w:rFonts w:hint="default"/>
        <w:lang w:val="sq-AL" w:eastAsia="en-US" w:bidi="ar-SA"/>
      </w:rPr>
    </w:lvl>
    <w:lvl w:ilvl="7">
      <w:start w:val="0"/>
      <w:numFmt w:val="bullet"/>
      <w:lvlText w:val="•"/>
      <w:lvlJc w:val="left"/>
      <w:pPr>
        <w:ind w:left="1343" w:hanging="90"/>
      </w:pPr>
      <w:rPr>
        <w:rFonts w:hint="default"/>
        <w:lang w:val="sq-AL" w:eastAsia="en-US" w:bidi="ar-SA"/>
      </w:rPr>
    </w:lvl>
    <w:lvl w:ilvl="8">
      <w:start w:val="0"/>
      <w:numFmt w:val="bullet"/>
      <w:lvlText w:val="•"/>
      <w:lvlJc w:val="left"/>
      <w:pPr>
        <w:ind w:left="1521" w:hanging="90"/>
      </w:pPr>
      <w:rPr>
        <w:rFonts w:hint="default"/>
        <w:lang w:val="sq-AL" w:eastAsia="en-US" w:bidi="ar-SA"/>
      </w:rPr>
    </w:lvl>
  </w:abstractNum>
  <w:abstractNum w:abstractNumId="4">
    <w:multiLevelType w:val="hybridMultilevel"/>
    <w:lvl w:ilvl="0">
      <w:start w:val="0"/>
      <w:numFmt w:val="bullet"/>
      <w:lvlText w:val="•"/>
      <w:lvlJc w:val="left"/>
      <w:pPr>
        <w:ind w:left="90" w:hanging="90"/>
      </w:pPr>
      <w:rPr>
        <w:rFonts w:hint="default" w:ascii="Calibri" w:hAnsi="Calibri" w:eastAsia="Calibri" w:cs="Calibri"/>
        <w:b w:val="0"/>
        <w:bCs w:val="0"/>
        <w:i w:val="0"/>
        <w:iCs w:val="0"/>
        <w:w w:val="100"/>
        <w:sz w:val="14"/>
        <w:szCs w:val="14"/>
        <w:lang w:val="sq-AL" w:eastAsia="en-US" w:bidi="ar-SA"/>
      </w:rPr>
    </w:lvl>
    <w:lvl w:ilvl="1">
      <w:start w:val="0"/>
      <w:numFmt w:val="bullet"/>
      <w:lvlText w:val="•"/>
      <w:lvlJc w:val="left"/>
      <w:pPr>
        <w:ind w:left="252" w:hanging="90"/>
      </w:pPr>
      <w:rPr>
        <w:rFonts w:hint="default"/>
        <w:lang w:val="sq-AL" w:eastAsia="en-US" w:bidi="ar-SA"/>
      </w:rPr>
    </w:lvl>
    <w:lvl w:ilvl="2">
      <w:start w:val="0"/>
      <w:numFmt w:val="bullet"/>
      <w:lvlText w:val="•"/>
      <w:lvlJc w:val="left"/>
      <w:pPr>
        <w:ind w:left="405" w:hanging="90"/>
      </w:pPr>
      <w:rPr>
        <w:rFonts w:hint="default"/>
        <w:lang w:val="sq-AL" w:eastAsia="en-US" w:bidi="ar-SA"/>
      </w:rPr>
    </w:lvl>
    <w:lvl w:ilvl="3">
      <w:start w:val="0"/>
      <w:numFmt w:val="bullet"/>
      <w:lvlText w:val="•"/>
      <w:lvlJc w:val="left"/>
      <w:pPr>
        <w:ind w:left="558" w:hanging="90"/>
      </w:pPr>
      <w:rPr>
        <w:rFonts w:hint="default"/>
        <w:lang w:val="sq-AL" w:eastAsia="en-US" w:bidi="ar-SA"/>
      </w:rPr>
    </w:lvl>
    <w:lvl w:ilvl="4">
      <w:start w:val="0"/>
      <w:numFmt w:val="bullet"/>
      <w:lvlText w:val="•"/>
      <w:lvlJc w:val="left"/>
      <w:pPr>
        <w:ind w:left="711" w:hanging="90"/>
      </w:pPr>
      <w:rPr>
        <w:rFonts w:hint="default"/>
        <w:lang w:val="sq-AL" w:eastAsia="en-US" w:bidi="ar-SA"/>
      </w:rPr>
    </w:lvl>
    <w:lvl w:ilvl="5">
      <w:start w:val="0"/>
      <w:numFmt w:val="bullet"/>
      <w:lvlText w:val="•"/>
      <w:lvlJc w:val="left"/>
      <w:pPr>
        <w:ind w:left="864" w:hanging="90"/>
      </w:pPr>
      <w:rPr>
        <w:rFonts w:hint="default"/>
        <w:lang w:val="sq-AL" w:eastAsia="en-US" w:bidi="ar-SA"/>
      </w:rPr>
    </w:lvl>
    <w:lvl w:ilvl="6">
      <w:start w:val="0"/>
      <w:numFmt w:val="bullet"/>
      <w:lvlText w:val="•"/>
      <w:lvlJc w:val="left"/>
      <w:pPr>
        <w:ind w:left="1017" w:hanging="90"/>
      </w:pPr>
      <w:rPr>
        <w:rFonts w:hint="default"/>
        <w:lang w:val="sq-AL" w:eastAsia="en-US" w:bidi="ar-SA"/>
      </w:rPr>
    </w:lvl>
    <w:lvl w:ilvl="7">
      <w:start w:val="0"/>
      <w:numFmt w:val="bullet"/>
      <w:lvlText w:val="•"/>
      <w:lvlJc w:val="left"/>
      <w:pPr>
        <w:ind w:left="1170" w:hanging="90"/>
      </w:pPr>
      <w:rPr>
        <w:rFonts w:hint="default"/>
        <w:lang w:val="sq-AL" w:eastAsia="en-US" w:bidi="ar-SA"/>
      </w:rPr>
    </w:lvl>
    <w:lvl w:ilvl="8">
      <w:start w:val="0"/>
      <w:numFmt w:val="bullet"/>
      <w:lvlText w:val="•"/>
      <w:lvlJc w:val="left"/>
      <w:pPr>
        <w:ind w:left="1323" w:hanging="90"/>
      </w:pPr>
      <w:rPr>
        <w:rFonts w:hint="default"/>
        <w:lang w:val="sq-AL" w:eastAsia="en-US" w:bidi="ar-SA"/>
      </w:rPr>
    </w:lvl>
  </w:abstractNum>
  <w:abstractNum w:abstractNumId="3">
    <w:multiLevelType w:val="hybridMultilevel"/>
    <w:lvl w:ilvl="0">
      <w:start w:val="1"/>
      <w:numFmt w:val="decimal"/>
      <w:lvlText w:val="%1."/>
      <w:lvlJc w:val="left"/>
      <w:pPr>
        <w:ind w:left="2733" w:hanging="360"/>
        <w:jc w:val="right"/>
      </w:pPr>
      <w:rPr>
        <w:rFonts w:hint="default"/>
        <w:w w:val="100"/>
        <w:lang w:val="sq-AL" w:eastAsia="en-US" w:bidi="ar-SA"/>
      </w:rPr>
    </w:lvl>
    <w:lvl w:ilvl="1">
      <w:start w:val="1"/>
      <w:numFmt w:val="decimal"/>
      <w:lvlText w:val="%1.%2."/>
      <w:lvlJc w:val="left"/>
      <w:pPr>
        <w:ind w:left="1460" w:hanging="751"/>
        <w:jc w:val="left"/>
      </w:pPr>
      <w:rPr>
        <w:rFonts w:hint="default" w:ascii="Times New Roman" w:hAnsi="Times New Roman" w:eastAsia="Times New Roman" w:cs="Times New Roman"/>
        <w:b/>
        <w:bCs/>
        <w:i w:val="0"/>
        <w:iCs w:val="0"/>
        <w:w w:val="100"/>
        <w:sz w:val="24"/>
        <w:szCs w:val="24"/>
        <w:shd w:fill="EAB8A3" w:color="auto" w:val="clear"/>
        <w:lang w:val="sq-AL" w:eastAsia="en-US" w:bidi="ar-SA"/>
      </w:rPr>
    </w:lvl>
    <w:lvl w:ilvl="2">
      <w:start w:val="0"/>
      <w:numFmt w:val="bullet"/>
      <w:lvlText w:val="•"/>
      <w:lvlJc w:val="left"/>
      <w:pPr>
        <w:ind w:left="2740" w:hanging="751"/>
      </w:pPr>
      <w:rPr>
        <w:rFonts w:hint="default"/>
        <w:lang w:val="sq-AL" w:eastAsia="en-US" w:bidi="ar-SA"/>
      </w:rPr>
    </w:lvl>
    <w:lvl w:ilvl="3">
      <w:start w:val="0"/>
      <w:numFmt w:val="bullet"/>
      <w:lvlText w:val="•"/>
      <w:lvlJc w:val="left"/>
      <w:pPr>
        <w:ind w:left="3840" w:hanging="751"/>
      </w:pPr>
      <w:rPr>
        <w:rFonts w:hint="default"/>
        <w:lang w:val="sq-AL" w:eastAsia="en-US" w:bidi="ar-SA"/>
      </w:rPr>
    </w:lvl>
    <w:lvl w:ilvl="4">
      <w:start w:val="0"/>
      <w:numFmt w:val="bullet"/>
      <w:lvlText w:val="•"/>
      <w:lvlJc w:val="left"/>
      <w:pPr>
        <w:ind w:left="4940" w:hanging="751"/>
      </w:pPr>
      <w:rPr>
        <w:rFonts w:hint="default"/>
        <w:lang w:val="sq-AL" w:eastAsia="en-US" w:bidi="ar-SA"/>
      </w:rPr>
    </w:lvl>
    <w:lvl w:ilvl="5">
      <w:start w:val="0"/>
      <w:numFmt w:val="bullet"/>
      <w:lvlText w:val="•"/>
      <w:lvlJc w:val="left"/>
      <w:pPr>
        <w:ind w:left="6040" w:hanging="751"/>
      </w:pPr>
      <w:rPr>
        <w:rFonts w:hint="default"/>
        <w:lang w:val="sq-AL" w:eastAsia="en-US" w:bidi="ar-SA"/>
      </w:rPr>
    </w:lvl>
    <w:lvl w:ilvl="6">
      <w:start w:val="0"/>
      <w:numFmt w:val="bullet"/>
      <w:lvlText w:val="•"/>
      <w:lvlJc w:val="left"/>
      <w:pPr>
        <w:ind w:left="7140" w:hanging="751"/>
      </w:pPr>
      <w:rPr>
        <w:rFonts w:hint="default"/>
        <w:lang w:val="sq-AL" w:eastAsia="en-US" w:bidi="ar-SA"/>
      </w:rPr>
    </w:lvl>
    <w:lvl w:ilvl="7">
      <w:start w:val="0"/>
      <w:numFmt w:val="bullet"/>
      <w:lvlText w:val="•"/>
      <w:lvlJc w:val="left"/>
      <w:pPr>
        <w:ind w:left="8240" w:hanging="751"/>
      </w:pPr>
      <w:rPr>
        <w:rFonts w:hint="default"/>
        <w:lang w:val="sq-AL" w:eastAsia="en-US" w:bidi="ar-SA"/>
      </w:rPr>
    </w:lvl>
    <w:lvl w:ilvl="8">
      <w:start w:val="0"/>
      <w:numFmt w:val="bullet"/>
      <w:lvlText w:val="•"/>
      <w:lvlJc w:val="left"/>
      <w:pPr>
        <w:ind w:left="9340" w:hanging="751"/>
      </w:pPr>
      <w:rPr>
        <w:rFonts w:hint="default"/>
        <w:lang w:val="sq-AL" w:eastAsia="en-US" w:bidi="ar-SA"/>
      </w:rPr>
    </w:lvl>
  </w:abstractNum>
  <w:abstractNum w:abstractNumId="2">
    <w:multiLevelType w:val="hybridMultilevel"/>
    <w:lvl w:ilvl="0">
      <w:start w:val="1"/>
      <w:numFmt w:val="decimal"/>
      <w:lvlText w:val="%1."/>
      <w:lvlJc w:val="left"/>
      <w:pPr>
        <w:ind w:left="1460" w:hanging="361"/>
        <w:jc w:val="left"/>
      </w:pPr>
      <w:rPr>
        <w:rFonts w:hint="default" w:ascii="Times New Roman" w:hAnsi="Times New Roman" w:eastAsia="Times New Roman" w:cs="Times New Roman"/>
        <w:b w:val="0"/>
        <w:bCs w:val="0"/>
        <w:i w:val="0"/>
        <w:iCs w:val="0"/>
        <w:w w:val="100"/>
        <w:sz w:val="24"/>
        <w:szCs w:val="24"/>
        <w:lang w:val="sq-AL" w:eastAsia="en-US" w:bidi="ar-SA"/>
      </w:rPr>
    </w:lvl>
    <w:lvl w:ilvl="1">
      <w:start w:val="0"/>
      <w:numFmt w:val="bullet"/>
      <w:lvlText w:val="•"/>
      <w:lvlJc w:val="left"/>
      <w:pPr>
        <w:ind w:left="2468" w:hanging="361"/>
      </w:pPr>
      <w:rPr>
        <w:rFonts w:hint="default"/>
        <w:lang w:val="sq-AL" w:eastAsia="en-US" w:bidi="ar-SA"/>
      </w:rPr>
    </w:lvl>
    <w:lvl w:ilvl="2">
      <w:start w:val="0"/>
      <w:numFmt w:val="bullet"/>
      <w:lvlText w:val="•"/>
      <w:lvlJc w:val="left"/>
      <w:pPr>
        <w:ind w:left="3476" w:hanging="361"/>
      </w:pPr>
      <w:rPr>
        <w:rFonts w:hint="default"/>
        <w:lang w:val="sq-AL" w:eastAsia="en-US" w:bidi="ar-SA"/>
      </w:rPr>
    </w:lvl>
    <w:lvl w:ilvl="3">
      <w:start w:val="0"/>
      <w:numFmt w:val="bullet"/>
      <w:lvlText w:val="•"/>
      <w:lvlJc w:val="left"/>
      <w:pPr>
        <w:ind w:left="4484" w:hanging="361"/>
      </w:pPr>
      <w:rPr>
        <w:rFonts w:hint="default"/>
        <w:lang w:val="sq-AL" w:eastAsia="en-US" w:bidi="ar-SA"/>
      </w:rPr>
    </w:lvl>
    <w:lvl w:ilvl="4">
      <w:start w:val="0"/>
      <w:numFmt w:val="bullet"/>
      <w:lvlText w:val="•"/>
      <w:lvlJc w:val="left"/>
      <w:pPr>
        <w:ind w:left="5492" w:hanging="361"/>
      </w:pPr>
      <w:rPr>
        <w:rFonts w:hint="default"/>
        <w:lang w:val="sq-AL" w:eastAsia="en-US" w:bidi="ar-SA"/>
      </w:rPr>
    </w:lvl>
    <w:lvl w:ilvl="5">
      <w:start w:val="0"/>
      <w:numFmt w:val="bullet"/>
      <w:lvlText w:val="•"/>
      <w:lvlJc w:val="left"/>
      <w:pPr>
        <w:ind w:left="6500" w:hanging="361"/>
      </w:pPr>
      <w:rPr>
        <w:rFonts w:hint="default"/>
        <w:lang w:val="sq-AL" w:eastAsia="en-US" w:bidi="ar-SA"/>
      </w:rPr>
    </w:lvl>
    <w:lvl w:ilvl="6">
      <w:start w:val="0"/>
      <w:numFmt w:val="bullet"/>
      <w:lvlText w:val="•"/>
      <w:lvlJc w:val="left"/>
      <w:pPr>
        <w:ind w:left="7508" w:hanging="361"/>
      </w:pPr>
      <w:rPr>
        <w:rFonts w:hint="default"/>
        <w:lang w:val="sq-AL" w:eastAsia="en-US" w:bidi="ar-SA"/>
      </w:rPr>
    </w:lvl>
    <w:lvl w:ilvl="7">
      <w:start w:val="0"/>
      <w:numFmt w:val="bullet"/>
      <w:lvlText w:val="•"/>
      <w:lvlJc w:val="left"/>
      <w:pPr>
        <w:ind w:left="8516" w:hanging="361"/>
      </w:pPr>
      <w:rPr>
        <w:rFonts w:hint="default"/>
        <w:lang w:val="sq-AL" w:eastAsia="en-US" w:bidi="ar-SA"/>
      </w:rPr>
    </w:lvl>
    <w:lvl w:ilvl="8">
      <w:start w:val="0"/>
      <w:numFmt w:val="bullet"/>
      <w:lvlText w:val="•"/>
      <w:lvlJc w:val="left"/>
      <w:pPr>
        <w:ind w:left="9524" w:hanging="361"/>
      </w:pPr>
      <w:rPr>
        <w:rFonts w:hint="default"/>
        <w:lang w:val="sq-AL" w:eastAsia="en-US" w:bidi="ar-SA"/>
      </w:rPr>
    </w:lvl>
  </w:abstractNum>
  <w:abstractNum w:abstractNumId="1">
    <w:multiLevelType w:val="hybridMultilevel"/>
    <w:lvl w:ilvl="0">
      <w:start w:val="0"/>
      <w:numFmt w:val="bullet"/>
      <w:lvlText w:val=""/>
      <w:lvlJc w:val="left"/>
      <w:pPr>
        <w:ind w:left="631" w:hanging="272"/>
      </w:pPr>
      <w:rPr>
        <w:rFonts w:hint="default" w:ascii="Wingdings" w:hAnsi="Wingdings" w:eastAsia="Wingdings" w:cs="Wingdings"/>
        <w:b w:val="0"/>
        <w:bCs w:val="0"/>
        <w:i w:val="0"/>
        <w:iCs w:val="0"/>
        <w:w w:val="100"/>
        <w:sz w:val="28"/>
        <w:szCs w:val="28"/>
        <w:lang w:val="sq-AL" w:eastAsia="en-US" w:bidi="ar-SA"/>
      </w:rPr>
    </w:lvl>
    <w:lvl w:ilvl="1">
      <w:start w:val="0"/>
      <w:numFmt w:val="bullet"/>
      <w:lvlText w:val=""/>
      <w:lvlJc w:val="left"/>
      <w:pPr>
        <w:ind w:left="1980" w:hanging="180"/>
      </w:pPr>
      <w:rPr>
        <w:rFonts w:hint="default" w:ascii="Symbol" w:hAnsi="Symbol" w:eastAsia="Symbol" w:cs="Symbol"/>
        <w:w w:val="100"/>
        <w:lang w:val="sq-AL" w:eastAsia="en-US" w:bidi="ar-SA"/>
      </w:rPr>
    </w:lvl>
    <w:lvl w:ilvl="2">
      <w:start w:val="0"/>
      <w:numFmt w:val="bullet"/>
      <w:lvlText w:val="•"/>
      <w:lvlJc w:val="left"/>
      <w:pPr>
        <w:ind w:left="3040" w:hanging="180"/>
      </w:pPr>
      <w:rPr>
        <w:rFonts w:hint="default"/>
        <w:lang w:val="sq-AL" w:eastAsia="en-US" w:bidi="ar-SA"/>
      </w:rPr>
    </w:lvl>
    <w:lvl w:ilvl="3">
      <w:start w:val="0"/>
      <w:numFmt w:val="bullet"/>
      <w:lvlText w:val="•"/>
      <w:lvlJc w:val="left"/>
      <w:pPr>
        <w:ind w:left="4100" w:hanging="180"/>
      </w:pPr>
      <w:rPr>
        <w:rFonts w:hint="default"/>
        <w:lang w:val="sq-AL" w:eastAsia="en-US" w:bidi="ar-SA"/>
      </w:rPr>
    </w:lvl>
    <w:lvl w:ilvl="4">
      <w:start w:val="0"/>
      <w:numFmt w:val="bullet"/>
      <w:lvlText w:val="•"/>
      <w:lvlJc w:val="left"/>
      <w:pPr>
        <w:ind w:left="5160" w:hanging="180"/>
      </w:pPr>
      <w:rPr>
        <w:rFonts w:hint="default"/>
        <w:lang w:val="sq-AL" w:eastAsia="en-US" w:bidi="ar-SA"/>
      </w:rPr>
    </w:lvl>
    <w:lvl w:ilvl="5">
      <w:start w:val="0"/>
      <w:numFmt w:val="bullet"/>
      <w:lvlText w:val="•"/>
      <w:lvlJc w:val="left"/>
      <w:pPr>
        <w:ind w:left="6220" w:hanging="180"/>
      </w:pPr>
      <w:rPr>
        <w:rFonts w:hint="default"/>
        <w:lang w:val="sq-AL" w:eastAsia="en-US" w:bidi="ar-SA"/>
      </w:rPr>
    </w:lvl>
    <w:lvl w:ilvl="6">
      <w:start w:val="0"/>
      <w:numFmt w:val="bullet"/>
      <w:lvlText w:val="•"/>
      <w:lvlJc w:val="left"/>
      <w:pPr>
        <w:ind w:left="7280" w:hanging="180"/>
      </w:pPr>
      <w:rPr>
        <w:rFonts w:hint="default"/>
        <w:lang w:val="sq-AL" w:eastAsia="en-US" w:bidi="ar-SA"/>
      </w:rPr>
    </w:lvl>
    <w:lvl w:ilvl="7">
      <w:start w:val="0"/>
      <w:numFmt w:val="bullet"/>
      <w:lvlText w:val="•"/>
      <w:lvlJc w:val="left"/>
      <w:pPr>
        <w:ind w:left="8340" w:hanging="180"/>
      </w:pPr>
      <w:rPr>
        <w:rFonts w:hint="default"/>
        <w:lang w:val="sq-AL" w:eastAsia="en-US" w:bidi="ar-SA"/>
      </w:rPr>
    </w:lvl>
    <w:lvl w:ilvl="8">
      <w:start w:val="0"/>
      <w:numFmt w:val="bullet"/>
      <w:lvlText w:val="•"/>
      <w:lvlJc w:val="left"/>
      <w:pPr>
        <w:ind w:left="9400" w:hanging="180"/>
      </w:pPr>
      <w:rPr>
        <w:rFonts w:hint="default"/>
        <w:lang w:val="sq-AL" w:eastAsia="en-US" w:bidi="ar-SA"/>
      </w:rPr>
    </w:lvl>
  </w:abstractNum>
  <w:abstractNum w:abstractNumId="0">
    <w:multiLevelType w:val="hybridMultilevel"/>
    <w:lvl w:ilvl="0">
      <w:start w:val="0"/>
      <w:numFmt w:val="bullet"/>
      <w:lvlText w:val=""/>
      <w:lvlJc w:val="left"/>
      <w:pPr>
        <w:ind w:left="900" w:hanging="360"/>
      </w:pPr>
      <w:rPr>
        <w:rFonts w:hint="default" w:ascii="Symbol" w:hAnsi="Symbol" w:eastAsia="Symbol" w:cs="Symbol"/>
        <w:b w:val="0"/>
        <w:bCs w:val="0"/>
        <w:i w:val="0"/>
        <w:iCs w:val="0"/>
        <w:w w:val="99"/>
        <w:sz w:val="32"/>
        <w:szCs w:val="32"/>
        <w:shd w:fill="D9D9D9" w:color="auto" w:val="clear"/>
        <w:lang w:val="sq-AL" w:eastAsia="en-US" w:bidi="ar-SA"/>
      </w:rPr>
    </w:lvl>
    <w:lvl w:ilvl="1">
      <w:start w:val="0"/>
      <w:numFmt w:val="bullet"/>
      <w:lvlText w:val=""/>
      <w:lvlJc w:val="left"/>
      <w:pPr>
        <w:ind w:left="1440" w:hanging="360"/>
      </w:pPr>
      <w:rPr>
        <w:rFonts w:hint="default" w:ascii="Wingdings" w:hAnsi="Wingdings" w:eastAsia="Wingdings" w:cs="Wingdings"/>
        <w:b w:val="0"/>
        <w:bCs w:val="0"/>
        <w:i w:val="0"/>
        <w:iCs w:val="0"/>
        <w:w w:val="100"/>
        <w:sz w:val="28"/>
        <w:szCs w:val="28"/>
        <w:lang w:val="sq-AL" w:eastAsia="en-US" w:bidi="ar-SA"/>
      </w:rPr>
    </w:lvl>
    <w:lvl w:ilvl="2">
      <w:start w:val="0"/>
      <w:numFmt w:val="bullet"/>
      <w:lvlText w:val="•"/>
      <w:lvlJc w:val="left"/>
      <w:pPr>
        <w:ind w:left="2560" w:hanging="360"/>
      </w:pPr>
      <w:rPr>
        <w:rFonts w:hint="default"/>
        <w:lang w:val="sq-AL" w:eastAsia="en-US" w:bidi="ar-SA"/>
      </w:rPr>
    </w:lvl>
    <w:lvl w:ilvl="3">
      <w:start w:val="0"/>
      <w:numFmt w:val="bullet"/>
      <w:lvlText w:val="•"/>
      <w:lvlJc w:val="left"/>
      <w:pPr>
        <w:ind w:left="3680" w:hanging="360"/>
      </w:pPr>
      <w:rPr>
        <w:rFonts w:hint="default"/>
        <w:lang w:val="sq-AL" w:eastAsia="en-US" w:bidi="ar-SA"/>
      </w:rPr>
    </w:lvl>
    <w:lvl w:ilvl="4">
      <w:start w:val="0"/>
      <w:numFmt w:val="bullet"/>
      <w:lvlText w:val="•"/>
      <w:lvlJc w:val="left"/>
      <w:pPr>
        <w:ind w:left="4800" w:hanging="360"/>
      </w:pPr>
      <w:rPr>
        <w:rFonts w:hint="default"/>
        <w:lang w:val="sq-AL" w:eastAsia="en-US" w:bidi="ar-SA"/>
      </w:rPr>
    </w:lvl>
    <w:lvl w:ilvl="5">
      <w:start w:val="0"/>
      <w:numFmt w:val="bullet"/>
      <w:lvlText w:val="•"/>
      <w:lvlJc w:val="left"/>
      <w:pPr>
        <w:ind w:left="5920" w:hanging="360"/>
      </w:pPr>
      <w:rPr>
        <w:rFonts w:hint="default"/>
        <w:lang w:val="sq-AL" w:eastAsia="en-US" w:bidi="ar-SA"/>
      </w:rPr>
    </w:lvl>
    <w:lvl w:ilvl="6">
      <w:start w:val="0"/>
      <w:numFmt w:val="bullet"/>
      <w:lvlText w:val="•"/>
      <w:lvlJc w:val="left"/>
      <w:pPr>
        <w:ind w:left="7040" w:hanging="360"/>
      </w:pPr>
      <w:rPr>
        <w:rFonts w:hint="default"/>
        <w:lang w:val="sq-AL" w:eastAsia="en-US" w:bidi="ar-SA"/>
      </w:rPr>
    </w:lvl>
    <w:lvl w:ilvl="7">
      <w:start w:val="0"/>
      <w:numFmt w:val="bullet"/>
      <w:lvlText w:val="•"/>
      <w:lvlJc w:val="left"/>
      <w:pPr>
        <w:ind w:left="8160" w:hanging="360"/>
      </w:pPr>
      <w:rPr>
        <w:rFonts w:hint="default"/>
        <w:lang w:val="sq-AL" w:eastAsia="en-US" w:bidi="ar-SA"/>
      </w:rPr>
    </w:lvl>
    <w:lvl w:ilvl="8">
      <w:start w:val="0"/>
      <w:numFmt w:val="bullet"/>
      <w:lvlText w:val="•"/>
      <w:lvlJc w:val="left"/>
      <w:pPr>
        <w:ind w:left="9280" w:hanging="360"/>
      </w:pPr>
      <w:rPr>
        <w:rFonts w:hint="default"/>
        <w:lang w:val="sq-AL"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sq-AL"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sq-AL" w:eastAsia="en-US" w:bidi="ar-SA"/>
    </w:rPr>
  </w:style>
  <w:style w:styleId="Heading1" w:type="paragraph">
    <w:name w:val="Heading 1"/>
    <w:basedOn w:val="Normal"/>
    <w:uiPriority w:val="1"/>
    <w:qFormat/>
    <w:pPr>
      <w:ind w:left="540"/>
      <w:outlineLvl w:val="1"/>
    </w:pPr>
    <w:rPr>
      <w:rFonts w:ascii="Times New Roman" w:hAnsi="Times New Roman" w:eastAsia="Times New Roman" w:cs="Times New Roman"/>
      <w:b/>
      <w:bCs/>
      <w:sz w:val="32"/>
      <w:szCs w:val="32"/>
      <w:lang w:val="sq-AL" w:eastAsia="en-US" w:bidi="ar-SA"/>
    </w:rPr>
  </w:style>
  <w:style w:styleId="Heading2" w:type="paragraph">
    <w:name w:val="Heading 2"/>
    <w:basedOn w:val="Normal"/>
    <w:uiPriority w:val="1"/>
    <w:qFormat/>
    <w:pPr>
      <w:ind w:left="710"/>
      <w:outlineLvl w:val="2"/>
    </w:pPr>
    <w:rPr>
      <w:rFonts w:ascii="Times New Roman" w:hAnsi="Times New Roman" w:eastAsia="Times New Roman" w:cs="Times New Roman"/>
      <w:b/>
      <w:bCs/>
      <w:sz w:val="24"/>
      <w:szCs w:val="24"/>
      <w:lang w:val="sq-AL" w:eastAsia="en-US" w:bidi="ar-SA"/>
    </w:rPr>
  </w:style>
  <w:style w:styleId="ListParagraph" w:type="paragraph">
    <w:name w:val="List Paragraph"/>
    <w:basedOn w:val="Normal"/>
    <w:uiPriority w:val="1"/>
    <w:qFormat/>
    <w:pPr>
      <w:ind w:left="1460" w:hanging="361"/>
    </w:pPr>
    <w:rPr>
      <w:rFonts w:ascii="Times New Roman" w:hAnsi="Times New Roman" w:eastAsia="Times New Roman" w:cs="Times New Roman"/>
      <w:lang w:val="sq-AL" w:eastAsia="en-US" w:bidi="ar-SA"/>
    </w:rPr>
  </w:style>
  <w:style w:styleId="TableParagraph" w:type="paragraph">
    <w:name w:val="Table Paragraph"/>
    <w:basedOn w:val="Normal"/>
    <w:uiPriority w:val="1"/>
    <w:qFormat/>
    <w:pPr/>
    <w:rPr>
      <w:rFonts w:ascii="Times New Roman" w:hAnsi="Times New Roman" w:eastAsia="Times New Roman" w:cs="Times New Roman"/>
      <w:lang w:val="sq-A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footer" Target="footer1.xml"/><Relationship Id="rId27" Type="http://schemas.openxmlformats.org/officeDocument/2006/relationships/image" Target="media/image22.png"/><Relationship Id="rId28" Type="http://schemas.openxmlformats.org/officeDocument/2006/relationships/footer" Target="footer2.xml"/><Relationship Id="rId29" Type="http://schemas.openxmlformats.org/officeDocument/2006/relationships/image" Target="media/image23.jpeg"/><Relationship Id="rId30" Type="http://schemas.openxmlformats.org/officeDocument/2006/relationships/footer" Target="footer3.xml"/><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footer" Target="footer6.xml"/><Relationship Id="rId49" Type="http://schemas.openxmlformats.org/officeDocument/2006/relationships/image" Target="media/image39.jpeg"/><Relationship Id="rId50" Type="http://schemas.openxmlformats.org/officeDocument/2006/relationships/footer" Target="footer7.xml"/><Relationship Id="rId51" Type="http://schemas.openxmlformats.org/officeDocument/2006/relationships/footer" Target="footer8.xml"/><Relationship Id="rId52" Type="http://schemas.openxmlformats.org/officeDocument/2006/relationships/footer" Target="footer9.xml"/><Relationship Id="rId53" Type="http://schemas.openxmlformats.org/officeDocument/2006/relationships/image" Target="media/image40.jpeg"/><Relationship Id="rId54" Type="http://schemas.openxmlformats.org/officeDocument/2006/relationships/footer" Target="footer10.xml"/><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jpeg"/><Relationship Id="rId59" Type="http://schemas.openxmlformats.org/officeDocument/2006/relationships/footer" Target="footer11.xml"/><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image" Target="media/image45.png"/><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footer" Target="footer16.xml"/><Relationship Id="rId66" Type="http://schemas.openxmlformats.org/officeDocument/2006/relationships/image" Target="media/image46.png"/><Relationship Id="rId67" Type="http://schemas.openxmlformats.org/officeDocument/2006/relationships/image" Target="media/image47.jpeg"/><Relationship Id="rId68" Type="http://schemas.openxmlformats.org/officeDocument/2006/relationships/image" Target="media/image48.jpeg"/><Relationship Id="rId69" Type="http://schemas.openxmlformats.org/officeDocument/2006/relationships/image" Target="media/image49.jpeg"/><Relationship Id="rId70" Type="http://schemas.openxmlformats.org/officeDocument/2006/relationships/image" Target="media/image50.png"/><Relationship Id="rId71" Type="http://schemas.openxmlformats.org/officeDocument/2006/relationships/footer" Target="footer17.xml"/><Relationship Id="rId72" Type="http://schemas.openxmlformats.org/officeDocument/2006/relationships/image" Target="media/image51.png"/><Relationship Id="rId73" Type="http://schemas.openxmlformats.org/officeDocument/2006/relationships/footer" Target="footer18.xml"/><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hyperlink" Target="http://www.institutigap.org/home)" TargetMode="External"/><Relationship Id="rId77" Type="http://schemas.openxmlformats.org/officeDocument/2006/relationships/image" Target="media/image54.png"/><Relationship Id="rId78" Type="http://schemas.openxmlformats.org/officeDocument/2006/relationships/image" Target="media/image55.jpeg"/><Relationship Id="rId79" Type="http://schemas.openxmlformats.org/officeDocument/2006/relationships/footer" Target="footer19.xml"/><Relationship Id="rId80" Type="http://schemas.openxmlformats.org/officeDocument/2006/relationships/footer" Target="footer20.xml"/><Relationship Id="rId81" Type="http://schemas.openxmlformats.org/officeDocument/2006/relationships/footer" Target="footer21.xm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2024-05-14T06:08:33Z</dcterms:created>
  <dcterms:modified xsi:type="dcterms:W3CDTF">2024-05-14T06:08:33Z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2024-05-14T00:00:00Z</vt:filetime>
  </property>
  <property fmtid="{D5CDD505-2E9C-101B-9397-08002B2CF9AE}" pid="3" name="Producer">
    <vt:lpwstr>iLovePDF</vt:lpwstr>
  </property>
</Properties>
</file>