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31" w:rsidRPr="00A21349" w:rsidRDefault="00AC5C31" w:rsidP="00AC5C31">
      <w:pPr>
        <w:pStyle w:val="Heading1"/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  <w:r>
        <w:rPr>
          <w:noProof/>
          <w:lang w:eastAsia="sq-AL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0</wp:posOffset>
            </wp:positionV>
            <wp:extent cx="990600" cy="904875"/>
            <wp:effectExtent l="19050" t="0" r="0" b="0"/>
            <wp:wrapNone/>
            <wp:docPr id="4" name="Picture 2" descr="Description: Description: 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ST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q-A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57150</wp:posOffset>
            </wp:positionV>
            <wp:extent cx="771525" cy="847725"/>
            <wp:effectExtent l="19050" t="0" r="9525" b="0"/>
            <wp:wrapSquare wrapText="left"/>
            <wp:docPr id="7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Republika</w:t>
      </w:r>
      <w:r w:rsidRPr="00A21349">
        <w:rPr>
          <w:rFonts w:ascii="Times New Roman" w:hAnsi="Times New Roman" w:cs="Times New Roman"/>
          <w:color w:val="auto"/>
          <w:spacing w:val="-5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e</w:t>
      </w:r>
      <w:r w:rsidRPr="00A21349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Kosovës</w:t>
      </w:r>
      <w:r w:rsidRPr="00A21349">
        <w:rPr>
          <w:rFonts w:ascii="Times New Roman" w:hAnsi="Times New Roman" w:cs="Times New Roman"/>
          <w:color w:val="auto"/>
          <w:spacing w:val="66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-</w:t>
      </w:r>
      <w:r w:rsidRPr="00A21349">
        <w:rPr>
          <w:rFonts w:ascii="Times New Roman" w:hAnsi="Times New Roman" w:cs="Times New Roman"/>
          <w:color w:val="auto"/>
          <w:spacing w:val="60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Republic</w:t>
      </w:r>
      <w:r w:rsidRPr="00A21349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of</w:t>
      </w:r>
      <w:r w:rsidRPr="00A21349">
        <w:rPr>
          <w:rFonts w:ascii="Times New Roman" w:hAnsi="Times New Roman" w:cs="Times New Roman"/>
          <w:color w:val="auto"/>
          <w:spacing w:val="65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Kosovo</w:t>
      </w:r>
    </w:p>
    <w:p w:rsidR="00AC5C31" w:rsidRPr="00A21349" w:rsidRDefault="00AC5C31" w:rsidP="00AC5C31">
      <w:pPr>
        <w:pStyle w:val="Heading1"/>
        <w:tabs>
          <w:tab w:val="left" w:pos="2082"/>
          <w:tab w:val="center" w:pos="3656"/>
        </w:tabs>
        <w:spacing w:before="87"/>
        <w:ind w:left="1360" w:right="2389" w:hanging="1018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Komuna</w:t>
      </w:r>
      <w:r w:rsidRPr="00A21349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–</w:t>
      </w:r>
      <w:r w:rsidRPr="00A21349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</w:t>
      </w:r>
      <w:r w:rsidRPr="00A21349">
        <w:rPr>
          <w:rFonts w:ascii="Times New Roman" w:hAnsi="Times New Roman" w:cs="Times New Roman"/>
          <w:color w:val="auto"/>
          <w:sz w:val="26"/>
          <w:szCs w:val="26"/>
        </w:rPr>
        <w:t>Municipality</w:t>
      </w:r>
    </w:p>
    <w:p w:rsidR="00AC5C31" w:rsidRPr="00A21349" w:rsidRDefault="00AC5C31" w:rsidP="00AC5C31">
      <w:pPr>
        <w:spacing w:before="4"/>
        <w:rPr>
          <w:rFonts w:ascii="Times New Roman" w:hAnsi="Times New Roman" w:cs="Times New Roman"/>
          <w:sz w:val="26"/>
          <w:szCs w:val="26"/>
        </w:rPr>
      </w:pPr>
      <w:r w:rsidRPr="00A21349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1349">
        <w:rPr>
          <w:rFonts w:ascii="Times New Roman" w:hAnsi="Times New Roman" w:cs="Times New Roman"/>
          <w:sz w:val="26"/>
          <w:szCs w:val="26"/>
        </w:rPr>
        <w:t>Hani i Elezit</w:t>
      </w:r>
    </w:p>
    <w:p w:rsidR="00AC5C31" w:rsidRPr="005D457E" w:rsidRDefault="00677C98" w:rsidP="00AC5C31">
      <w:pPr>
        <w:tabs>
          <w:tab w:val="left" w:pos="3036"/>
          <w:tab w:val="left" w:pos="3756"/>
        </w:tabs>
        <w:ind w:right="-27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  <w:lang w:eastAsia="sq-A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172084</wp:posOffset>
                </wp:positionV>
                <wp:extent cx="5364480" cy="0"/>
                <wp:effectExtent l="0" t="0" r="762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4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E0E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8.25pt;margin-top:13.55pt;width:422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kZ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"/>
            </w:pict>
          </mc:Fallback>
        </mc:AlternateContent>
      </w:r>
      <w:r w:rsidR="00AC5C31">
        <w:rPr>
          <w:rFonts w:ascii="Times New Roman" w:hAnsi="Times New Roman" w:cs="Times New Roman"/>
          <w:sz w:val="24"/>
          <w:szCs w:val="24"/>
        </w:rPr>
        <w:tab/>
      </w:r>
      <w:r w:rsidR="00AC5C31">
        <w:rPr>
          <w:rFonts w:ascii="Times New Roman" w:hAnsi="Times New Roman" w:cs="Times New Roman"/>
          <w:sz w:val="24"/>
          <w:szCs w:val="24"/>
        </w:rPr>
        <w:tab/>
      </w:r>
      <w:r w:rsidR="00AC5C31" w:rsidRPr="005D457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C5C31" w:rsidRDefault="00AC5C31" w:rsidP="00AC5C31">
      <w:pPr>
        <w:tabs>
          <w:tab w:val="left" w:pos="3720"/>
          <w:tab w:val="left" w:pos="7725"/>
          <w:tab w:val="left" w:pos="8640"/>
        </w:tabs>
        <w:jc w:val="right"/>
      </w:pPr>
      <w:r>
        <w:rPr>
          <w:noProof/>
          <w:lang w:val="en-US"/>
        </w:rPr>
        <w:tab/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04/________</w:t>
      </w:r>
      <w:r w:rsidRPr="005D457E">
        <w:rPr>
          <w:rFonts w:ascii="Times New Roman" w:hAnsi="Times New Roman" w:cs="Times New Roman"/>
          <w:b/>
          <w:sz w:val="24"/>
          <w:szCs w:val="24"/>
        </w:rPr>
        <w:t>/2023</w:t>
      </w:r>
    </w:p>
    <w:p w:rsidR="00AC5C31" w:rsidRDefault="00AC5C31" w:rsidP="00AC5C31"/>
    <w:p w:rsidR="00AC5C31" w:rsidRPr="00A65425" w:rsidRDefault="00AC5C31" w:rsidP="00AC5C31">
      <w:pPr>
        <w:jc w:val="center"/>
        <w:rPr>
          <w:rFonts w:ascii="Times New Roman" w:hAnsi="Times New Roman" w:cs="Times New Roman"/>
          <w:sz w:val="48"/>
          <w:szCs w:val="24"/>
        </w:rPr>
      </w:pPr>
      <w:r>
        <w:tab/>
      </w:r>
      <w:r w:rsidRPr="00A65425">
        <w:rPr>
          <w:rFonts w:ascii="Times New Roman" w:hAnsi="Times New Roman" w:cs="Times New Roman"/>
          <w:sz w:val="48"/>
          <w:szCs w:val="24"/>
        </w:rPr>
        <w:t xml:space="preserve">DREJTORIA PËR BUXHET DHE FINANCA </w:t>
      </w:r>
    </w:p>
    <w:p w:rsidR="00AC5C31" w:rsidRDefault="00AC5C31" w:rsidP="00AC5C31">
      <w:pPr>
        <w:rPr>
          <w:rFonts w:ascii="Times New Roman" w:hAnsi="Times New Roman" w:cs="Times New Roman"/>
          <w:sz w:val="72"/>
          <w:szCs w:val="24"/>
        </w:rPr>
      </w:pPr>
    </w:p>
    <w:p w:rsidR="00AC5C31" w:rsidRDefault="00AC5C31" w:rsidP="00AC5C31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AC5C31" w:rsidRPr="00A65425" w:rsidRDefault="00AC5C31" w:rsidP="00AC5C31">
      <w:pPr>
        <w:jc w:val="center"/>
        <w:rPr>
          <w:rFonts w:ascii="Times New Roman" w:hAnsi="Times New Roman" w:cs="Times New Roman"/>
          <w:sz w:val="44"/>
          <w:szCs w:val="24"/>
        </w:rPr>
      </w:pPr>
      <w:r w:rsidRPr="00A65425">
        <w:rPr>
          <w:rFonts w:ascii="Times New Roman" w:hAnsi="Times New Roman" w:cs="Times New Roman"/>
          <w:sz w:val="44"/>
          <w:szCs w:val="24"/>
        </w:rPr>
        <w:t>RAPORTI I PUNËS DHE AKTIVITETEVE</w:t>
      </w:r>
      <w:r>
        <w:rPr>
          <w:rFonts w:ascii="Times New Roman" w:hAnsi="Times New Roman" w:cs="Times New Roman"/>
          <w:sz w:val="44"/>
          <w:szCs w:val="24"/>
        </w:rPr>
        <w:t xml:space="preserve"> PËR MUAJIN QERSHOR 2023</w:t>
      </w:r>
    </w:p>
    <w:p w:rsidR="00AC5C31" w:rsidRDefault="00AC5C31" w:rsidP="00AC5C31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AC5C31" w:rsidRDefault="00AC5C31" w:rsidP="00AC5C31">
      <w:pPr>
        <w:jc w:val="center"/>
        <w:rPr>
          <w:rFonts w:ascii="Times New Roman" w:hAnsi="Times New Roman" w:cs="Times New Roman"/>
          <w:sz w:val="56"/>
          <w:szCs w:val="24"/>
        </w:rPr>
      </w:pPr>
    </w:p>
    <w:p w:rsidR="00AC5C31" w:rsidRDefault="00AC5C31" w:rsidP="00AC5C31">
      <w:pPr>
        <w:jc w:val="center"/>
        <w:rPr>
          <w:rFonts w:ascii="Times New Roman" w:hAnsi="Times New Roman" w:cs="Times New Roman"/>
          <w:i/>
          <w:sz w:val="56"/>
          <w:szCs w:val="24"/>
        </w:rPr>
      </w:pPr>
    </w:p>
    <w:p w:rsidR="00AC5C31" w:rsidRDefault="00AC5C31" w:rsidP="00AC5C31">
      <w:pPr>
        <w:jc w:val="right"/>
        <w:rPr>
          <w:rFonts w:ascii="Times New Roman" w:hAnsi="Times New Roman" w:cs="Times New Roman"/>
          <w:i/>
          <w:sz w:val="40"/>
          <w:szCs w:val="24"/>
        </w:rPr>
      </w:pPr>
    </w:p>
    <w:p w:rsidR="00AC5C31" w:rsidRDefault="00AC5C31" w:rsidP="00AC5C31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AC5C31" w:rsidRDefault="00AC5C31" w:rsidP="00AC5C31">
      <w:pPr>
        <w:jc w:val="center"/>
        <w:rPr>
          <w:rFonts w:ascii="Times New Roman" w:hAnsi="Times New Roman" w:cs="Times New Roman"/>
          <w:sz w:val="28"/>
          <w:szCs w:val="32"/>
        </w:rPr>
      </w:pPr>
    </w:p>
    <w:p w:rsidR="00604C68" w:rsidRDefault="00AC5C31" w:rsidP="00AC5C31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Hani i Elezit, 2023</w:t>
      </w:r>
    </w:p>
    <w:p w:rsidR="000E5379" w:rsidRPr="00FE1103" w:rsidRDefault="000E5379" w:rsidP="000E5379">
      <w:pPr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DREJTORIA PËR BUXHE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 xml:space="preserve">T DHE FINANCA </w:t>
      </w:r>
    </w:p>
    <w:p w:rsidR="000E5379" w:rsidRDefault="000E5379" w:rsidP="000E5379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5379" w:rsidRPr="00FE1103" w:rsidRDefault="000E5379" w:rsidP="000E537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Drejtoria për Buxhet dhe Financa pë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r muajin qershor 2023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, funksionin e vet e ka ushtruar në bazë të kompetencave dhe përgjegjësive ligjore mbi qeverisjen e Komunave të Republikës së Kosovës, Statutin e komunës së Hanit të Elezit, Ligjin mbi menaxhimin e financave publike dhe përgjegjësitë, Ligjin mbi financat e pushtetit lokal, Ligjin mbi vet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ë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qeverisjen lokale, Ligjin mbi tatimin në pronën e paluajtshme, Rregulloret dhe udhëzimet administrative nga Ministria e Financave, Punës dhe Transfereve (MFPT).</w:t>
      </w:r>
    </w:p>
    <w:p w:rsidR="000E5379" w:rsidRPr="00FE1103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Drejtoria për Buxhet dhe Financa me qëllim të realizimit sa më efikas të të gjitha kompeten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cave dhe përgjegjësive, ka funksionuar kryesisht në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tre (3) sektorë:</w:t>
      </w:r>
    </w:p>
    <w:p w:rsidR="000E5379" w:rsidRPr="00FE1103" w:rsidRDefault="000E5379" w:rsidP="000E5379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buxhet dhe financa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E5379" w:rsidRPr="00FE1103" w:rsidRDefault="000E5379" w:rsidP="000E5379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për të hyra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dhe</w:t>
      </w:r>
    </w:p>
    <w:p w:rsidR="000E5379" w:rsidRPr="00FE1103" w:rsidRDefault="000E5379" w:rsidP="000E5379">
      <w:pPr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Sektori i tatimit në pronë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E5379" w:rsidRPr="00FE1103" w:rsidRDefault="000E5379" w:rsidP="000E5379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Drejtoria për Buxhet dhe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Financa e menaxhuar nga drejtoresha e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drejtorisë dhe me një staf prej (7)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zyrtarëve, gjatë muajit qershor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kishte një angazhim permanent, me një përkushtim të madh në drejtim të realizimit sa më të suksesshëm të të gjitha objektiva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ve dhe detyrave të parashikuara në planin e punës së drejtorisë.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Aktiviteti i drejtorisë ka qenë i përqëndruar në realizimin e buxhetit sipas dinamikës së planifikuar dhe menaxhimin sa më efikas të buxhetit. </w:t>
      </w: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Pr="00FE1103" w:rsidRDefault="000E5379" w:rsidP="000E5379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Buxheti i komunës së Hanit të Elezi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t i ndarë sipas Ligjit me nr. 08/L-193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mbi ndarjet buxhetore të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epu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blikës së Kosovës për vitin 2023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është në lartësi prej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3,349,715.00</w:t>
      </w: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</w:rPr>
        <w:t>Euro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. 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:rsidR="000E5379" w:rsidRPr="00C574C5" w:rsidRDefault="000E5379" w:rsidP="000E5379">
      <w:pPr>
        <w:tabs>
          <w:tab w:val="left" w:pos="540"/>
          <w:tab w:val="left" w:pos="10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E5379" w:rsidRPr="00C574C5" w:rsidRDefault="000E5379" w:rsidP="000E5379">
      <w:pPr>
        <w:pStyle w:val="BodyText"/>
        <w:spacing w:line="360" w:lineRule="auto"/>
        <w:ind w:left="342"/>
      </w:pPr>
      <w:r w:rsidRPr="00C574C5">
        <w:t>Ky</w:t>
      </w:r>
      <w:r w:rsidRPr="00C574C5">
        <w:rPr>
          <w:spacing w:val="-3"/>
        </w:rPr>
        <w:t xml:space="preserve"> </w:t>
      </w:r>
      <w:r w:rsidRPr="00C574C5">
        <w:t>buxhet</w:t>
      </w:r>
      <w:r w:rsidRPr="00C574C5">
        <w:rPr>
          <w:spacing w:val="3"/>
        </w:rPr>
        <w:t xml:space="preserve"> </w:t>
      </w:r>
      <w:r w:rsidRPr="00C574C5">
        <w:t>është</w:t>
      </w:r>
      <w:r w:rsidRPr="00C574C5">
        <w:rPr>
          <w:spacing w:val="-3"/>
        </w:rPr>
        <w:t xml:space="preserve"> </w:t>
      </w:r>
      <w:r w:rsidRPr="00C574C5">
        <w:t>ndarë</w:t>
      </w:r>
      <w:r w:rsidRPr="00C574C5">
        <w:rPr>
          <w:spacing w:val="-3"/>
        </w:rPr>
        <w:t xml:space="preserve"> </w:t>
      </w:r>
      <w:r w:rsidRPr="00C574C5">
        <w:t>sipas</w:t>
      </w:r>
      <w:r w:rsidRPr="00C574C5">
        <w:rPr>
          <w:spacing w:val="-4"/>
        </w:rPr>
        <w:t xml:space="preserve"> </w:t>
      </w:r>
      <w:r w:rsidRPr="00C574C5">
        <w:t>kategorive</w:t>
      </w:r>
      <w:r w:rsidRPr="00C574C5">
        <w:rPr>
          <w:spacing w:val="-3"/>
        </w:rPr>
        <w:t xml:space="preserve"> </w:t>
      </w:r>
      <w:r w:rsidRPr="00C574C5">
        <w:t>ekonomike</w:t>
      </w:r>
      <w:r w:rsidRPr="00C574C5">
        <w:rPr>
          <w:spacing w:val="2"/>
        </w:rPr>
        <w:t xml:space="preserve"> </w:t>
      </w:r>
      <w:r w:rsidRPr="00C574C5">
        <w:t>si</w:t>
      </w:r>
      <w:r w:rsidRPr="00C574C5">
        <w:rPr>
          <w:spacing w:val="-11"/>
        </w:rPr>
        <w:t xml:space="preserve"> </w:t>
      </w:r>
      <w:r w:rsidRPr="00C574C5">
        <w:t>në</w:t>
      </w:r>
      <w:r w:rsidRPr="00C574C5">
        <w:rPr>
          <w:spacing w:val="-3"/>
        </w:rPr>
        <w:t xml:space="preserve"> </w:t>
      </w:r>
      <w:r w:rsidRPr="00C574C5">
        <w:t>vijim:</w:t>
      </w:r>
    </w:p>
    <w:p w:rsidR="000E5379" w:rsidRPr="00C574C5" w:rsidRDefault="000E5379" w:rsidP="000E5379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48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Paga</w:t>
      </w:r>
      <w:r w:rsidRPr="00C574C5">
        <w:rPr>
          <w:rFonts w:ascii="Times New Roman" w:hAnsi="Times New Roman" w:cs="Times New Roman"/>
          <w:spacing w:val="-2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Pr="00C574C5">
        <w:rPr>
          <w:rFonts w:ascii="Times New Roman" w:hAnsi="Times New Roman" w:cs="Times New Roman"/>
          <w:spacing w:val="-1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shtesa.................1,702,823.00 €,</w:t>
      </w:r>
    </w:p>
    <w:p w:rsidR="000E5379" w:rsidRPr="00C574C5" w:rsidRDefault="000E5379" w:rsidP="000E5379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10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Mallra</w:t>
      </w:r>
      <w:r w:rsidRPr="00C574C5">
        <w:rPr>
          <w:rFonts w:ascii="Times New Roman" w:hAnsi="Times New Roman" w:cs="Times New Roman"/>
          <w:spacing w:val="-4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Pr="00C574C5">
        <w:rPr>
          <w:rFonts w:ascii="Times New Roman" w:hAnsi="Times New Roman" w:cs="Times New Roman"/>
          <w:spacing w:val="-4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shërbime.............465,000.00</w:t>
      </w:r>
      <w:r w:rsidRPr="00C574C5">
        <w:rPr>
          <w:rFonts w:ascii="Times New Roman" w:hAnsi="Times New Roman" w:cs="Times New Roman"/>
          <w:spacing w:val="2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0E5379" w:rsidRPr="00C574C5" w:rsidRDefault="000E5379" w:rsidP="000E5379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65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Shpenzimet</w:t>
      </w:r>
      <w:r w:rsidRPr="00C574C5">
        <w:rPr>
          <w:rFonts w:ascii="Times New Roman" w:hAnsi="Times New Roman" w:cs="Times New Roman"/>
          <w:spacing w:val="1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komunale</w:t>
      </w:r>
      <w:r w:rsidRPr="00C574C5">
        <w:rPr>
          <w:rFonts w:ascii="Times New Roman" w:hAnsi="Times New Roman" w:cs="Times New Roman"/>
          <w:sz w:val="24"/>
        </w:rPr>
        <w:tab/>
        <w:t>..96,500.00</w:t>
      </w:r>
      <w:r w:rsidRPr="00C574C5">
        <w:rPr>
          <w:rFonts w:ascii="Times New Roman" w:hAnsi="Times New Roman" w:cs="Times New Roman"/>
          <w:spacing w:val="-1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0E5379" w:rsidRPr="00C574C5" w:rsidRDefault="000E5379" w:rsidP="000E5379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848"/>
        </w:tabs>
        <w:autoSpaceDE w:val="0"/>
        <w:autoSpaceDN w:val="0"/>
        <w:spacing w:before="2"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Subvencione</w:t>
      </w:r>
      <w:r w:rsidRPr="00C574C5">
        <w:rPr>
          <w:rFonts w:ascii="Times New Roman" w:hAnsi="Times New Roman" w:cs="Times New Roman"/>
          <w:spacing w:val="-4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dhe</w:t>
      </w:r>
      <w:r w:rsidRPr="00C574C5">
        <w:rPr>
          <w:rFonts w:ascii="Times New Roman" w:hAnsi="Times New Roman" w:cs="Times New Roman"/>
          <w:spacing w:val="-4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transfere</w:t>
      </w:r>
      <w:r w:rsidRPr="00C574C5">
        <w:rPr>
          <w:rFonts w:ascii="Times New Roman" w:hAnsi="Times New Roman" w:cs="Times New Roman"/>
          <w:sz w:val="24"/>
        </w:rPr>
        <w:tab/>
        <w:t>100,000.00</w:t>
      </w:r>
      <w:r w:rsidRPr="00C574C5">
        <w:rPr>
          <w:rFonts w:ascii="Times New Roman" w:hAnsi="Times New Roman" w:cs="Times New Roman"/>
          <w:spacing w:val="3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0E5379" w:rsidRPr="00C574C5" w:rsidRDefault="000E5379" w:rsidP="000E5379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729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C574C5">
        <w:rPr>
          <w:rFonts w:ascii="Times New Roman" w:hAnsi="Times New Roman" w:cs="Times New Roman"/>
          <w:sz w:val="24"/>
        </w:rPr>
        <w:t>Shpenzime</w:t>
      </w:r>
      <w:r w:rsidRPr="00C574C5">
        <w:rPr>
          <w:rFonts w:ascii="Times New Roman" w:hAnsi="Times New Roman" w:cs="Times New Roman"/>
          <w:spacing w:val="-4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kapitale</w:t>
      </w:r>
      <w:r w:rsidRPr="00C574C5">
        <w:rPr>
          <w:rFonts w:ascii="Times New Roman" w:hAnsi="Times New Roman" w:cs="Times New Roman"/>
          <w:sz w:val="24"/>
        </w:rPr>
        <w:tab/>
        <w:t>..985,392.00</w:t>
      </w:r>
      <w:r w:rsidRPr="00C574C5">
        <w:rPr>
          <w:rFonts w:ascii="Times New Roman" w:hAnsi="Times New Roman" w:cs="Times New Roman"/>
          <w:spacing w:val="2"/>
          <w:sz w:val="24"/>
        </w:rPr>
        <w:t xml:space="preserve"> </w:t>
      </w:r>
      <w:r w:rsidRPr="00C574C5">
        <w:rPr>
          <w:rFonts w:ascii="Times New Roman" w:hAnsi="Times New Roman" w:cs="Times New Roman"/>
          <w:sz w:val="24"/>
        </w:rPr>
        <w:t>€,</w:t>
      </w:r>
    </w:p>
    <w:p w:rsidR="000E5379" w:rsidRPr="00C574C5" w:rsidRDefault="000E5379" w:rsidP="000E5379">
      <w:pPr>
        <w:pStyle w:val="ListParagraph"/>
        <w:widowControl w:val="0"/>
        <w:numPr>
          <w:ilvl w:val="0"/>
          <w:numId w:val="2"/>
        </w:numPr>
        <w:tabs>
          <w:tab w:val="left" w:pos="1063"/>
          <w:tab w:val="left" w:leader="dot" w:pos="3571"/>
        </w:tabs>
        <w:autoSpaceDE w:val="0"/>
        <w:autoSpaceDN w:val="0"/>
        <w:spacing w:before="6" w:after="0" w:line="360" w:lineRule="auto"/>
        <w:ind w:hanging="361"/>
        <w:contextualSpacing w:val="0"/>
        <w:rPr>
          <w:rFonts w:ascii="Times New Roman" w:hAnsi="Times New Roman" w:cs="Times New Roman"/>
          <w:sz w:val="16"/>
        </w:rPr>
      </w:pPr>
      <w:r w:rsidRPr="00C574C5">
        <w:rPr>
          <w:rFonts w:ascii="Times New Roman" w:hAnsi="Times New Roman" w:cs="Times New Roman"/>
          <w:sz w:val="24"/>
          <w:u w:val="single"/>
        </w:rPr>
        <w:t>Totali</w:t>
      </w:r>
      <w:r w:rsidRPr="00C574C5">
        <w:rPr>
          <w:rFonts w:ascii="Times New Roman" w:hAnsi="Times New Roman" w:cs="Times New Roman"/>
          <w:spacing w:val="-4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i</w:t>
      </w:r>
      <w:r w:rsidRPr="00C574C5">
        <w:rPr>
          <w:rFonts w:ascii="Times New Roman" w:hAnsi="Times New Roman" w:cs="Times New Roman"/>
          <w:spacing w:val="-4"/>
          <w:sz w:val="24"/>
          <w:u w:val="single"/>
        </w:rPr>
        <w:t xml:space="preserve"> </w:t>
      </w:r>
      <w:r w:rsidRPr="00C574C5">
        <w:rPr>
          <w:rFonts w:ascii="Times New Roman" w:hAnsi="Times New Roman" w:cs="Times New Roman"/>
          <w:sz w:val="24"/>
          <w:u w:val="single"/>
        </w:rPr>
        <w:t>buxhetit</w:t>
      </w:r>
      <w:r w:rsidRPr="00C574C5">
        <w:rPr>
          <w:rFonts w:ascii="Times New Roman" w:hAnsi="Times New Roman" w:cs="Times New Roman"/>
          <w:sz w:val="24"/>
        </w:rPr>
        <w:t>..................</w:t>
      </w:r>
      <w:r w:rsidRPr="00C574C5">
        <w:rPr>
          <w:rFonts w:ascii="Times New Roman" w:hAnsi="Times New Roman" w:cs="Times New Roman"/>
          <w:b/>
          <w:sz w:val="24"/>
          <w:u w:val="single"/>
        </w:rPr>
        <w:t>3,349,715.00</w:t>
      </w:r>
      <w:r w:rsidRPr="00C574C5">
        <w:rPr>
          <w:rFonts w:ascii="Times New Roman" w:hAnsi="Times New Roman" w:cs="Times New Roman"/>
          <w:sz w:val="24"/>
        </w:rPr>
        <w:t xml:space="preserve"> €.</w:t>
      </w:r>
    </w:p>
    <w:p w:rsidR="000E5379" w:rsidRPr="00FE1103" w:rsidRDefault="000E5379" w:rsidP="000E5379">
      <w:pPr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Punët dhe aktivitetet të cilat janë zhvilluar gjatë këtij muaji</w:t>
      </w:r>
      <w:r>
        <w:rPr>
          <w:rFonts w:ascii="Times New Roman" w:eastAsia="MS Mincho" w:hAnsi="Times New Roman" w:cs="Times New Roman" w:hint="eastAsia"/>
          <w:color w:val="000000"/>
          <w:sz w:val="24"/>
          <w:szCs w:val="24"/>
        </w:rPr>
        <w:t>,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mund t’i veçojmë këto:</w:t>
      </w:r>
    </w:p>
    <w:p w:rsidR="000E5379" w:rsidRDefault="000E5379" w:rsidP="000E537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E5379" w:rsidRDefault="000E5379" w:rsidP="000E5379">
      <w:pPr>
        <w:spacing w:after="0" w:line="240" w:lineRule="auto"/>
        <w:ind w:left="360"/>
        <w:contextualSpacing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BUXHET DHE FINANCA</w:t>
      </w:r>
    </w:p>
    <w:p w:rsidR="000E5379" w:rsidRDefault="000E5379" w:rsidP="000E5379">
      <w:pPr>
        <w:jc w:val="center"/>
      </w:pP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 i raportit mujor i të hyrave dhe shpenzimeve të muajit maj 2023 dhe publikimi i të njejtit në ueb faqe të Komunës,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e raportit të punës dhe aktiviteteve të Drejtorisë Buxhet dhe Financa për muajin maj 2023 dhe dorëzimi i të njejtit në Kabinetin e Kryetarit si dhe publikimi në ueb faqen e Komunës në formatin PDF dhe ,</w:t>
      </w:r>
    </w:p>
    <w:p w:rsidR="008B07F1" w:rsidRPr="00B73E36" w:rsidRDefault="008B07F1" w:rsidP="008B07F1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Deklarimi në Thesar obligimet e pa paguara dhe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ato kontraktuale të muajit maj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8B07F1" w:rsidRPr="00B73E36" w:rsidRDefault="008B07F1" w:rsidP="008B07F1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Bara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zimi me Thesar për muajin maj</w:t>
      </w:r>
      <w:r w:rsidRPr="00B73E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publikimi i borxhit publik për muajin maj në ueb faqe të Komunës,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Përgatitja dhe alokimi i të hyrave vetanake të muajit maj në vlerë prej 68,994.03 € nëpër programe buxhetore duke u bazuar në planifikimin e të hyrave,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Hartimi i Kornizës Afatmesme Buxhetore 2024-2026,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Mbajtja e tri dëgjimeve buxhetore rreth Kornizës Afatmesme Buxhetore 2024-2026,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Publikimi i procesverbaleve të dëgjimeve buxhetore rreth Kornizës Afatmesme Buxhetore 2024-2026 në ueb faqe të Komunës,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Publikimi i Raportit të Auditimit të Pasqyrave Vjetore Financiare 2022 </w:t>
      </w:r>
      <w:r w:rsidR="00E3063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nga Zyra Kombëtare e Auditimit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në ueb faqe të Komunës,</w:t>
      </w:r>
    </w:p>
    <w:p w:rsidR="00E30634" w:rsidRDefault="00E30634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Hartimi i Planit të Veprimit të Rekomandimeve të Auditimit të Pasqyrave Vjetore Financiare 2022 nga Zyra Kombëtare e Auditimit,</w:t>
      </w:r>
    </w:p>
    <w:p w:rsidR="00E30634" w:rsidRDefault="00E30634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Miratimi i Kornizës Afatmesme Buxhetore 2024-2026 në Kuvend Komunal,</w:t>
      </w:r>
    </w:p>
    <w:p w:rsidR="00E30634" w:rsidRDefault="00E30634" w:rsidP="008B07F1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Publikimi i Kornizës Afatmesme Buxhetore 2024-2026 në ueb faqe të Komunës,</w:t>
      </w:r>
    </w:p>
    <w:p w:rsidR="00E30634" w:rsidRPr="00E30634" w:rsidRDefault="00E30634" w:rsidP="00E30634">
      <w:pPr>
        <w:numPr>
          <w:ilvl w:val="0"/>
          <w:numId w:val="5"/>
        </w:numPr>
        <w:tabs>
          <w:tab w:val="left" w:pos="540"/>
          <w:tab w:val="left" w:pos="630"/>
          <w:tab w:val="left" w:pos="108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Dorëzimi i Kornizës Afatmesme Buxhetore 2024-2026 në Departamentin e Buxhetit – MFPT më 30.06.2023,</w:t>
      </w:r>
    </w:p>
    <w:p w:rsidR="008B07F1" w:rsidRDefault="008B07F1" w:rsidP="008B07F1">
      <w:pPr>
        <w:numPr>
          <w:ilvl w:val="0"/>
          <w:numId w:val="5"/>
        </w:numPr>
        <w:tabs>
          <w:tab w:val="left" w:pos="540"/>
          <w:tab w:val="left" w:pos="1080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BC7F62">
        <w:rPr>
          <w:rFonts w:ascii="Times New Roman" w:eastAsia="Calibri" w:hAnsi="Times New Roman" w:cs="Times New Roman"/>
          <w:color w:val="000000"/>
          <w:sz w:val="24"/>
        </w:rPr>
        <w:lastRenderedPageBreak/>
        <w:t>Llogaritja dhe realizimi i të gjitha pagesave të destinuar për pagesën e pagave dhe shtesave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 të Administratës Komunale, të këshilltarëve K</w:t>
      </w:r>
      <w:r w:rsidRPr="00BC7F62">
        <w:rPr>
          <w:rFonts w:ascii="Times New Roman" w:eastAsia="Calibri" w:hAnsi="Times New Roman" w:cs="Times New Roman"/>
          <w:color w:val="000000"/>
          <w:sz w:val="24"/>
        </w:rPr>
        <w:t>omu</w:t>
      </w:r>
      <w:r>
        <w:rPr>
          <w:rFonts w:ascii="Times New Roman" w:eastAsia="Calibri" w:hAnsi="Times New Roman" w:cs="Times New Roman"/>
          <w:color w:val="000000"/>
          <w:sz w:val="24"/>
        </w:rPr>
        <w:t>nal, komiteteve të ndryshme të Kuvendit, të Sektorit të Arsimit dhe Sektorit të K</w:t>
      </w:r>
      <w:r w:rsidRPr="00BC7F62">
        <w:rPr>
          <w:rFonts w:ascii="Times New Roman" w:eastAsia="Calibri" w:hAnsi="Times New Roman" w:cs="Times New Roman"/>
          <w:color w:val="000000"/>
          <w:sz w:val="24"/>
        </w:rPr>
        <w:t xml:space="preserve">ujdesit </w:t>
      </w:r>
      <w:r>
        <w:rPr>
          <w:rFonts w:ascii="Times New Roman" w:eastAsia="Calibri" w:hAnsi="Times New Roman" w:cs="Times New Roman"/>
          <w:color w:val="000000"/>
          <w:sz w:val="24"/>
        </w:rPr>
        <w:t>Primar S</w:t>
      </w:r>
      <w:r w:rsidRPr="00BC7F62">
        <w:rPr>
          <w:rFonts w:ascii="Times New Roman" w:eastAsia="Calibri" w:hAnsi="Times New Roman" w:cs="Times New Roman"/>
          <w:color w:val="000000"/>
          <w:sz w:val="24"/>
        </w:rPr>
        <w:t>hëndetësor</w:t>
      </w:r>
      <w:r>
        <w:rPr>
          <w:rFonts w:ascii="Times New Roman" w:eastAsia="Calibri" w:hAnsi="Times New Roman" w:cs="Times New Roman"/>
          <w:color w:val="000000"/>
        </w:rPr>
        <w:t>,</w:t>
      </w:r>
    </w:p>
    <w:p w:rsidR="000E5379" w:rsidRDefault="000E5379" w:rsidP="00E30634">
      <w:pPr>
        <w:pStyle w:val="ListParagraph"/>
        <w:jc w:val="both"/>
      </w:pPr>
    </w:p>
    <w:p w:rsidR="00E30634" w:rsidRDefault="00E30634" w:rsidP="00E30634">
      <w:pPr>
        <w:pStyle w:val="ListParagraph"/>
        <w:jc w:val="both"/>
      </w:pPr>
    </w:p>
    <w:p w:rsidR="00E30634" w:rsidRDefault="00E30634" w:rsidP="00E30634">
      <w:pPr>
        <w:pStyle w:val="ListParagraph"/>
        <w:jc w:val="both"/>
      </w:pPr>
    </w:p>
    <w:p w:rsidR="00E30634" w:rsidRDefault="00E30634" w:rsidP="00E30634">
      <w:pPr>
        <w:pStyle w:val="ListParagraph"/>
        <w:jc w:val="both"/>
      </w:pPr>
    </w:p>
    <w:p w:rsidR="00E30634" w:rsidRDefault="00E30634" w:rsidP="00E30634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RAPORTI I EKZEKUTIMIT TË BUXHETIT PËR MUAJIN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QERSHOR</w:t>
      </w:r>
      <w:r w:rsidRPr="00B73E3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2023</w:t>
      </w:r>
    </w:p>
    <w:tbl>
      <w:tblPr>
        <w:tblStyle w:val="GridTable6Colorful-Accent11"/>
        <w:tblW w:w="10615" w:type="dxa"/>
        <w:jc w:val="center"/>
        <w:tblLook w:val="04A0" w:firstRow="1" w:lastRow="0" w:firstColumn="1" w:lastColumn="0" w:noHBand="0" w:noVBand="1"/>
      </w:tblPr>
      <w:tblGrid>
        <w:gridCol w:w="3145"/>
        <w:gridCol w:w="2970"/>
        <w:gridCol w:w="2700"/>
        <w:gridCol w:w="1800"/>
      </w:tblGrid>
      <w:tr w:rsidR="00E30634" w:rsidTr="00335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30634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Kategoritë Buxhetore</w:t>
            </w:r>
          </w:p>
        </w:tc>
        <w:tc>
          <w:tcPr>
            <w:tcW w:w="2970" w:type="dxa"/>
          </w:tcPr>
          <w:p w:rsidR="00E30634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Buxheti sipas Ligjit </w:t>
            </w: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>nr. 08/L-193</w:t>
            </w:r>
          </w:p>
        </w:tc>
        <w:tc>
          <w:tcPr>
            <w:tcW w:w="2700" w:type="dxa"/>
          </w:tcPr>
          <w:p w:rsidR="00E30634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Realizimi Qershor 2023</w:t>
            </w:r>
          </w:p>
        </w:tc>
        <w:tc>
          <w:tcPr>
            <w:tcW w:w="1800" w:type="dxa"/>
          </w:tcPr>
          <w:p w:rsidR="00E30634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30634" w:rsidTr="0033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Paga dhe Shtesa</w:t>
            </w:r>
          </w:p>
        </w:tc>
        <w:tc>
          <w:tcPr>
            <w:tcW w:w="2970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255F">
              <w:rPr>
                <w:color w:val="auto"/>
                <w:sz w:val="24"/>
              </w:rPr>
              <w:t>1,702,823.00</w:t>
            </w:r>
          </w:p>
        </w:tc>
        <w:tc>
          <w:tcPr>
            <w:tcW w:w="2700" w:type="dxa"/>
          </w:tcPr>
          <w:p w:rsidR="00E30634" w:rsidRDefault="004B6949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162,387.42</w:t>
            </w:r>
          </w:p>
        </w:tc>
        <w:tc>
          <w:tcPr>
            <w:tcW w:w="1800" w:type="dxa"/>
          </w:tcPr>
          <w:p w:rsidR="00E30634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  <w:r w:rsidR="00E306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30634" w:rsidTr="00335C87">
        <w:trPr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Mallra dhe Shërbime</w:t>
            </w:r>
          </w:p>
        </w:tc>
        <w:tc>
          <w:tcPr>
            <w:tcW w:w="2970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465,000.00</w:t>
            </w:r>
          </w:p>
        </w:tc>
        <w:tc>
          <w:tcPr>
            <w:tcW w:w="2700" w:type="dxa"/>
          </w:tcPr>
          <w:p w:rsidR="00E30634" w:rsidRDefault="004B6949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32,678.54</w:t>
            </w:r>
          </w:p>
        </w:tc>
        <w:tc>
          <w:tcPr>
            <w:tcW w:w="1800" w:type="dxa"/>
          </w:tcPr>
          <w:p w:rsidR="00E30634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7.02</w:t>
            </w:r>
            <w:r w:rsidR="00E306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30634" w:rsidTr="0033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Komunale</w:t>
            </w:r>
          </w:p>
        </w:tc>
        <w:tc>
          <w:tcPr>
            <w:tcW w:w="2970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96,500.00</w:t>
            </w:r>
          </w:p>
        </w:tc>
        <w:tc>
          <w:tcPr>
            <w:tcW w:w="2700" w:type="dxa"/>
          </w:tcPr>
          <w:p w:rsidR="00E30634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2,788.15</w:t>
            </w:r>
          </w:p>
        </w:tc>
        <w:tc>
          <w:tcPr>
            <w:tcW w:w="1800" w:type="dxa"/>
          </w:tcPr>
          <w:p w:rsidR="00E30634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</w:t>
            </w:r>
            <w:r w:rsidR="00E306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30634" w:rsidTr="00335C87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Subvencione dhe Transfere</w:t>
            </w:r>
          </w:p>
        </w:tc>
        <w:tc>
          <w:tcPr>
            <w:tcW w:w="2970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100,000.00</w:t>
            </w:r>
          </w:p>
        </w:tc>
        <w:tc>
          <w:tcPr>
            <w:tcW w:w="2700" w:type="dxa"/>
          </w:tcPr>
          <w:p w:rsidR="00E30634" w:rsidRDefault="00775E8D" w:rsidP="00775E8D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14,370.00</w:t>
            </w:r>
          </w:p>
        </w:tc>
        <w:tc>
          <w:tcPr>
            <w:tcW w:w="1800" w:type="dxa"/>
          </w:tcPr>
          <w:p w:rsidR="00E30634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14.3</w:t>
            </w:r>
            <w:r w:rsidR="00E306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%</w:t>
            </w:r>
          </w:p>
        </w:tc>
      </w:tr>
      <w:tr w:rsidR="00E30634" w:rsidTr="00335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Shpenzime Kapitale</w:t>
            </w:r>
          </w:p>
        </w:tc>
        <w:tc>
          <w:tcPr>
            <w:tcW w:w="2970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255F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985,392.00</w:t>
            </w:r>
          </w:p>
        </w:tc>
        <w:tc>
          <w:tcPr>
            <w:tcW w:w="2700" w:type="dxa"/>
          </w:tcPr>
          <w:p w:rsidR="00E30634" w:rsidRPr="00A8255F" w:rsidRDefault="00775E8D" w:rsidP="00775E8D">
            <w:pPr>
              <w:pStyle w:val="ListParagraph"/>
              <w:tabs>
                <w:tab w:val="left" w:pos="540"/>
                <w:tab w:val="left" w:pos="1080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26,899.15</w:t>
            </w:r>
          </w:p>
        </w:tc>
        <w:tc>
          <w:tcPr>
            <w:tcW w:w="1800" w:type="dxa"/>
          </w:tcPr>
          <w:p w:rsidR="00E30634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2.7 %</w:t>
            </w:r>
          </w:p>
        </w:tc>
      </w:tr>
      <w:tr w:rsidR="00E30634" w:rsidTr="00335C87">
        <w:trPr>
          <w:trHeight w:val="4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30634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Totali</w:t>
            </w:r>
          </w:p>
        </w:tc>
        <w:tc>
          <w:tcPr>
            <w:tcW w:w="2970" w:type="dxa"/>
          </w:tcPr>
          <w:p w:rsidR="00E30634" w:rsidRPr="00A8255F" w:rsidRDefault="00E30634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A8255F">
              <w:rPr>
                <w:b/>
                <w:color w:val="auto"/>
                <w:sz w:val="24"/>
              </w:rPr>
              <w:t>3,349,715.00</w:t>
            </w:r>
          </w:p>
        </w:tc>
        <w:tc>
          <w:tcPr>
            <w:tcW w:w="2700" w:type="dxa"/>
          </w:tcPr>
          <w:p w:rsidR="00E30634" w:rsidRPr="005E54A0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239,123.26</w:t>
            </w:r>
          </w:p>
        </w:tc>
        <w:tc>
          <w:tcPr>
            <w:tcW w:w="1800" w:type="dxa"/>
          </w:tcPr>
          <w:p w:rsidR="00E30634" w:rsidRPr="005E54A0" w:rsidRDefault="00775E8D" w:rsidP="00335C87">
            <w:pPr>
              <w:tabs>
                <w:tab w:val="left" w:pos="540"/>
                <w:tab w:val="left" w:pos="1080"/>
              </w:tabs>
              <w:spacing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7.13</w:t>
            </w:r>
            <w:r w:rsidR="00E306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0634" w:rsidRPr="005E54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E30634" w:rsidRPr="00B73E36" w:rsidRDefault="00E30634" w:rsidP="00E30634">
      <w:pPr>
        <w:pStyle w:val="ListParagraph"/>
        <w:tabs>
          <w:tab w:val="left" w:pos="540"/>
          <w:tab w:val="left" w:pos="1080"/>
        </w:tabs>
        <w:spacing w:after="0" w:line="36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234826" w:rsidRDefault="00234826" w:rsidP="0023482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343D7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SEKTORI PËR TË HYRAT</w:t>
      </w:r>
    </w:p>
    <w:p w:rsidR="00234826" w:rsidRPr="002417D4" w:rsidRDefault="00234826" w:rsidP="00234826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234826" w:rsidRDefault="00234826" w:rsidP="00234826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03">
        <w:rPr>
          <w:rFonts w:ascii="Times New Roman" w:eastAsia="Times New Roman" w:hAnsi="Times New Roman" w:cs="Times New Roman"/>
          <w:sz w:val="24"/>
          <w:szCs w:val="24"/>
        </w:rPr>
        <w:t>Planifikimi i t</w:t>
      </w:r>
      <w:r>
        <w:rPr>
          <w:rFonts w:ascii="Times New Roman" w:eastAsia="Times New Roman" w:hAnsi="Times New Roman" w:cs="Times New Roman"/>
          <w:sz w:val="24"/>
          <w:szCs w:val="24"/>
        </w:rPr>
        <w:t>ë hyrave vetanake për vitin 2023 është në shumë prej 560,121.00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 €.</w:t>
      </w:r>
    </w:p>
    <w:p w:rsidR="00234826" w:rsidRDefault="00234826" w:rsidP="00234826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Komuna e Hanit të Elezit ka arritur të arkëtoj gjithsej </w:t>
      </w:r>
      <w:r w:rsidR="00501753">
        <w:rPr>
          <w:rFonts w:ascii="Times New Roman" w:eastAsia="Times New Roman" w:hAnsi="Times New Roman" w:cs="Times New Roman"/>
          <w:sz w:val="24"/>
          <w:szCs w:val="24"/>
        </w:rPr>
        <w:t>për muajin qershor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1F39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nga të hyrat direkte </w:t>
      </w:r>
      <w:r w:rsidR="00501753">
        <w:rPr>
          <w:rFonts w:ascii="Times New Roman" w:hAnsi="Times New Roman" w:cs="Times New Roman"/>
          <w:sz w:val="24"/>
          <w:szCs w:val="24"/>
        </w:rPr>
        <w:t>20,763.46</w:t>
      </w:r>
      <w:r>
        <w:t xml:space="preserve"> </w:t>
      </w:r>
      <w:r w:rsidRPr="001F3941">
        <w:rPr>
          <w:rFonts w:ascii="Times New Roman" w:hAnsi="Times New Roman" w:cs="Times New Roman"/>
          <w:sz w:val="24"/>
          <w:szCs w:val="24"/>
        </w:rPr>
        <w:t>€</w:t>
      </w:r>
      <w:r>
        <w:t xml:space="preserve"> </w:t>
      </w:r>
      <w:r w:rsidR="00501753">
        <w:rPr>
          <w:rFonts w:ascii="Times New Roman" w:hAnsi="Times New Roman" w:cs="Times New Roman"/>
          <w:sz w:val="24"/>
          <w:szCs w:val="24"/>
        </w:rPr>
        <w:t xml:space="preserve">dhe paraqesin </w:t>
      </w:r>
      <w:r>
        <w:rPr>
          <w:rFonts w:ascii="Times New Roman" w:hAnsi="Times New Roman" w:cs="Times New Roman"/>
          <w:sz w:val="24"/>
          <w:szCs w:val="24"/>
        </w:rPr>
        <w:t>3</w:t>
      </w:r>
      <w:r w:rsidR="00501753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941">
        <w:rPr>
          <w:rFonts w:ascii="Times New Roman" w:hAnsi="Times New Roman" w:cs="Times New Roman"/>
          <w:sz w:val="24"/>
          <w:szCs w:val="24"/>
        </w:rPr>
        <w:t xml:space="preserve">%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€ e planit të të hyrave vetanake, 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1753">
        <w:rPr>
          <w:rFonts w:ascii="Times New Roman" w:eastAsia="Times New Roman" w:hAnsi="Times New Roman" w:cs="Times New Roman"/>
          <w:sz w:val="24"/>
          <w:szCs w:val="24"/>
        </w:rPr>
        <w:t>ërsa nga muaji janar deri në qershor gjithsej kemi arkëtuar 165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501753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501753">
        <w:rPr>
          <w:rFonts w:ascii="Times New Roman" w:eastAsia="Times New Roman" w:hAnsi="Times New Roman" w:cs="Times New Roman"/>
          <w:sz w:val="24"/>
          <w:szCs w:val="24"/>
        </w:rPr>
        <w:t>38 € ose 29.4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 nga të hyrat e planifikuara.</w:t>
      </w:r>
    </w:p>
    <w:p w:rsidR="00234826" w:rsidRPr="001F3941" w:rsidRDefault="00234826" w:rsidP="00234826">
      <w:pPr>
        <w:spacing w:after="0" w:line="360" w:lineRule="auto"/>
        <w:ind w:left="-2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Në bazë të drejtorive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për muajin prill 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>kemi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inkasuar</w:t>
      </w:r>
      <w:r w:rsidRPr="001F3941">
        <w:rPr>
          <w:rFonts w:ascii="Times New Roman" w:eastAsia="Times New Roman" w:hAnsi="Times New Roman" w:cs="Times New Roman"/>
          <w:sz w:val="24"/>
          <w:szCs w:val="24"/>
        </w:rPr>
        <w:t xml:space="preserve"> këto të hyra:</w:t>
      </w:r>
    </w:p>
    <w:p w:rsidR="00234826" w:rsidRPr="00FE1103" w:rsidRDefault="00234826" w:rsidP="00234826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34826" w:rsidRDefault="00234826" w:rsidP="00234826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për Buxhet dhe Financa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F68">
        <w:rPr>
          <w:rFonts w:ascii="Times New Roman" w:eastAsia="Times New Roman" w:hAnsi="Times New Roman" w:cs="Times New Roman"/>
          <w:sz w:val="24"/>
          <w:szCs w:val="24"/>
        </w:rPr>
        <w:t xml:space="preserve">10,254.68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:rsidR="00234826" w:rsidRPr="00FE1103" w:rsidRDefault="00234826" w:rsidP="00234826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Administratës së Përgjithshme 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në shumë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>prej</w:t>
      </w:r>
      <w:r w:rsidR="00FC7F68">
        <w:rPr>
          <w:rFonts w:ascii="Times New Roman" w:eastAsia="Times New Roman" w:hAnsi="Times New Roman" w:cs="Times New Roman"/>
          <w:sz w:val="24"/>
          <w:szCs w:val="24"/>
        </w:rPr>
        <w:t xml:space="preserve"> 583.00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</w:t>
      </w:r>
    </w:p>
    <w:p w:rsidR="00234826" w:rsidRDefault="00234826" w:rsidP="00234826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AD">
        <w:rPr>
          <w:rFonts w:ascii="Times New Roman" w:eastAsia="Times New Roman" w:hAnsi="Times New Roman" w:cs="Times New Roman"/>
          <w:sz w:val="24"/>
          <w:szCs w:val="24"/>
        </w:rPr>
        <w:t>Drejtoria e Zhvillimit Ekonomik ka inkasuar të hyra në shumë prej</w:t>
      </w:r>
      <w:r w:rsidRPr="00AB52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FC7F6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3,547.60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:rsidR="00234826" w:rsidRDefault="00234826" w:rsidP="00234826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Shërbimeve Publike </w:t>
      </w: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ka inkasuar të hyra në shumë prej </w:t>
      </w:r>
      <w:r w:rsidR="00FC7F68">
        <w:rPr>
          <w:rFonts w:ascii="Times New Roman" w:eastAsia="Times New Roman" w:hAnsi="Times New Roman" w:cs="Times New Roman"/>
          <w:sz w:val="24"/>
          <w:szCs w:val="24"/>
        </w:rPr>
        <w:t>720.00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:rsidR="00234826" w:rsidRDefault="00234826" w:rsidP="00234826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Drejtoria e</w:t>
      </w:r>
      <w:r w:rsidR="00FC7F68">
        <w:rPr>
          <w:rFonts w:ascii="Times New Roman" w:eastAsia="Times New Roman" w:hAnsi="Times New Roman" w:cs="Times New Roman"/>
          <w:sz w:val="24"/>
          <w:szCs w:val="24"/>
        </w:rPr>
        <w:t xml:space="preserve"> Shëndetësisë dhe Mirëqenies Sociale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AD">
        <w:rPr>
          <w:rFonts w:ascii="Times New Roman" w:eastAsia="Times New Roman" w:hAnsi="Times New Roman" w:cs="Times New Roman"/>
          <w:sz w:val="24"/>
          <w:szCs w:val="24"/>
        </w:rPr>
        <w:t>ka inkasuar të hyra në shumë prej</w:t>
      </w:r>
      <w:r w:rsidR="00FC7F68">
        <w:rPr>
          <w:rFonts w:ascii="Times New Roman" w:eastAsia="Times New Roman" w:hAnsi="Times New Roman" w:cs="Times New Roman"/>
          <w:sz w:val="24"/>
          <w:szCs w:val="24"/>
        </w:rPr>
        <w:t xml:space="preserve"> 585.20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€,</w:t>
      </w:r>
    </w:p>
    <w:p w:rsidR="00234826" w:rsidRDefault="00234826" w:rsidP="00234826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Drejtoria e Urbanizmit ka inkasuar të hyra në shumë prej </w:t>
      </w:r>
      <w:r w:rsidR="00FC7F68">
        <w:rPr>
          <w:rFonts w:ascii="Times New Roman" w:eastAsia="Times New Roman" w:hAnsi="Times New Roman" w:cs="Times New Roman"/>
          <w:sz w:val="24"/>
          <w:szCs w:val="24"/>
        </w:rPr>
        <w:t>3,766.98</w:t>
      </w:r>
      <w:r w:rsidRPr="00AB52A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AB52AD">
        <w:rPr>
          <w:rFonts w:ascii="Times New Roman" w:eastAsia="Times New Roman" w:hAnsi="Times New Roman" w:cs="Times New Roman"/>
          <w:sz w:val="24"/>
          <w:szCs w:val="24"/>
        </w:rPr>
        <w:t xml:space="preserve">€; </w:t>
      </w:r>
    </w:p>
    <w:p w:rsidR="00234826" w:rsidRPr="00FE1103" w:rsidRDefault="00234826" w:rsidP="00234826">
      <w:pPr>
        <w:numPr>
          <w:ilvl w:val="0"/>
          <w:numId w:val="8"/>
        </w:numPr>
        <w:tabs>
          <w:tab w:val="left" w:pos="-90"/>
        </w:tabs>
        <w:spacing w:after="0" w:line="240" w:lineRule="auto"/>
        <w:ind w:left="0" w:right="-54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Drejtoria e Arsimit, Kulturë, Rini dhe </w:t>
      </w:r>
      <w:r w:rsidRPr="00D47A84">
        <w:rPr>
          <w:rFonts w:ascii="Times New Roman" w:eastAsia="Times New Roman" w:hAnsi="Times New Roman" w:cs="Times New Roman"/>
          <w:sz w:val="24"/>
          <w:szCs w:val="24"/>
        </w:rPr>
        <w:t xml:space="preserve">Sport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 inkasuar </w:t>
      </w:r>
      <w:r w:rsidRPr="00FE1103">
        <w:rPr>
          <w:rFonts w:ascii="Times New Roman" w:eastAsia="Times New Roman" w:hAnsi="Times New Roman" w:cs="Times New Roman"/>
          <w:sz w:val="24"/>
          <w:szCs w:val="24"/>
        </w:rPr>
        <w:t xml:space="preserve">të hyra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në shumë prej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1,390 €;</w:t>
      </w:r>
    </w:p>
    <w:p w:rsidR="00234826" w:rsidRPr="00FE1103" w:rsidRDefault="00234826" w:rsidP="00234826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234826" w:rsidRDefault="00234826" w:rsidP="0023482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>Në kuadër të këtij sektori janë kryer këto aktivitete:</w:t>
      </w:r>
    </w:p>
    <w:p w:rsidR="00234826" w:rsidRDefault="00234826" w:rsidP="00234826">
      <w:pPr>
        <w:numPr>
          <w:ilvl w:val="0"/>
          <w:numId w:val="7"/>
        </w:numPr>
        <w:spacing w:after="0" w:line="360" w:lineRule="auto"/>
        <w:ind w:left="9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Përpunimi, harmonizimi dhe barazimi i evidencave të detajizuara te të gjitha llojet e të hyrave sipas programeve buxhetore, fondeve dhe kodeve ekonomike në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Sistemin Informativ të M</w:t>
      </w:r>
      <w:r w:rsidRPr="00FE1103">
        <w:rPr>
          <w:rFonts w:ascii="Times New Roman" w:eastAsia="Calibri" w:hAnsi="Times New Roman" w:cs="Times New Roman"/>
          <w:color w:val="000000"/>
          <w:sz w:val="24"/>
          <w:szCs w:val="24"/>
        </w:rPr>
        <w:t>enaxhim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it Financiar të Kosovës (SIMFK),</w:t>
      </w:r>
    </w:p>
    <w:p w:rsidR="00194929" w:rsidRDefault="00194929" w:rsidP="001949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4929" w:rsidRDefault="00194929" w:rsidP="001949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4929" w:rsidRDefault="00194929" w:rsidP="001949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4929" w:rsidRPr="00604528" w:rsidRDefault="00194929" w:rsidP="0019492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04528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lastRenderedPageBreak/>
        <w:t>SEKTORI I TATIMIT NË PRONË</w:t>
      </w:r>
      <w:r w:rsidRPr="0060452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194929" w:rsidRPr="00FE1103" w:rsidRDefault="00194929" w:rsidP="00194929">
      <w:pPr>
        <w:spacing w:after="0" w:line="240" w:lineRule="auto"/>
        <w:ind w:left="360"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194929" w:rsidRDefault="00194929" w:rsidP="00194929">
      <w:pPr>
        <w:spacing w:after="0" w:line="360" w:lineRule="auto"/>
        <w:ind w:firstLine="36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Gjatë këtij muaji, ky sektor</w:t>
      </w:r>
      <w:r w:rsidRPr="00FE110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ka pasur këto aktivitete:</w:t>
      </w:r>
    </w:p>
    <w:p w:rsidR="00194929" w:rsidRPr="00655A20" w:rsidRDefault="00194929" w:rsidP="00194929">
      <w:p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55A20">
        <w:rPr>
          <w:rFonts w:ascii="Times New Roman" w:eastAsia="MS Mincho" w:hAnsi="Times New Roman" w:cs="Times New Roman"/>
          <w:color w:val="000000"/>
          <w:sz w:val="24"/>
          <w:szCs w:val="24"/>
        </w:rPr>
        <w:t>,</w:t>
      </w:r>
    </w:p>
    <w:p w:rsidR="00194929" w:rsidRDefault="00194929" w:rsidP="0019492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Kemi lidhur dy marrëveshje për pagesë me këste të faturave të tatimit në pronë,</w:t>
      </w:r>
    </w:p>
    <w:p w:rsidR="00194929" w:rsidRDefault="00194929" w:rsidP="0019492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Shërbime të rregullta ndaj qytetarëve,</w:t>
      </w:r>
    </w:p>
    <w:p w:rsidR="00194929" w:rsidRPr="00655A20" w:rsidRDefault="00194929" w:rsidP="00194929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0"/>
          <w:shd w:val="clear" w:color="auto" w:fill="FFFFFF"/>
        </w:rPr>
        <w:t>Plotësimin e Formës së Inspektimit të Tatimit në Pronë për vitin 2022.</w:t>
      </w:r>
    </w:p>
    <w:p w:rsidR="00194929" w:rsidRDefault="00194929" w:rsidP="00E30634">
      <w:pPr>
        <w:pStyle w:val="ListParagraph"/>
        <w:jc w:val="both"/>
      </w:pPr>
    </w:p>
    <w:p w:rsidR="00194929" w:rsidRPr="00194929" w:rsidRDefault="00194929" w:rsidP="00194929"/>
    <w:p w:rsidR="00194929" w:rsidRPr="00194929" w:rsidRDefault="00194929" w:rsidP="00194929"/>
    <w:p w:rsidR="00194929" w:rsidRPr="00194929" w:rsidRDefault="00194929" w:rsidP="00194929"/>
    <w:p w:rsidR="00194929" w:rsidRDefault="00194929" w:rsidP="00194929"/>
    <w:p w:rsidR="00194929" w:rsidRDefault="00194929" w:rsidP="00194929"/>
    <w:p w:rsidR="00194929" w:rsidRDefault="00194929" w:rsidP="00194929"/>
    <w:p w:rsidR="00194929" w:rsidRDefault="00194929" w:rsidP="00194929"/>
    <w:p w:rsidR="00194929" w:rsidRDefault="00194929" w:rsidP="00194929"/>
    <w:p w:rsidR="00194929" w:rsidRDefault="00194929" w:rsidP="00194929"/>
    <w:p w:rsidR="00194929" w:rsidRDefault="00194929" w:rsidP="00194929"/>
    <w:p w:rsidR="00194929" w:rsidRPr="00194929" w:rsidRDefault="00194929" w:rsidP="00194929"/>
    <w:p w:rsidR="00194929" w:rsidRDefault="00194929" w:rsidP="00194929"/>
    <w:p w:rsidR="00194929" w:rsidRDefault="00194929" w:rsidP="0019492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Drejtore e Drejtorisë për Buxhet dhe Financa</w:t>
      </w:r>
    </w:p>
    <w:p w:rsidR="00194929" w:rsidRDefault="00194929" w:rsidP="0019492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194929" w:rsidRDefault="00194929" w:rsidP="0019492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Lindita Ballazhi</w:t>
      </w:r>
    </w:p>
    <w:p w:rsidR="00194929" w:rsidRDefault="00194929" w:rsidP="00194929">
      <w:p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194929" w:rsidRPr="004E30FD" w:rsidRDefault="00194929" w:rsidP="00194929">
      <w:pPr>
        <w:tabs>
          <w:tab w:val="left" w:pos="3270"/>
        </w:tabs>
        <w:jc w:val="both"/>
      </w:pPr>
    </w:p>
    <w:p w:rsidR="00E30634" w:rsidRPr="00194929" w:rsidRDefault="00E30634" w:rsidP="00194929">
      <w:pPr>
        <w:tabs>
          <w:tab w:val="left" w:pos="1140"/>
        </w:tabs>
      </w:pPr>
    </w:p>
    <w:sectPr w:rsidR="00E30634" w:rsidRPr="00194929" w:rsidSect="00861D5D">
      <w:foot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33" w:rsidRDefault="007E1733" w:rsidP="00861D5D">
      <w:pPr>
        <w:spacing w:after="0" w:line="240" w:lineRule="auto"/>
      </w:pPr>
      <w:r>
        <w:separator/>
      </w:r>
    </w:p>
  </w:endnote>
  <w:endnote w:type="continuationSeparator" w:id="0">
    <w:p w:rsidR="007E1733" w:rsidRDefault="007E1733" w:rsidP="0086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106880"/>
      <w:docPartObj>
        <w:docPartGallery w:val="Page Numbers (Bottom of Page)"/>
        <w:docPartUnique/>
      </w:docPartObj>
    </w:sdtPr>
    <w:sdtEndPr/>
    <w:sdtContent>
      <w:p w:rsidR="00861D5D" w:rsidRDefault="007E17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C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D5D" w:rsidRDefault="00861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33" w:rsidRDefault="007E1733" w:rsidP="00861D5D">
      <w:pPr>
        <w:spacing w:after="0" w:line="240" w:lineRule="auto"/>
      </w:pPr>
      <w:r>
        <w:separator/>
      </w:r>
    </w:p>
  </w:footnote>
  <w:footnote w:type="continuationSeparator" w:id="0">
    <w:p w:rsidR="007E1733" w:rsidRDefault="007E1733" w:rsidP="00861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D27"/>
    <w:multiLevelType w:val="hybridMultilevel"/>
    <w:tmpl w:val="0FB4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563"/>
    <w:multiLevelType w:val="hybridMultilevel"/>
    <w:tmpl w:val="F64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66DE"/>
    <w:multiLevelType w:val="hybridMultilevel"/>
    <w:tmpl w:val="F202B6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F025B"/>
    <w:multiLevelType w:val="hybridMultilevel"/>
    <w:tmpl w:val="E89081C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B5E81"/>
    <w:multiLevelType w:val="hybridMultilevel"/>
    <w:tmpl w:val="924E4320"/>
    <w:lvl w:ilvl="0" w:tplc="38440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154"/>
    <w:multiLevelType w:val="hybridMultilevel"/>
    <w:tmpl w:val="9B98A7EE"/>
    <w:lvl w:ilvl="0" w:tplc="01E881EC">
      <w:numFmt w:val="bullet"/>
      <w:lvlText w:val=""/>
      <w:lvlJc w:val="left"/>
      <w:pPr>
        <w:ind w:left="1062" w:hanging="360"/>
      </w:pPr>
      <w:rPr>
        <w:rFonts w:ascii="Wingdings" w:eastAsia="Wingdings" w:hAnsi="Wingdings" w:cs="Wingdings" w:hint="default"/>
        <w:w w:val="99"/>
        <w:sz w:val="24"/>
        <w:szCs w:val="24"/>
        <w:lang w:val="sq-AL" w:eastAsia="en-US" w:bidi="ar-SA"/>
      </w:rPr>
    </w:lvl>
    <w:lvl w:ilvl="1" w:tplc="BFC2052E">
      <w:numFmt w:val="bullet"/>
      <w:lvlText w:val="•"/>
      <w:lvlJc w:val="left"/>
      <w:pPr>
        <w:ind w:left="1974" w:hanging="360"/>
      </w:pPr>
      <w:rPr>
        <w:rFonts w:hint="default"/>
        <w:lang w:val="sq-AL" w:eastAsia="en-US" w:bidi="ar-SA"/>
      </w:rPr>
    </w:lvl>
    <w:lvl w:ilvl="2" w:tplc="F6560BD8">
      <w:numFmt w:val="bullet"/>
      <w:lvlText w:val="•"/>
      <w:lvlJc w:val="left"/>
      <w:pPr>
        <w:ind w:left="2888" w:hanging="360"/>
      </w:pPr>
      <w:rPr>
        <w:rFonts w:hint="default"/>
        <w:lang w:val="sq-AL" w:eastAsia="en-US" w:bidi="ar-SA"/>
      </w:rPr>
    </w:lvl>
    <w:lvl w:ilvl="3" w:tplc="DEDE7086">
      <w:numFmt w:val="bullet"/>
      <w:lvlText w:val="•"/>
      <w:lvlJc w:val="left"/>
      <w:pPr>
        <w:ind w:left="3802" w:hanging="360"/>
      </w:pPr>
      <w:rPr>
        <w:rFonts w:hint="default"/>
        <w:lang w:val="sq-AL" w:eastAsia="en-US" w:bidi="ar-SA"/>
      </w:rPr>
    </w:lvl>
    <w:lvl w:ilvl="4" w:tplc="2E98FB04">
      <w:numFmt w:val="bullet"/>
      <w:lvlText w:val="•"/>
      <w:lvlJc w:val="left"/>
      <w:pPr>
        <w:ind w:left="4716" w:hanging="360"/>
      </w:pPr>
      <w:rPr>
        <w:rFonts w:hint="default"/>
        <w:lang w:val="sq-AL" w:eastAsia="en-US" w:bidi="ar-SA"/>
      </w:rPr>
    </w:lvl>
    <w:lvl w:ilvl="5" w:tplc="80E44840">
      <w:numFmt w:val="bullet"/>
      <w:lvlText w:val="•"/>
      <w:lvlJc w:val="left"/>
      <w:pPr>
        <w:ind w:left="5630" w:hanging="360"/>
      </w:pPr>
      <w:rPr>
        <w:rFonts w:hint="default"/>
        <w:lang w:val="sq-AL" w:eastAsia="en-US" w:bidi="ar-SA"/>
      </w:rPr>
    </w:lvl>
    <w:lvl w:ilvl="6" w:tplc="2F94B18C">
      <w:numFmt w:val="bullet"/>
      <w:lvlText w:val="•"/>
      <w:lvlJc w:val="left"/>
      <w:pPr>
        <w:ind w:left="6544" w:hanging="360"/>
      </w:pPr>
      <w:rPr>
        <w:rFonts w:hint="default"/>
        <w:lang w:val="sq-AL" w:eastAsia="en-US" w:bidi="ar-SA"/>
      </w:rPr>
    </w:lvl>
    <w:lvl w:ilvl="7" w:tplc="BD38C8D8">
      <w:numFmt w:val="bullet"/>
      <w:lvlText w:val="•"/>
      <w:lvlJc w:val="left"/>
      <w:pPr>
        <w:ind w:left="7458" w:hanging="360"/>
      </w:pPr>
      <w:rPr>
        <w:rFonts w:hint="default"/>
        <w:lang w:val="sq-AL" w:eastAsia="en-US" w:bidi="ar-SA"/>
      </w:rPr>
    </w:lvl>
    <w:lvl w:ilvl="8" w:tplc="A45A9FA4">
      <w:numFmt w:val="bullet"/>
      <w:lvlText w:val="•"/>
      <w:lvlJc w:val="left"/>
      <w:pPr>
        <w:ind w:left="8372" w:hanging="360"/>
      </w:pPr>
      <w:rPr>
        <w:rFonts w:hint="default"/>
        <w:lang w:val="sq-AL" w:eastAsia="en-US" w:bidi="ar-SA"/>
      </w:rPr>
    </w:lvl>
  </w:abstractNum>
  <w:abstractNum w:abstractNumId="6" w15:restartNumberingAfterBreak="0">
    <w:nsid w:val="1AC826FC"/>
    <w:multiLevelType w:val="hybridMultilevel"/>
    <w:tmpl w:val="B0BA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72E94"/>
    <w:multiLevelType w:val="hybridMultilevel"/>
    <w:tmpl w:val="4252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0384E"/>
    <w:multiLevelType w:val="hybridMultilevel"/>
    <w:tmpl w:val="865CE14E"/>
    <w:lvl w:ilvl="0" w:tplc="90B02D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31"/>
    <w:rsid w:val="000E5379"/>
    <w:rsid w:val="00153BE2"/>
    <w:rsid w:val="00194929"/>
    <w:rsid w:val="00234826"/>
    <w:rsid w:val="00484EF1"/>
    <w:rsid w:val="004B6949"/>
    <w:rsid w:val="00501753"/>
    <w:rsid w:val="00677C98"/>
    <w:rsid w:val="006F022C"/>
    <w:rsid w:val="00734CFE"/>
    <w:rsid w:val="00775E8D"/>
    <w:rsid w:val="007E1733"/>
    <w:rsid w:val="00806CC0"/>
    <w:rsid w:val="00861D5D"/>
    <w:rsid w:val="008B07F1"/>
    <w:rsid w:val="00AC5C31"/>
    <w:rsid w:val="00B10F65"/>
    <w:rsid w:val="00C50FA7"/>
    <w:rsid w:val="00E30634"/>
    <w:rsid w:val="00E77520"/>
    <w:rsid w:val="00EC3D6B"/>
    <w:rsid w:val="00FC7F68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5556D-228A-439E-8DD6-AF88A9F8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C31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C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C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/>
    </w:rPr>
  </w:style>
  <w:style w:type="paragraph" w:styleId="ListParagraph">
    <w:name w:val="List Paragraph"/>
    <w:basedOn w:val="Normal"/>
    <w:uiPriority w:val="34"/>
    <w:qFormat/>
    <w:rsid w:val="000E537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0E5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5379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GridTable6Colorful-Accent11">
    <w:name w:val="Grid Table 6 Colorful - Accent 11"/>
    <w:basedOn w:val="TableNormal"/>
    <w:uiPriority w:val="51"/>
    <w:rsid w:val="00E306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6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D5D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D5D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Lindita.ballazhi</dc:creator>
  <cp:lastModifiedBy>Windows User</cp:lastModifiedBy>
  <cp:revision>2</cp:revision>
  <dcterms:created xsi:type="dcterms:W3CDTF">2023-07-05T09:26:00Z</dcterms:created>
  <dcterms:modified xsi:type="dcterms:W3CDTF">2023-07-05T09:26:00Z</dcterms:modified>
</cp:coreProperties>
</file>