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00" w:rsidRPr="00B96EC6" w:rsidRDefault="00C73FA0" w:rsidP="00C73FA0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-171450</wp:posOffset>
            </wp:positionV>
            <wp:extent cx="752475" cy="762000"/>
            <wp:effectExtent l="19050" t="0" r="9525" b="0"/>
            <wp:wrapSquare wrapText="right"/>
            <wp:docPr id="4" name="Picture 2" descr="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sov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q-AL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-228600</wp:posOffset>
            </wp:positionV>
            <wp:extent cx="942975" cy="819150"/>
            <wp:effectExtent l="19050" t="0" r="0" b="0"/>
            <wp:wrapNone/>
            <wp:docPr id="3" name="Picture 3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</w:t>
      </w:r>
      <w:r w:rsidR="009C2E00" w:rsidRPr="00B96EC6">
        <w:rPr>
          <w:b/>
          <w:sz w:val="28"/>
          <w:szCs w:val="28"/>
        </w:rPr>
        <w:t>Republika e Kosovës  -  Republic of  Kosova</w:t>
      </w:r>
    </w:p>
    <w:p w:rsidR="009C2E00" w:rsidRDefault="00C73FA0" w:rsidP="00C73FA0">
      <w:pPr>
        <w:tabs>
          <w:tab w:val="center" w:pos="3817"/>
          <w:tab w:val="left" w:pos="68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9C2E00" w:rsidRPr="00B96EC6">
        <w:rPr>
          <w:b/>
          <w:sz w:val="28"/>
          <w:szCs w:val="28"/>
        </w:rPr>
        <w:t>Komuna – Municipality</w:t>
      </w:r>
      <w:r w:rsidR="009C2E00">
        <w:rPr>
          <w:b/>
          <w:sz w:val="28"/>
          <w:szCs w:val="28"/>
        </w:rPr>
        <w:t xml:space="preserve"> Hani i Elezi</w:t>
      </w:r>
      <w:r w:rsidR="009C2E00" w:rsidRPr="00B96EC6">
        <w:rPr>
          <w:b/>
          <w:sz w:val="28"/>
          <w:szCs w:val="28"/>
        </w:rPr>
        <w:t>t</w:t>
      </w:r>
    </w:p>
    <w:p w:rsidR="009C2E00" w:rsidRDefault="009C2E00" w:rsidP="009C2E00">
      <w:pPr>
        <w:jc w:val="right"/>
        <w:rPr>
          <w:b/>
          <w:u w:val="single"/>
        </w:rPr>
      </w:pPr>
    </w:p>
    <w:p w:rsidR="00C73FA0" w:rsidRDefault="00C73FA0" w:rsidP="009C2E00">
      <w:pPr>
        <w:ind w:left="2880" w:firstLine="720"/>
        <w:jc w:val="right"/>
        <w:rPr>
          <w:b/>
          <w:u w:val="single"/>
        </w:rPr>
      </w:pPr>
    </w:p>
    <w:p w:rsidR="00C73FA0" w:rsidRDefault="00C73FA0" w:rsidP="009C2E00">
      <w:pPr>
        <w:ind w:left="2880" w:firstLine="720"/>
        <w:jc w:val="right"/>
        <w:rPr>
          <w:b/>
          <w:u w:val="single"/>
        </w:rPr>
      </w:pPr>
    </w:p>
    <w:p w:rsidR="009C2E00" w:rsidRPr="00B07640" w:rsidRDefault="009C2E00" w:rsidP="009C2E00">
      <w:pPr>
        <w:ind w:left="2880" w:firstLine="720"/>
        <w:jc w:val="right"/>
        <w:rPr>
          <w:b/>
          <w:u w:val="single"/>
        </w:rPr>
      </w:pPr>
      <w:r w:rsidRPr="00B07640">
        <w:rPr>
          <w:b/>
          <w:u w:val="single"/>
        </w:rPr>
        <w:t>Nr. 04/</w:t>
      </w:r>
      <w:r w:rsidR="00C73FA0">
        <w:rPr>
          <w:b/>
          <w:u w:val="single"/>
        </w:rPr>
        <w:softHyphen/>
      </w:r>
      <w:r w:rsidR="00C73FA0">
        <w:rPr>
          <w:b/>
          <w:u w:val="single"/>
        </w:rPr>
        <w:softHyphen/>
      </w:r>
      <w:r w:rsidR="00C73FA0">
        <w:rPr>
          <w:b/>
          <w:u w:val="single"/>
        </w:rPr>
        <w:softHyphen/>
      </w:r>
      <w:r w:rsidR="00C73FA0">
        <w:rPr>
          <w:b/>
          <w:u w:val="single"/>
        </w:rPr>
        <w:softHyphen/>
      </w:r>
      <w:r w:rsidR="00C73FA0">
        <w:rPr>
          <w:b/>
          <w:u w:val="single"/>
        </w:rPr>
        <w:softHyphen/>
      </w:r>
      <w:r w:rsidR="00C73FA0">
        <w:rPr>
          <w:b/>
          <w:u w:val="single"/>
        </w:rPr>
        <w:softHyphen/>
      </w:r>
      <w:r w:rsidR="00C73FA0">
        <w:rPr>
          <w:b/>
          <w:u w:val="single"/>
        </w:rPr>
        <w:softHyphen/>
      </w:r>
      <w:r>
        <w:rPr>
          <w:b/>
          <w:u w:val="single"/>
        </w:rPr>
        <w:t xml:space="preserve">3087  </w:t>
      </w:r>
    </w:p>
    <w:p w:rsidR="009C2E00" w:rsidRPr="00417B74" w:rsidRDefault="009C2E00" w:rsidP="009C2E00">
      <w:pPr>
        <w:tabs>
          <w:tab w:val="left" w:pos="1845"/>
        </w:tabs>
        <w:jc w:val="right"/>
        <w:rPr>
          <w:b/>
        </w:rPr>
      </w:pPr>
      <w:r>
        <w:t xml:space="preserve">                                                                                                                                </w:t>
      </w:r>
      <w:r>
        <w:tab/>
      </w:r>
    </w:p>
    <w:p w:rsidR="009C2E00" w:rsidRDefault="009C2E00" w:rsidP="009C2E00">
      <w:pPr>
        <w:jc w:val="center"/>
      </w:pPr>
    </w:p>
    <w:p w:rsidR="009C2E00" w:rsidRDefault="009C2E00" w:rsidP="009C2E00">
      <w:pPr>
        <w:jc w:val="center"/>
      </w:pPr>
    </w:p>
    <w:p w:rsidR="009C2E00" w:rsidRDefault="009C2E00" w:rsidP="009C2E00">
      <w:pPr>
        <w:jc w:val="center"/>
      </w:pPr>
    </w:p>
    <w:p w:rsidR="009C2E00" w:rsidRDefault="009C2E00" w:rsidP="009C2E00">
      <w:pPr>
        <w:jc w:val="center"/>
      </w:pPr>
    </w:p>
    <w:p w:rsidR="009C2E00" w:rsidRPr="008D7F15" w:rsidRDefault="009C2E00" w:rsidP="009C2E00">
      <w:pPr>
        <w:jc w:val="center"/>
        <w:rPr>
          <w:sz w:val="48"/>
          <w:szCs w:val="48"/>
        </w:rPr>
      </w:pPr>
    </w:p>
    <w:p w:rsidR="009C2E00" w:rsidRDefault="009C2E00" w:rsidP="009C2E00">
      <w:pPr>
        <w:jc w:val="center"/>
      </w:pPr>
    </w:p>
    <w:p w:rsidR="009C2E00" w:rsidRDefault="009C2E00" w:rsidP="009C2E00">
      <w:pPr>
        <w:jc w:val="center"/>
      </w:pPr>
    </w:p>
    <w:p w:rsidR="009C2E00" w:rsidRDefault="009C2E00" w:rsidP="009C2E00">
      <w:pPr>
        <w:jc w:val="center"/>
      </w:pPr>
    </w:p>
    <w:p w:rsidR="009C2E00" w:rsidRPr="008D7F15" w:rsidRDefault="009C2E00" w:rsidP="009C2E00">
      <w:pPr>
        <w:jc w:val="center"/>
        <w:rPr>
          <w:color w:val="000000" w:themeColor="text1"/>
          <w:sz w:val="50"/>
          <w:szCs w:val="50"/>
        </w:rPr>
      </w:pPr>
      <w:r w:rsidRPr="008D7F15">
        <w:rPr>
          <w:color w:val="000000" w:themeColor="text1"/>
        </w:rPr>
        <w:t xml:space="preserve"> </w:t>
      </w:r>
      <w:r w:rsidRPr="008D7F15">
        <w:rPr>
          <w:color w:val="000000" w:themeColor="text1"/>
          <w:sz w:val="50"/>
          <w:szCs w:val="50"/>
        </w:rPr>
        <w:t>DREJTORIA PËR BUXHET DHE FINANCA</w:t>
      </w:r>
    </w:p>
    <w:p w:rsidR="009C2E00" w:rsidRDefault="009C2E00" w:rsidP="009C2E00">
      <w:pPr>
        <w:jc w:val="center"/>
        <w:rPr>
          <w:sz w:val="50"/>
          <w:szCs w:val="50"/>
        </w:rPr>
      </w:pPr>
    </w:p>
    <w:p w:rsidR="009C2E00" w:rsidRDefault="009C2E00" w:rsidP="009C2E00">
      <w:pPr>
        <w:tabs>
          <w:tab w:val="left" w:pos="1845"/>
        </w:tabs>
        <w:jc w:val="center"/>
        <w:rPr>
          <w:b/>
          <w:color w:val="17365D" w:themeColor="text2" w:themeShade="BF"/>
          <w:sz w:val="50"/>
          <w:szCs w:val="50"/>
        </w:rPr>
      </w:pPr>
    </w:p>
    <w:p w:rsidR="009C2E00" w:rsidRDefault="009C2E00" w:rsidP="009C2E00">
      <w:pPr>
        <w:tabs>
          <w:tab w:val="left" w:pos="1845"/>
        </w:tabs>
        <w:jc w:val="center"/>
        <w:rPr>
          <w:b/>
          <w:color w:val="17365D" w:themeColor="text2" w:themeShade="BF"/>
          <w:sz w:val="50"/>
          <w:szCs w:val="50"/>
        </w:rPr>
      </w:pPr>
    </w:p>
    <w:p w:rsidR="009C2E00" w:rsidRDefault="009C2E00" w:rsidP="009C2E00">
      <w:pPr>
        <w:tabs>
          <w:tab w:val="left" w:pos="1845"/>
        </w:tabs>
        <w:jc w:val="center"/>
        <w:rPr>
          <w:b/>
          <w:sz w:val="48"/>
          <w:szCs w:val="48"/>
        </w:rPr>
      </w:pPr>
      <w:r w:rsidRPr="008D7F15">
        <w:rPr>
          <w:b/>
          <w:color w:val="17365D" w:themeColor="text2" w:themeShade="BF"/>
          <w:sz w:val="48"/>
          <w:szCs w:val="48"/>
        </w:rPr>
        <w:t>RAPORT FINANCIAR PËR PERIUDHËN JANAR-MARS 202</w:t>
      </w:r>
      <w:r>
        <w:rPr>
          <w:b/>
          <w:color w:val="17365D" w:themeColor="text2" w:themeShade="BF"/>
          <w:sz w:val="48"/>
          <w:szCs w:val="48"/>
        </w:rPr>
        <w:t>3</w:t>
      </w:r>
    </w:p>
    <w:p w:rsidR="009C2E00" w:rsidRPr="008D7F15" w:rsidRDefault="009C2E00" w:rsidP="009C2E00">
      <w:pPr>
        <w:rPr>
          <w:sz w:val="48"/>
          <w:szCs w:val="48"/>
        </w:rPr>
      </w:pPr>
    </w:p>
    <w:p w:rsidR="009C2E00" w:rsidRPr="008D7F15" w:rsidRDefault="009C2E00" w:rsidP="009C2E00">
      <w:pPr>
        <w:rPr>
          <w:sz w:val="48"/>
          <w:szCs w:val="48"/>
        </w:rPr>
      </w:pPr>
    </w:p>
    <w:p w:rsidR="009C2E00" w:rsidRPr="008D7F15" w:rsidRDefault="009C2E00" w:rsidP="009C2E00">
      <w:pPr>
        <w:rPr>
          <w:sz w:val="48"/>
          <w:szCs w:val="48"/>
        </w:rPr>
      </w:pPr>
    </w:p>
    <w:p w:rsidR="009C2E00" w:rsidRDefault="009C2E00" w:rsidP="009C2E00">
      <w:pPr>
        <w:rPr>
          <w:sz w:val="48"/>
          <w:szCs w:val="48"/>
        </w:rPr>
      </w:pPr>
    </w:p>
    <w:p w:rsidR="009C2E00" w:rsidRDefault="009C2E00" w:rsidP="009C2E00">
      <w:pPr>
        <w:rPr>
          <w:sz w:val="48"/>
          <w:szCs w:val="48"/>
        </w:rPr>
      </w:pPr>
    </w:p>
    <w:p w:rsidR="009C2E00" w:rsidRPr="00C16762" w:rsidRDefault="009C2E00" w:rsidP="009C2E00">
      <w:pPr>
        <w:rPr>
          <w:sz w:val="28"/>
          <w:szCs w:val="28"/>
        </w:rPr>
      </w:pPr>
    </w:p>
    <w:p w:rsidR="009C2E00" w:rsidRDefault="009C2E00" w:rsidP="009C2E00">
      <w:pPr>
        <w:tabs>
          <w:tab w:val="left" w:pos="3045"/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2E00" w:rsidRDefault="009C2E00" w:rsidP="009C2E00">
      <w:pPr>
        <w:tabs>
          <w:tab w:val="left" w:pos="3045"/>
          <w:tab w:val="center" w:pos="4680"/>
        </w:tabs>
        <w:rPr>
          <w:sz w:val="28"/>
          <w:szCs w:val="28"/>
        </w:rPr>
      </w:pPr>
    </w:p>
    <w:p w:rsidR="009C2E00" w:rsidRDefault="009C2E00" w:rsidP="009C2E00">
      <w:pPr>
        <w:tabs>
          <w:tab w:val="left" w:pos="3045"/>
          <w:tab w:val="center" w:pos="4680"/>
        </w:tabs>
        <w:jc w:val="center"/>
        <w:rPr>
          <w:sz w:val="28"/>
          <w:szCs w:val="28"/>
        </w:rPr>
      </w:pPr>
    </w:p>
    <w:p w:rsidR="009C2E00" w:rsidRDefault="009C2E00" w:rsidP="00C73FA0">
      <w:pPr>
        <w:tabs>
          <w:tab w:val="left" w:pos="3045"/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Hani i Elezit, Prill 2023</w:t>
      </w:r>
    </w:p>
    <w:p w:rsidR="009C2E00" w:rsidRPr="00C16762" w:rsidRDefault="009C2E00" w:rsidP="00E628E2">
      <w:pPr>
        <w:rPr>
          <w:sz w:val="28"/>
          <w:szCs w:val="28"/>
        </w:rPr>
      </w:pPr>
    </w:p>
    <w:p w:rsidR="007F55D4" w:rsidRPr="00E36E13" w:rsidRDefault="007F55D4" w:rsidP="007F55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q-AL"/>
        </w:rPr>
      </w:pPr>
      <w:r w:rsidRPr="00E36E13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Hyrje</w:t>
      </w:r>
    </w:p>
    <w:p w:rsidR="007F55D4" w:rsidRDefault="007F55D4" w:rsidP="007F55D4">
      <w:pPr>
        <w:jc w:val="both"/>
        <w:rPr>
          <w:b/>
        </w:rPr>
      </w:pPr>
    </w:p>
    <w:p w:rsidR="007F55D4" w:rsidRDefault="007F55D4" w:rsidP="007F55D4">
      <w:pPr>
        <w:jc w:val="both"/>
      </w:pPr>
      <w:r>
        <w:t>Raporti</w:t>
      </w:r>
      <w:r w:rsidRPr="00250414">
        <w:t xml:space="preserve"> </w:t>
      </w:r>
      <w:r>
        <w:t>financiar për periudhë</w:t>
      </w:r>
      <w:r w:rsidRPr="00250414">
        <w:t xml:space="preserve">n </w:t>
      </w:r>
      <w:r>
        <w:t xml:space="preserve">janar - mars 2023, është përgatitur në bazë </w:t>
      </w:r>
      <w:r>
        <w:rPr>
          <w:bCs/>
        </w:rPr>
        <w:t>të</w:t>
      </w:r>
      <w:r w:rsidRPr="00F31A57">
        <w:rPr>
          <w:bCs/>
        </w:rPr>
        <w:t xml:space="preserve"> </w:t>
      </w:r>
      <w:r>
        <w:t>Ligjit Nr. 03/L-048 p</w:t>
      </w:r>
      <w:r w:rsidRPr="00F31A57">
        <w:t>ër Menaxhimin e Financave Publike dhe Përgjegjësi</w:t>
      </w:r>
      <w:r>
        <w:t>të,</w:t>
      </w:r>
      <w:r w:rsidRPr="00F31A57">
        <w:t xml:space="preserve"> </w:t>
      </w:r>
      <w:r>
        <w:t>të dis</w:t>
      </w:r>
      <w:r w:rsidRPr="00F31A57">
        <w:t>pozitave të nenit 45, paragrafët 45.2 dhe 45.4</w:t>
      </w:r>
      <w:r>
        <w:t>,</w:t>
      </w:r>
      <w:r w:rsidRPr="00F31A57">
        <w:t xml:space="preserve"> </w:t>
      </w:r>
      <w:r>
        <w:t>si dhe Statutin e Komunës së Hanit të Elezit të nenit 51, paragrafi 5.</w:t>
      </w:r>
    </w:p>
    <w:p w:rsidR="007F55D4" w:rsidRDefault="007F55D4" w:rsidP="007F55D4">
      <w:pPr>
        <w:jc w:val="both"/>
      </w:pPr>
    </w:p>
    <w:p w:rsidR="007F55D4" w:rsidRPr="00161439" w:rsidRDefault="007F55D4" w:rsidP="007F55D4">
      <w:pPr>
        <w:jc w:val="both"/>
      </w:pPr>
      <w:r w:rsidRPr="00161439">
        <w:t>Ky raport p</w:t>
      </w:r>
      <w:r>
        <w:t>ërmban një përmbledhje të trende</w:t>
      </w:r>
      <w:r w:rsidRPr="00161439">
        <w:t xml:space="preserve">ve kryesore të të hyrave dhe shpenzimeve buxhetore përgjatë periudhës </w:t>
      </w:r>
      <w:r>
        <w:t>tremujore të vitit 2023</w:t>
      </w:r>
      <w:r w:rsidRPr="00161439">
        <w:t>. Raporti përmban analiza përmbledhëse të periudhës përkatëse, pasqyron të hyrat sipas drejtorive, sipas llojit të të hyrave si dhe krahasimet me periudhat paraprake dhe projeksionet buxhetore.</w:t>
      </w:r>
    </w:p>
    <w:p w:rsidR="007F55D4" w:rsidRDefault="007F55D4" w:rsidP="007F55D4">
      <w:pPr>
        <w:jc w:val="center"/>
        <w:rPr>
          <w:sz w:val="32"/>
          <w:szCs w:val="32"/>
        </w:rPr>
      </w:pPr>
    </w:p>
    <w:p w:rsidR="007F55D4" w:rsidRPr="00E36E13" w:rsidRDefault="007F55D4" w:rsidP="007F55D4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 w:rsidRPr="00E36E13">
        <w:rPr>
          <w:b/>
          <w:color w:val="000000" w:themeColor="text1"/>
        </w:rPr>
        <w:t>Performanca e të hyrave</w:t>
      </w:r>
    </w:p>
    <w:p w:rsidR="007F55D4" w:rsidRDefault="007F55D4" w:rsidP="007F55D4">
      <w:pPr>
        <w:jc w:val="both"/>
        <w:rPr>
          <w:color w:val="365F91" w:themeColor="accent1" w:themeShade="BF"/>
        </w:rPr>
      </w:pPr>
    </w:p>
    <w:p w:rsidR="007F55D4" w:rsidRPr="00F43349" w:rsidRDefault="007F55D4" w:rsidP="007F55D4">
      <w:pPr>
        <w:jc w:val="both"/>
        <w:rPr>
          <w:color w:val="FF0000"/>
        </w:rPr>
      </w:pPr>
      <w:r w:rsidRPr="00F970FE">
        <w:rPr>
          <w:b/>
        </w:rPr>
        <w:t>Të hyrat vetanake</w:t>
      </w:r>
      <w:r>
        <w:rPr>
          <w:b/>
        </w:rPr>
        <w:t>:</w:t>
      </w:r>
      <w:r w:rsidRPr="00B62BF3">
        <w:t xml:space="preserve"> </w:t>
      </w:r>
      <w:r>
        <w:t xml:space="preserve"> gjatë tremujorit të parë të vitit 2023 kemi realizuar të hyra në shumë prej </w:t>
      </w:r>
      <w:r w:rsidR="00C15F28" w:rsidRPr="00C15F28">
        <w:rPr>
          <w:bCs/>
          <w:lang w:val="en-US"/>
        </w:rPr>
        <w:t xml:space="preserve">43,749.54 </w:t>
      </w:r>
      <w:r w:rsidRPr="00C15F28">
        <w:t>€</w:t>
      </w:r>
      <w:r w:rsidR="00C15F28">
        <w:rPr>
          <w:color w:val="FF0000"/>
        </w:rPr>
        <w:t xml:space="preserve"> </w:t>
      </w:r>
      <w:r w:rsidR="00C15F28" w:rsidRPr="00C15F28">
        <w:t xml:space="preserve">dhe paraqesin 7.8 </w:t>
      </w:r>
      <w:r w:rsidRPr="00C15F28">
        <w:t>%</w:t>
      </w:r>
      <w:r>
        <w:t xml:space="preserve"> të të hyrave të përgjithshme të planifikuara vjetore, ndërsa krahasuar me realizimin e tremujorit të</w:t>
      </w:r>
      <w:r w:rsidR="00C15F28">
        <w:t xml:space="preserve"> vitit paraprak në vlerë prej 65</w:t>
      </w:r>
      <w:r>
        <w:t>,244.90</w:t>
      </w:r>
      <w:r w:rsidR="00C15F28">
        <w:t xml:space="preserve"> €</w:t>
      </w:r>
      <w:r>
        <w:t xml:space="preserve"> kemi </w:t>
      </w:r>
      <w:r w:rsidRPr="00A462FA">
        <w:t>n</w:t>
      </w:r>
      <w:r>
        <w:t>jë rënie</w:t>
      </w:r>
      <w:r w:rsidRPr="00A462FA">
        <w:t xml:space="preserve"> për </w:t>
      </w:r>
      <w:r w:rsidR="00C15F28" w:rsidRPr="00C15F28">
        <w:t>21,495.36</w:t>
      </w:r>
      <w:r w:rsidR="00C15F28">
        <w:t xml:space="preserve"> €. </w:t>
      </w:r>
      <w:r>
        <w:t xml:space="preserve"> </w:t>
      </w:r>
      <w:r w:rsidRPr="00F43349">
        <w:rPr>
          <w:color w:val="FF0000"/>
        </w:rPr>
        <w:t xml:space="preserve"> </w:t>
      </w:r>
    </w:p>
    <w:p w:rsidR="007F55D4" w:rsidRPr="00521611" w:rsidRDefault="007F55D4" w:rsidP="007F55D4">
      <w:pPr>
        <w:jc w:val="both"/>
        <w:rPr>
          <w:color w:val="365F91" w:themeColor="accent1" w:themeShade="BF"/>
        </w:rPr>
      </w:pPr>
    </w:p>
    <w:p w:rsidR="007F55D4" w:rsidRDefault="007F55D4" w:rsidP="007F55D4">
      <w:pPr>
        <w:jc w:val="center"/>
        <w:rPr>
          <w:sz w:val="32"/>
          <w:szCs w:val="32"/>
        </w:rPr>
      </w:pPr>
    </w:p>
    <w:p w:rsidR="007F55D4" w:rsidRPr="00E36E13" w:rsidRDefault="007F55D4" w:rsidP="007F55D4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 w:rsidRPr="00E36E13">
        <w:rPr>
          <w:b/>
          <w:color w:val="000000" w:themeColor="text1"/>
        </w:rPr>
        <w:t>Performanca e shpenzimeve</w:t>
      </w:r>
    </w:p>
    <w:p w:rsidR="007F55D4" w:rsidRPr="00E36E13" w:rsidRDefault="007F55D4" w:rsidP="007F55D4">
      <w:pPr>
        <w:jc w:val="both"/>
        <w:rPr>
          <w:b/>
          <w:color w:val="000000" w:themeColor="text1"/>
        </w:rPr>
      </w:pPr>
    </w:p>
    <w:p w:rsidR="007F55D4" w:rsidRPr="0051663F" w:rsidRDefault="007F55D4" w:rsidP="007F55D4">
      <w:pPr>
        <w:jc w:val="both"/>
      </w:pPr>
      <w:r w:rsidRPr="0051663F">
        <w:rPr>
          <w:b/>
        </w:rPr>
        <w:t>Shpenzimet buxhetore:</w:t>
      </w:r>
      <w:r w:rsidRPr="0051663F">
        <w:t xml:space="preserve"> gjatë </w:t>
      </w:r>
      <w:r>
        <w:t>tremujorit të parë të vitit 2023</w:t>
      </w:r>
      <w:r w:rsidRPr="0051663F">
        <w:t xml:space="preserve"> pagesa</w:t>
      </w:r>
      <w:r>
        <w:t xml:space="preserve">t ishin në shumë prej </w:t>
      </w:r>
      <w:r w:rsidRPr="007F55D4">
        <w:rPr>
          <w:bCs/>
          <w:color w:val="000000"/>
          <w:szCs w:val="22"/>
          <w:lang w:val="en-US"/>
        </w:rPr>
        <w:t>521,326.93</w:t>
      </w:r>
      <w:r>
        <w:rPr>
          <w:bCs/>
          <w:color w:val="000000"/>
          <w:szCs w:val="22"/>
          <w:lang w:val="en-US"/>
        </w:rPr>
        <w:t xml:space="preserve"> </w:t>
      </w:r>
      <w:r w:rsidRPr="0051663F">
        <w:t>€ dhe paraqesin 15</w:t>
      </w:r>
      <w:r>
        <w:t xml:space="preserve">.56 </w:t>
      </w:r>
      <w:r w:rsidRPr="0051663F">
        <w:t xml:space="preserve">% të shpenzimeve të përgjithshme të planifikuara, ndërsa krahasuar me realizimin e tremujorit të vitit paraprak </w:t>
      </w:r>
      <w:r>
        <w:t>2022</w:t>
      </w:r>
      <w:r w:rsidRPr="0051663F">
        <w:t xml:space="preserve"> kemi </w:t>
      </w:r>
      <w:r>
        <w:t>një rritje të shpenzimeve  prej 107,565.68</w:t>
      </w:r>
      <w:r w:rsidRPr="0051663F">
        <w:t xml:space="preserve"> € apo </w:t>
      </w:r>
      <w:r>
        <w:t>26% më shumë</w:t>
      </w:r>
      <w:r w:rsidRPr="0051663F">
        <w:t xml:space="preserve"> shpenzime.</w:t>
      </w:r>
    </w:p>
    <w:p w:rsidR="007F55D4" w:rsidRDefault="007F55D4" w:rsidP="007F55D4">
      <w:pPr>
        <w:jc w:val="center"/>
        <w:rPr>
          <w:sz w:val="32"/>
          <w:szCs w:val="32"/>
        </w:rPr>
      </w:pPr>
    </w:p>
    <w:p w:rsidR="007F55D4" w:rsidRDefault="007F55D4" w:rsidP="007F55D4">
      <w:pPr>
        <w:pStyle w:val="ListParagraph"/>
        <w:numPr>
          <w:ilvl w:val="0"/>
          <w:numId w:val="3"/>
        </w:numPr>
        <w:jc w:val="both"/>
      </w:pPr>
      <w:r w:rsidRPr="005A2E1A">
        <w:rPr>
          <w:b/>
        </w:rPr>
        <w:t xml:space="preserve">Shpenzimet për paga dhe </w:t>
      </w:r>
      <w:r>
        <w:rPr>
          <w:b/>
        </w:rPr>
        <w:t>shtesa</w:t>
      </w:r>
      <w:r w:rsidRPr="005A2E1A">
        <w:rPr>
          <w:b/>
        </w:rPr>
        <w:t xml:space="preserve"> </w:t>
      </w:r>
      <w:r>
        <w:t>shënuan vlerën prej</w:t>
      </w:r>
      <w:r w:rsidRPr="005F0574">
        <w:t xml:space="preserve"> </w:t>
      </w:r>
      <w:r w:rsidR="00D25731">
        <w:t>438,190.62</w:t>
      </w:r>
      <w:r>
        <w:t xml:space="preserve"> € gjatë këtij tremujori, duke arritur kështu normën e ekzekutimit n</w:t>
      </w:r>
      <w:r w:rsidR="00D25731">
        <w:t>ë 25.73</w:t>
      </w:r>
      <w:r>
        <w:t>% krahasuar me vlerën totale të buxhetuar për këtë kategori. Shpenzimet për paga dhe shtesa gjatë periudhë</w:t>
      </w:r>
      <w:r w:rsidR="00D25731">
        <w:t>s raportuese paraqesin një rritje prej 17.24 % apo për 64,439.55 € më shumë</w:t>
      </w:r>
      <w:r>
        <w:t xml:space="preserve"> krahasuar me shpenzimet e pagave dhe shtesave për periudhën e njëjtë të</w:t>
      </w:r>
      <w:r w:rsidR="00D25731">
        <w:t xml:space="preserve"> vitit 2022</w:t>
      </w:r>
      <w:r>
        <w:t>.</w:t>
      </w:r>
    </w:p>
    <w:p w:rsidR="007F55D4" w:rsidRDefault="007F55D4" w:rsidP="007F55D4">
      <w:pPr>
        <w:jc w:val="center"/>
        <w:rPr>
          <w:sz w:val="32"/>
          <w:szCs w:val="32"/>
        </w:rPr>
      </w:pPr>
    </w:p>
    <w:p w:rsidR="007F55D4" w:rsidRPr="00973ECB" w:rsidRDefault="007F55D4" w:rsidP="007F55D4">
      <w:pPr>
        <w:pStyle w:val="ListParagraph"/>
        <w:numPr>
          <w:ilvl w:val="0"/>
          <w:numId w:val="3"/>
        </w:numPr>
        <w:jc w:val="both"/>
      </w:pPr>
      <w:r w:rsidRPr="005A2E1A">
        <w:rPr>
          <w:b/>
        </w:rPr>
        <w:t xml:space="preserve">Shpenzimet për mallra dhe shërbime </w:t>
      </w:r>
      <w:r w:rsidRPr="005F0574">
        <w:t>shënuan vlerën</w:t>
      </w:r>
      <w:r w:rsidR="005F182D">
        <w:t xml:space="preserve"> prej 56,767.57</w:t>
      </w:r>
      <w:r>
        <w:t xml:space="preserve"> € gjatë këtij tremujori, duke arritur </w:t>
      </w:r>
      <w:r w:rsidR="005F182D">
        <w:t>kështu normën e ekzekutimit 12.31</w:t>
      </w:r>
      <w:r>
        <w:t xml:space="preserve">%, krahasuar me vlerën totale vjetore të buxhetuar për këtë kategori. Gjatë kësaj periudhe raportuese kemi </w:t>
      </w:r>
      <w:r w:rsidR="005F182D">
        <w:t>një rritje</w:t>
      </w:r>
      <w:r>
        <w:t xml:space="preserve"> në shpenzime për mallra dhe shërbime në krahasim me vitin paraprak me dife</w:t>
      </w:r>
      <w:r w:rsidR="005F182D">
        <w:t xml:space="preserve">rencë në shpenzim prej 28,728.11 €. </w:t>
      </w:r>
    </w:p>
    <w:p w:rsidR="007F55D4" w:rsidRDefault="007F55D4" w:rsidP="007F55D4">
      <w:pPr>
        <w:jc w:val="center"/>
        <w:rPr>
          <w:sz w:val="32"/>
          <w:szCs w:val="32"/>
        </w:rPr>
      </w:pPr>
    </w:p>
    <w:p w:rsidR="007F55D4" w:rsidRDefault="007F55D4" w:rsidP="007F55D4">
      <w:pPr>
        <w:pStyle w:val="ListParagraph"/>
        <w:numPr>
          <w:ilvl w:val="0"/>
          <w:numId w:val="3"/>
        </w:numPr>
        <w:jc w:val="both"/>
      </w:pPr>
      <w:r w:rsidRPr="005A2E1A">
        <w:rPr>
          <w:b/>
        </w:rPr>
        <w:t>Sh</w:t>
      </w:r>
      <w:r>
        <w:rPr>
          <w:b/>
        </w:rPr>
        <w:t>ërb</w:t>
      </w:r>
      <w:r w:rsidRPr="005A2E1A">
        <w:rPr>
          <w:b/>
        </w:rPr>
        <w:t xml:space="preserve">imet komunale </w:t>
      </w:r>
      <w:r w:rsidRPr="005F0574">
        <w:t>shënuan vlerën</w:t>
      </w:r>
      <w:r w:rsidR="00814388">
        <w:t xml:space="preserve"> prej 20,428.74</w:t>
      </w:r>
      <w:r>
        <w:t xml:space="preserve"> € duke arritur </w:t>
      </w:r>
      <w:r w:rsidR="00814388">
        <w:t>kështu normën e ekzekutimit 21.17</w:t>
      </w:r>
      <w:r>
        <w:t>% krahasuar me vlerën totale vjetore të buxhetuar për këtë kategori. Gjatë kësaj periudhe raportuese kemi një rritje të shpenzimeve për shërbime komunale në krahasim me vitin</w:t>
      </w:r>
      <w:r w:rsidR="00814388">
        <w:t xml:space="preserve"> paraprak në vlerë prej 8,458.02 €</w:t>
      </w:r>
      <w:r>
        <w:t xml:space="preserve">. </w:t>
      </w:r>
    </w:p>
    <w:p w:rsidR="007F55D4" w:rsidRDefault="007F55D4" w:rsidP="007F55D4">
      <w:pPr>
        <w:pStyle w:val="ListParagraph"/>
      </w:pPr>
    </w:p>
    <w:p w:rsidR="007F55D4" w:rsidRDefault="007F55D4" w:rsidP="007F55D4">
      <w:pPr>
        <w:pStyle w:val="ListParagraph"/>
        <w:numPr>
          <w:ilvl w:val="0"/>
          <w:numId w:val="3"/>
        </w:numPr>
        <w:jc w:val="both"/>
      </w:pPr>
      <w:r w:rsidRPr="005A2E1A">
        <w:rPr>
          <w:b/>
        </w:rPr>
        <w:lastRenderedPageBreak/>
        <w:t xml:space="preserve">Shpenzimet për subvencione dhe transfere </w:t>
      </w:r>
      <w:r>
        <w:rPr>
          <w:b/>
        </w:rPr>
        <w:t xml:space="preserve">– </w:t>
      </w:r>
      <w:r>
        <w:t>gjatë t</w:t>
      </w:r>
      <w:r w:rsidR="00F25DB3">
        <w:t>re mujorit të parë të vitit 2023</w:t>
      </w:r>
      <w:r>
        <w:t xml:space="preserve"> </w:t>
      </w:r>
      <w:r w:rsidR="00F25DB3">
        <w:t>kemi pasur shpenzime të kësaj kategorie në vlerë prej 3,400 € ose 3.40% nga planifikimi i të njejtës kategori, ndërsa përgjatë TM1 në vitin 2022 nuk kemi pasur shpenzime në këtë kategori.</w:t>
      </w:r>
    </w:p>
    <w:p w:rsidR="0012565D" w:rsidRPr="0012565D" w:rsidRDefault="007F55D4" w:rsidP="0012565D">
      <w:pPr>
        <w:pStyle w:val="ListParagraph"/>
        <w:numPr>
          <w:ilvl w:val="0"/>
          <w:numId w:val="3"/>
        </w:numPr>
        <w:jc w:val="both"/>
        <w:rPr>
          <w:b/>
        </w:rPr>
      </w:pPr>
      <w:r w:rsidRPr="005B61EE">
        <w:rPr>
          <w:b/>
        </w:rPr>
        <w:t>Shpenzimet kapitale –</w:t>
      </w:r>
      <w:r w:rsidR="005B61EE">
        <w:t xml:space="preserve"> Gjatë TM1 të vitit aktual shpenzimi për këtë kategori është në vlerë prej 2,540 € ose 0.26 % nga shpenzimet e planifikuara për këtë kategori. </w:t>
      </w:r>
      <w:r w:rsidR="0012565D">
        <w:t>Vitin e kaluar 2022, gjatë periudhës së njejtë raportuese nuk kemi pasur shpenzime.</w:t>
      </w:r>
      <w:r w:rsidR="0012565D">
        <w:rPr>
          <w:b/>
        </w:rPr>
        <w:t xml:space="preserve"> </w:t>
      </w:r>
    </w:p>
    <w:p w:rsidR="007F55D4" w:rsidRPr="005B61EE" w:rsidRDefault="007F55D4" w:rsidP="007F55D4">
      <w:pPr>
        <w:jc w:val="both"/>
        <w:rPr>
          <w:b/>
        </w:rPr>
      </w:pPr>
    </w:p>
    <w:p w:rsidR="007F55D4" w:rsidRDefault="007F55D4" w:rsidP="007F55D4">
      <w:pPr>
        <w:jc w:val="both"/>
        <w:rPr>
          <w:b/>
        </w:rPr>
      </w:pPr>
    </w:p>
    <w:p w:rsidR="007F55D4" w:rsidRPr="004A42BC" w:rsidRDefault="007F55D4" w:rsidP="007F55D4">
      <w:pPr>
        <w:jc w:val="both"/>
        <w:rPr>
          <w:b/>
        </w:rPr>
      </w:pPr>
    </w:p>
    <w:p w:rsidR="007F55D4" w:rsidRPr="004A42BC" w:rsidRDefault="007F55D4" w:rsidP="007F55D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A42BC">
        <w:rPr>
          <w:b/>
          <w:sz w:val="28"/>
          <w:szCs w:val="28"/>
        </w:rPr>
        <w:t>BUXHETI KOMUNAL 202</w:t>
      </w:r>
      <w:r w:rsidR="002B0BBB">
        <w:rPr>
          <w:b/>
          <w:sz w:val="28"/>
          <w:szCs w:val="28"/>
        </w:rPr>
        <w:t>3</w:t>
      </w:r>
    </w:p>
    <w:p w:rsidR="007F55D4" w:rsidRDefault="007F55D4" w:rsidP="007F55D4">
      <w:pPr>
        <w:jc w:val="both"/>
      </w:pPr>
    </w:p>
    <w:p w:rsidR="007F55D4" w:rsidRDefault="007F55D4" w:rsidP="007F55D4">
      <w:pPr>
        <w:jc w:val="both"/>
      </w:pPr>
      <w:r>
        <w:t xml:space="preserve">Buxheti i komunës së Hanit të Elezit i ndarë sipas Ligjit me nr. </w:t>
      </w:r>
      <w:r w:rsidR="002B0BBB">
        <w:t>08</w:t>
      </w:r>
      <w:r w:rsidRPr="00D2144D">
        <w:t>/L-</w:t>
      </w:r>
      <w:r w:rsidR="002B0BBB">
        <w:t>193</w:t>
      </w:r>
      <w:r>
        <w:t xml:space="preserve"> mbi ndarjet buxhetore të Republik</w:t>
      </w:r>
      <w:r w:rsidRPr="00D23C9A">
        <w:t>ës</w:t>
      </w:r>
      <w:r w:rsidR="002B0BBB">
        <w:t xml:space="preserve"> së Kosovës për vitin 2023</w:t>
      </w:r>
      <w:r>
        <w:t xml:space="preserve"> është në lartësi prej </w:t>
      </w:r>
      <w:r w:rsidR="002B0BBB">
        <w:rPr>
          <w:b/>
          <w:u w:val="single"/>
        </w:rPr>
        <w:t>3,349,715</w:t>
      </w:r>
      <w:r w:rsidRPr="00D64209">
        <w:rPr>
          <w:b/>
          <w:u w:val="single"/>
        </w:rPr>
        <w:t xml:space="preserve"> Euro</w:t>
      </w:r>
      <w:r w:rsidRPr="00D64209">
        <w:rPr>
          <w:b/>
        </w:rPr>
        <w:t>.</w:t>
      </w:r>
      <w:r>
        <w:t xml:space="preserve"> </w:t>
      </w:r>
    </w:p>
    <w:p w:rsidR="007F55D4" w:rsidRDefault="007F55D4" w:rsidP="007F55D4">
      <w:pPr>
        <w:jc w:val="both"/>
      </w:pPr>
    </w:p>
    <w:p w:rsidR="007F55D4" w:rsidRDefault="007F55D4" w:rsidP="007F55D4">
      <w:pPr>
        <w:jc w:val="both"/>
      </w:pPr>
      <w:r w:rsidRPr="008F711F">
        <w:t xml:space="preserve">Ky buxhet është ndarë sipas kategorive ekonomike si </w:t>
      </w:r>
      <w:r>
        <w:t xml:space="preserve">në vijim: </w:t>
      </w:r>
    </w:p>
    <w:p w:rsidR="007F55D4" w:rsidRDefault="007F55D4" w:rsidP="007F55D4">
      <w:pPr>
        <w:pStyle w:val="ListParagraph"/>
        <w:numPr>
          <w:ilvl w:val="0"/>
          <w:numId w:val="4"/>
        </w:numPr>
        <w:jc w:val="both"/>
      </w:pPr>
      <w:r>
        <w:t>Paga dh</w:t>
      </w:r>
      <w:r w:rsidR="002B0BBB">
        <w:t>e shtesa.............. 1,702,823</w:t>
      </w:r>
      <w:r>
        <w:t xml:space="preserve">.00 €, </w:t>
      </w:r>
    </w:p>
    <w:p w:rsidR="007F55D4" w:rsidRDefault="007F55D4" w:rsidP="007F55D4">
      <w:pPr>
        <w:pStyle w:val="ListParagraph"/>
        <w:numPr>
          <w:ilvl w:val="0"/>
          <w:numId w:val="4"/>
        </w:numPr>
        <w:jc w:val="both"/>
      </w:pPr>
      <w:r>
        <w:t>Mall</w:t>
      </w:r>
      <w:r w:rsidR="002B0BBB">
        <w:t>ra dhe shërbime.......... 46</w:t>
      </w:r>
      <w:r>
        <w:t>5</w:t>
      </w:r>
      <w:r w:rsidR="002B0BBB">
        <w:t>,000</w:t>
      </w:r>
      <w:r>
        <w:t>.00</w:t>
      </w:r>
      <w:r w:rsidRPr="008F711F">
        <w:t xml:space="preserve"> €, </w:t>
      </w:r>
    </w:p>
    <w:p w:rsidR="007F55D4" w:rsidRPr="00D64209" w:rsidRDefault="007F55D4" w:rsidP="007F55D4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t>S</w:t>
      </w:r>
      <w:r w:rsidRPr="008F711F">
        <w:t>h</w:t>
      </w:r>
      <w:r>
        <w:t>ërbime</w:t>
      </w:r>
      <w:r w:rsidRPr="008F711F">
        <w:t xml:space="preserve"> </w:t>
      </w:r>
      <w:r w:rsidR="002B0BBB">
        <w:rPr>
          <w:color w:val="000000" w:themeColor="text1"/>
        </w:rPr>
        <w:t>komunale............. 96,5</w:t>
      </w:r>
      <w:r>
        <w:rPr>
          <w:color w:val="000000" w:themeColor="text1"/>
        </w:rPr>
        <w:t>00.00</w:t>
      </w:r>
      <w:r w:rsidRPr="00D64209">
        <w:rPr>
          <w:color w:val="000000" w:themeColor="text1"/>
        </w:rPr>
        <w:t xml:space="preserve"> €, </w:t>
      </w:r>
    </w:p>
    <w:p w:rsidR="007F55D4" w:rsidRPr="00D64209" w:rsidRDefault="007F55D4" w:rsidP="007F55D4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3D64C2">
        <w:rPr>
          <w:color w:val="000000" w:themeColor="text1"/>
        </w:rPr>
        <w:t>ubvencione dhe transfere... 10</w:t>
      </w:r>
      <w:r>
        <w:rPr>
          <w:color w:val="000000" w:themeColor="text1"/>
        </w:rPr>
        <w:t xml:space="preserve">0,000.00 €, </w:t>
      </w:r>
      <w:r w:rsidRPr="00D64209">
        <w:rPr>
          <w:color w:val="000000" w:themeColor="text1"/>
        </w:rPr>
        <w:t xml:space="preserve"> </w:t>
      </w:r>
    </w:p>
    <w:p w:rsidR="007F55D4" w:rsidRPr="003D64C2" w:rsidRDefault="007F55D4" w:rsidP="003D64C2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Shpenzime kapitale</w:t>
      </w:r>
      <w:r>
        <w:rPr>
          <w:color w:val="000000" w:themeColor="text1"/>
        </w:rPr>
        <w:t>............</w:t>
      </w:r>
      <w:r w:rsidRPr="00D64209">
        <w:rPr>
          <w:color w:val="000000" w:themeColor="text1"/>
        </w:rPr>
        <w:t xml:space="preserve"> </w:t>
      </w:r>
      <w:r w:rsidR="003D64C2">
        <w:rPr>
          <w:color w:val="000000" w:themeColor="text1"/>
        </w:rPr>
        <w:t>985,392</w:t>
      </w:r>
      <w:r>
        <w:rPr>
          <w:color w:val="000000" w:themeColor="text1"/>
        </w:rPr>
        <w:t>.00 €,</w:t>
      </w:r>
    </w:p>
    <w:p w:rsidR="007F55D4" w:rsidRPr="004A42BC" w:rsidRDefault="007F55D4" w:rsidP="007F55D4">
      <w:pPr>
        <w:rPr>
          <w:sz w:val="32"/>
          <w:szCs w:val="32"/>
        </w:rPr>
      </w:pPr>
      <w:r>
        <w:rPr>
          <w:color w:val="000000" w:themeColor="text1"/>
          <w:u w:val="single"/>
        </w:rPr>
        <w:t>Totali i buxh</w:t>
      </w:r>
      <w:r w:rsidR="003D64C2">
        <w:rPr>
          <w:color w:val="000000" w:themeColor="text1"/>
          <w:u w:val="single"/>
        </w:rPr>
        <w:t>etit..............  3,349,715.00</w:t>
      </w:r>
      <w:r w:rsidRPr="00C12904">
        <w:rPr>
          <w:color w:val="000000" w:themeColor="text1"/>
          <w:u w:val="single"/>
        </w:rPr>
        <w:t xml:space="preserve"> €.</w:t>
      </w:r>
    </w:p>
    <w:p w:rsidR="007F55D4" w:rsidRDefault="007F55D4" w:rsidP="007F55D4">
      <w:pPr>
        <w:jc w:val="center"/>
      </w:pPr>
    </w:p>
    <w:p w:rsidR="007F55D4" w:rsidRDefault="007F55D4" w:rsidP="007F55D4">
      <w:pPr>
        <w:jc w:val="both"/>
        <w:rPr>
          <w:color w:val="000000" w:themeColor="text1"/>
        </w:rPr>
      </w:pPr>
      <w:r w:rsidRPr="006B353B">
        <w:t>Nisur nga vlerësimi i përgjithshëm del se niveli i shpenzimit të buxhetit për kë</w:t>
      </w:r>
      <w:r w:rsidR="003D64C2">
        <w:t>të periudhë janar-mars 2023</w:t>
      </w:r>
      <w:r w:rsidRPr="006B353B">
        <w:t xml:space="preserve"> është në shumë prej</w:t>
      </w:r>
      <w:r w:rsidR="003D64C2">
        <w:t xml:space="preserve"> 521,326.93</w:t>
      </w:r>
      <w:r w:rsidRPr="002E1C97">
        <w:t xml:space="preserve"> </w:t>
      </w:r>
      <w:r w:rsidRPr="002E1C97">
        <w:rPr>
          <w:color w:val="000000" w:themeColor="text1"/>
        </w:rPr>
        <w:t>€</w:t>
      </w:r>
      <w:r>
        <w:rPr>
          <w:color w:val="000000" w:themeColor="text1"/>
        </w:rPr>
        <w:t xml:space="preserve"> apo 15</w:t>
      </w:r>
      <w:r w:rsidR="003D64C2">
        <w:rPr>
          <w:color w:val="000000" w:themeColor="text1"/>
        </w:rPr>
        <w:t xml:space="preserve">.56 </w:t>
      </w:r>
      <w:r>
        <w:rPr>
          <w:color w:val="000000" w:themeColor="text1"/>
        </w:rPr>
        <w:t xml:space="preserve">%. </w:t>
      </w:r>
    </w:p>
    <w:p w:rsidR="007F55D4" w:rsidRDefault="007F55D4" w:rsidP="007F55D4">
      <w:pPr>
        <w:jc w:val="both"/>
        <w:rPr>
          <w:sz w:val="32"/>
          <w:szCs w:val="32"/>
        </w:rPr>
      </w:pPr>
    </w:p>
    <w:p w:rsidR="007F55D4" w:rsidRDefault="007F55D4" w:rsidP="007F55D4">
      <w:pPr>
        <w:jc w:val="both"/>
      </w:pPr>
      <w:r>
        <w:t>Prej tyre shpenzimi sipas kategorive është si vijon:</w:t>
      </w:r>
    </w:p>
    <w:p w:rsidR="007F55D4" w:rsidRDefault="007F55D4" w:rsidP="007F55D4">
      <w:pPr>
        <w:pStyle w:val="ListParagraph"/>
        <w:numPr>
          <w:ilvl w:val="0"/>
          <w:numId w:val="5"/>
        </w:numPr>
        <w:jc w:val="both"/>
      </w:pPr>
      <w:r>
        <w:t>P</w:t>
      </w:r>
      <w:r w:rsidRPr="006B353B">
        <w:t xml:space="preserve">aga dhe </w:t>
      </w:r>
      <w:r>
        <w:t>shtesa</w:t>
      </w:r>
      <w:r w:rsidRPr="006B353B">
        <w:t xml:space="preserve"> </w:t>
      </w:r>
      <w:r w:rsidR="00CB1A9A">
        <w:t>në shumë prej 438,190.62</w:t>
      </w:r>
      <w:r w:rsidRPr="006B353B">
        <w:t xml:space="preserve"> € apo </w:t>
      </w:r>
      <w:r w:rsidR="00CB1A9A">
        <w:t>25.73</w:t>
      </w:r>
      <w:r w:rsidRPr="006B353B">
        <w:t xml:space="preserve"> %, </w:t>
      </w:r>
    </w:p>
    <w:p w:rsidR="007F55D4" w:rsidRDefault="007F55D4" w:rsidP="007F55D4">
      <w:pPr>
        <w:pStyle w:val="ListParagraph"/>
        <w:numPr>
          <w:ilvl w:val="0"/>
          <w:numId w:val="5"/>
        </w:numPr>
        <w:jc w:val="both"/>
      </w:pPr>
      <w:r>
        <w:t>M</w:t>
      </w:r>
      <w:r w:rsidRPr="006B353B">
        <w:t xml:space="preserve">allra dhe shërbime </w:t>
      </w:r>
      <w:r w:rsidR="00CB1A9A">
        <w:t>në shumë prej 56,767.57</w:t>
      </w:r>
      <w:r w:rsidRPr="006B353B">
        <w:t xml:space="preserve"> € apo </w:t>
      </w:r>
      <w:r w:rsidR="00CB1A9A">
        <w:t xml:space="preserve">12.21 </w:t>
      </w:r>
      <w:r w:rsidRPr="006B353B">
        <w:t>%,</w:t>
      </w:r>
      <w:r>
        <w:t xml:space="preserve"> </w:t>
      </w:r>
    </w:p>
    <w:p w:rsidR="007F55D4" w:rsidRDefault="007F55D4" w:rsidP="007F55D4">
      <w:pPr>
        <w:pStyle w:val="ListParagraph"/>
        <w:numPr>
          <w:ilvl w:val="0"/>
          <w:numId w:val="5"/>
        </w:numPr>
        <w:jc w:val="both"/>
      </w:pPr>
      <w:r>
        <w:t>Shërbime</w:t>
      </w:r>
      <w:r w:rsidRPr="006B353B">
        <w:t xml:space="preserve"> komunale </w:t>
      </w:r>
      <w:r w:rsidR="00CB1A9A">
        <w:t>në shumë prej 20,428.74 € apo 21.17</w:t>
      </w:r>
      <w:r w:rsidRPr="006B353B">
        <w:t xml:space="preserve"> %, </w:t>
      </w:r>
    </w:p>
    <w:p w:rsidR="007F55D4" w:rsidRDefault="007F55D4" w:rsidP="007F55D4">
      <w:pPr>
        <w:pStyle w:val="ListParagraph"/>
        <w:numPr>
          <w:ilvl w:val="0"/>
          <w:numId w:val="5"/>
        </w:numPr>
        <w:jc w:val="both"/>
      </w:pPr>
      <w:r>
        <w:t>S</w:t>
      </w:r>
      <w:r w:rsidRPr="006B353B">
        <w:t xml:space="preserve">ubvencione dhe transfere </w:t>
      </w:r>
      <w:r>
        <w:t xml:space="preserve">në shumë prej </w:t>
      </w:r>
      <w:r w:rsidR="00CB1A9A">
        <w:t>3,400.00</w:t>
      </w:r>
      <w:r>
        <w:t xml:space="preserve"> €  </w:t>
      </w:r>
      <w:r w:rsidR="00CB1A9A">
        <w:t>apo 3.40 % dhe</w:t>
      </w:r>
    </w:p>
    <w:p w:rsidR="007F55D4" w:rsidRDefault="007F55D4" w:rsidP="007F55D4">
      <w:pPr>
        <w:pStyle w:val="ListParagraph"/>
        <w:numPr>
          <w:ilvl w:val="0"/>
          <w:numId w:val="5"/>
        </w:numPr>
        <w:jc w:val="both"/>
      </w:pPr>
      <w:r>
        <w:t>S</w:t>
      </w:r>
      <w:r w:rsidRPr="006B353B">
        <w:t xml:space="preserve">hpenzime kapitale </w:t>
      </w:r>
      <w:r w:rsidR="00CB1A9A">
        <w:t>në shumë prej 2,540.00</w:t>
      </w:r>
      <w:r>
        <w:t xml:space="preserve"> €</w:t>
      </w:r>
      <w:r w:rsidR="00CB1A9A">
        <w:t xml:space="preserve"> apo 0.26%. </w:t>
      </w:r>
    </w:p>
    <w:p w:rsidR="007F55D4" w:rsidRDefault="007F55D4" w:rsidP="00311CE1">
      <w:pPr>
        <w:ind w:left="360"/>
        <w:jc w:val="both"/>
      </w:pPr>
    </w:p>
    <w:p w:rsidR="005D433D" w:rsidRDefault="005D433D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Default="00311CE1"/>
    <w:p w:rsidR="00311CE1" w:rsidRPr="00AD33DC" w:rsidRDefault="00311CE1" w:rsidP="00311CE1">
      <w:pPr>
        <w:pStyle w:val="ListParagraph"/>
        <w:numPr>
          <w:ilvl w:val="0"/>
          <w:numId w:val="1"/>
        </w:numPr>
        <w:jc w:val="both"/>
        <w:rPr>
          <w:b/>
        </w:rPr>
      </w:pPr>
      <w:r w:rsidRPr="00AD33DC">
        <w:rPr>
          <w:b/>
        </w:rPr>
        <w:t>KRAHASIMI I PAGESAVE PË</w:t>
      </w:r>
      <w:r>
        <w:rPr>
          <w:b/>
        </w:rPr>
        <w:t>R PERIUDHËN JANAR-MARS 2023/2022</w:t>
      </w:r>
    </w:p>
    <w:p w:rsidR="00311CE1" w:rsidRPr="00FA2489" w:rsidRDefault="00311CE1" w:rsidP="00311CE1">
      <w:pPr>
        <w:jc w:val="both"/>
      </w:pPr>
    </w:p>
    <w:tbl>
      <w:tblPr>
        <w:tblW w:w="11605" w:type="dxa"/>
        <w:tblInd w:w="-972" w:type="dxa"/>
        <w:tblLook w:val="04A0" w:firstRow="1" w:lastRow="0" w:firstColumn="1" w:lastColumn="0" w:noHBand="0" w:noVBand="1"/>
      </w:tblPr>
      <w:tblGrid>
        <w:gridCol w:w="1890"/>
        <w:gridCol w:w="1492"/>
        <w:gridCol w:w="1260"/>
        <w:gridCol w:w="938"/>
        <w:gridCol w:w="1392"/>
        <w:gridCol w:w="1420"/>
        <w:gridCol w:w="895"/>
        <w:gridCol w:w="1300"/>
        <w:gridCol w:w="1219"/>
      </w:tblGrid>
      <w:tr w:rsidR="00311CE1" w:rsidRPr="001C52E5" w:rsidTr="00311CE1">
        <w:trPr>
          <w:trHeight w:val="9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Kategoritë ekonomike të shpenzimeve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Buxheti 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Realizimi janar-mars 2023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Buxheti 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Realizimi janar-mars 2022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Krahasimi në euro 2023/22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Krahasimi në % 2023/22</w:t>
            </w:r>
          </w:p>
        </w:tc>
      </w:tr>
      <w:tr w:rsidR="00311CE1" w:rsidRPr="001C52E5" w:rsidTr="00311CE1">
        <w:trPr>
          <w:trHeight w:val="3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Paga dhe shtesa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1,702,823.00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438,190.62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25.73%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1,756,083.00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373,751.07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21.28%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64,439.55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17.24</w:t>
            </w:r>
          </w:p>
        </w:tc>
      </w:tr>
      <w:tr w:rsidR="00311CE1" w:rsidRPr="001C52E5" w:rsidTr="00311CE1">
        <w:trPr>
          <w:trHeight w:val="3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Mallra dhe shërbime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465,000.00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56,767.57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12.21%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385,975.00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28,039.46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7.26%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28,728.11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102.46</w:t>
            </w:r>
          </w:p>
        </w:tc>
      </w:tr>
      <w:tr w:rsidR="00311CE1" w:rsidRPr="001C52E5" w:rsidTr="00311CE1">
        <w:trPr>
          <w:trHeight w:val="3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Shpenzime komunale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96,500.00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20,428.74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21.17%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67,700.00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11,970.72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17.68%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8,458.02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70.66</w:t>
            </w:r>
          </w:p>
        </w:tc>
      </w:tr>
      <w:tr w:rsidR="00311CE1" w:rsidRPr="001C52E5" w:rsidTr="00311CE1">
        <w:trPr>
          <w:trHeight w:val="3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Subvencione dhe trans.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3,400.00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3.40%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80,000.00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3,400.00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311CE1" w:rsidRPr="001C52E5" w:rsidTr="00311CE1">
        <w:trPr>
          <w:trHeight w:val="3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Shpenzime kapitale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985,392.00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2,540.00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0.26%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455,000.00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2,540.00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311CE1" w:rsidRPr="001C52E5" w:rsidTr="00311CE1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Rezervat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0.00%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15,000.00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0.00</w:t>
            </w:r>
          </w:p>
        </w:tc>
      </w:tr>
      <w:tr w:rsidR="00311CE1" w:rsidRPr="001C52E5" w:rsidTr="00311CE1">
        <w:trPr>
          <w:trHeight w:val="28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3,349,715.00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521,326.93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15.56%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2,759,758.00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311CE1" w:rsidRPr="001C52E5" w:rsidRDefault="00311CE1" w:rsidP="00311CE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C52E5">
              <w:rPr>
                <w:b/>
                <w:bCs/>
                <w:color w:val="000000"/>
                <w:sz w:val="22"/>
                <w:szCs w:val="22"/>
                <w:lang w:val="en-US"/>
              </w:rPr>
              <w:t>413,761.25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14.99%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107,565.68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11CE1" w:rsidRPr="001C52E5" w:rsidRDefault="00311CE1" w:rsidP="00311CE1">
            <w:pPr>
              <w:jc w:val="right"/>
              <w:rPr>
                <w:color w:val="000000"/>
                <w:lang w:val="en-US"/>
              </w:rPr>
            </w:pPr>
            <w:r w:rsidRPr="001C52E5">
              <w:rPr>
                <w:color w:val="000000"/>
                <w:sz w:val="22"/>
                <w:szCs w:val="22"/>
                <w:lang w:val="en-US"/>
              </w:rPr>
              <w:t>26.00</w:t>
            </w:r>
          </w:p>
        </w:tc>
      </w:tr>
    </w:tbl>
    <w:p w:rsidR="00311CE1" w:rsidRDefault="00311CE1" w:rsidP="00311CE1">
      <w:pPr>
        <w:jc w:val="both"/>
        <w:rPr>
          <w:sz w:val="32"/>
          <w:szCs w:val="32"/>
        </w:rPr>
      </w:pPr>
    </w:p>
    <w:p w:rsidR="00311CE1" w:rsidRPr="00767564" w:rsidRDefault="00311CE1" w:rsidP="00311CE1">
      <w:pPr>
        <w:jc w:val="both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Kom</w:t>
      </w:r>
      <w:r w:rsidRPr="00767564">
        <w:rPr>
          <w:b/>
          <w:color w:val="943634" w:themeColor="accent2" w:themeShade="BF"/>
          <w:u w:val="single"/>
        </w:rPr>
        <w:t>e</w:t>
      </w:r>
      <w:r>
        <w:rPr>
          <w:b/>
          <w:color w:val="943634" w:themeColor="accent2" w:themeShade="BF"/>
          <w:u w:val="single"/>
        </w:rPr>
        <w:t>nte</w:t>
      </w:r>
      <w:r w:rsidRPr="00767564">
        <w:rPr>
          <w:b/>
          <w:color w:val="943634" w:themeColor="accent2" w:themeShade="BF"/>
          <w:u w:val="single"/>
        </w:rPr>
        <w:t xml:space="preserve"> dhe shpjegime:</w:t>
      </w:r>
    </w:p>
    <w:p w:rsidR="00311CE1" w:rsidRPr="0081497D" w:rsidRDefault="00311CE1" w:rsidP="00311CE1">
      <w:pPr>
        <w:jc w:val="both"/>
        <w:rPr>
          <w:u w:val="single"/>
        </w:rPr>
      </w:pPr>
    </w:p>
    <w:p w:rsidR="00311CE1" w:rsidRPr="00FB3691" w:rsidRDefault="00311CE1" w:rsidP="00311CE1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FB3691">
        <w:rPr>
          <w:color w:val="000000" w:themeColor="text1"/>
        </w:rPr>
        <w:t xml:space="preserve">Pagesat nga kategoria ekonomike </w:t>
      </w:r>
      <w:r w:rsidRPr="00FB3691">
        <w:rPr>
          <w:b/>
          <w:color w:val="000000" w:themeColor="text1"/>
        </w:rPr>
        <w:t>p</w:t>
      </w:r>
      <w:r>
        <w:rPr>
          <w:b/>
          <w:color w:val="000000" w:themeColor="text1"/>
        </w:rPr>
        <w:t>aga</w:t>
      </w:r>
      <w:r w:rsidRPr="00FB3691">
        <w:rPr>
          <w:b/>
          <w:color w:val="000000" w:themeColor="text1"/>
        </w:rPr>
        <w:t xml:space="preserve"> dhe </w:t>
      </w:r>
      <w:r>
        <w:rPr>
          <w:b/>
          <w:color w:val="000000" w:themeColor="text1"/>
        </w:rPr>
        <w:t>shtesa</w:t>
      </w:r>
      <w:r w:rsidRPr="00FB3691">
        <w:rPr>
          <w:color w:val="000000" w:themeColor="text1"/>
        </w:rPr>
        <w:t xml:space="preserve"> janë</w:t>
      </w:r>
      <w:r>
        <w:rPr>
          <w:color w:val="000000" w:themeColor="text1"/>
        </w:rPr>
        <w:t xml:space="preserve"> shpenzuar në shumë prej 438,190.62</w:t>
      </w:r>
      <w:r w:rsidRPr="00FB3691">
        <w:rPr>
          <w:color w:val="000000" w:themeColor="text1"/>
        </w:rPr>
        <w:t xml:space="preserve"> € ose </w:t>
      </w:r>
      <w:r>
        <w:rPr>
          <w:color w:val="000000" w:themeColor="text1"/>
        </w:rPr>
        <w:t>25.73</w:t>
      </w:r>
      <w:r w:rsidRPr="00FB3691">
        <w:rPr>
          <w:color w:val="000000" w:themeColor="text1"/>
        </w:rPr>
        <w:t xml:space="preserve">% të planit vjetor, </w:t>
      </w:r>
      <w:r w:rsidRPr="00F55742">
        <w:rPr>
          <w:color w:val="000000" w:themeColor="text1"/>
        </w:rPr>
        <w:t>ndërsa krahasuar me periudhën e</w:t>
      </w:r>
      <w:r>
        <w:rPr>
          <w:color w:val="000000" w:themeColor="text1"/>
        </w:rPr>
        <w:t xml:space="preserve"> njëjtë të vitit 2022</w:t>
      </w:r>
      <w:r w:rsidRPr="00F55742">
        <w:rPr>
          <w:color w:val="000000" w:themeColor="text1"/>
        </w:rPr>
        <w:t xml:space="preserve"> pagesat për këtë kategori ka</w:t>
      </w:r>
      <w:r>
        <w:rPr>
          <w:color w:val="000000" w:themeColor="text1"/>
        </w:rPr>
        <w:t xml:space="preserve">në shënuar rritje </w:t>
      </w:r>
      <w:r w:rsidRPr="00F55742">
        <w:rPr>
          <w:color w:val="000000" w:themeColor="text1"/>
        </w:rPr>
        <w:t xml:space="preserve">për </w:t>
      </w:r>
      <w:r>
        <w:rPr>
          <w:color w:val="000000" w:themeColor="text1"/>
        </w:rPr>
        <w:t>64,439.55</w:t>
      </w:r>
      <w:r w:rsidRPr="00F55742">
        <w:rPr>
          <w:color w:val="000000" w:themeColor="text1"/>
        </w:rPr>
        <w:t xml:space="preserve"> €</w:t>
      </w:r>
      <w:r>
        <w:rPr>
          <w:color w:val="000000" w:themeColor="text1"/>
        </w:rPr>
        <w:t>.</w:t>
      </w:r>
    </w:p>
    <w:p w:rsidR="00311CE1" w:rsidRPr="00E2761B" w:rsidRDefault="00311CE1" w:rsidP="00311CE1">
      <w:pPr>
        <w:ind w:left="360"/>
        <w:jc w:val="both"/>
        <w:rPr>
          <w:color w:val="FF0000"/>
        </w:rPr>
      </w:pPr>
    </w:p>
    <w:p w:rsidR="00311CE1" w:rsidRPr="00304026" w:rsidRDefault="00311CE1" w:rsidP="00311CE1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304026">
        <w:rPr>
          <w:color w:val="000000" w:themeColor="text1"/>
        </w:rPr>
        <w:t xml:space="preserve">Pagesat për këtë kategori ekonomike </w:t>
      </w:r>
      <w:r w:rsidRPr="00304026">
        <w:rPr>
          <w:b/>
          <w:color w:val="000000" w:themeColor="text1"/>
        </w:rPr>
        <w:t>mallra dhe shërbime</w:t>
      </w:r>
      <w:r w:rsidRPr="00304026">
        <w:rPr>
          <w:color w:val="000000" w:themeColor="text1"/>
        </w:rPr>
        <w:t xml:space="preserve"> për tre mujorin e parë 202</w:t>
      </w:r>
      <w:r>
        <w:rPr>
          <w:color w:val="000000" w:themeColor="text1"/>
        </w:rPr>
        <w:t>3</w:t>
      </w:r>
      <w:r w:rsidRPr="00304026">
        <w:rPr>
          <w:color w:val="000000" w:themeColor="text1"/>
        </w:rPr>
        <w:t xml:space="preserve"> janë </w:t>
      </w:r>
      <w:r>
        <w:rPr>
          <w:color w:val="000000" w:themeColor="text1"/>
        </w:rPr>
        <w:t>56,767.57</w:t>
      </w:r>
      <w:r w:rsidRPr="00304026">
        <w:rPr>
          <w:color w:val="000000" w:themeColor="text1"/>
        </w:rPr>
        <w:t xml:space="preserve"> € apo </w:t>
      </w:r>
      <w:r>
        <w:rPr>
          <w:color w:val="000000" w:themeColor="text1"/>
        </w:rPr>
        <w:t>12.21</w:t>
      </w:r>
      <w:r w:rsidRPr="00E93026">
        <w:t>%</w:t>
      </w:r>
      <w:r>
        <w:rPr>
          <w:color w:val="000000" w:themeColor="text1"/>
        </w:rPr>
        <w:t xml:space="preserve"> e planit vjetor, ndërsa karahasur me </w:t>
      </w:r>
      <w:r w:rsidRPr="00993F7F">
        <w:rPr>
          <w:color w:val="000000" w:themeColor="text1"/>
        </w:rPr>
        <w:t>periudhën e njëjtë të vitit 20</w:t>
      </w:r>
      <w:r>
        <w:rPr>
          <w:color w:val="000000" w:themeColor="text1"/>
        </w:rPr>
        <w:t>22</w:t>
      </w:r>
      <w:r w:rsidRPr="00993F7F">
        <w:rPr>
          <w:color w:val="000000" w:themeColor="text1"/>
        </w:rPr>
        <w:t xml:space="preserve"> ke</w:t>
      </w:r>
      <w:r>
        <w:rPr>
          <w:color w:val="000000" w:themeColor="text1"/>
        </w:rPr>
        <w:t xml:space="preserve">mi rritje prej 28,728.11 </w:t>
      </w:r>
      <w:r w:rsidRPr="00993F7F">
        <w:rPr>
          <w:color w:val="000000" w:themeColor="text1"/>
        </w:rPr>
        <w:t>€.</w:t>
      </w:r>
    </w:p>
    <w:p w:rsidR="00311CE1" w:rsidRPr="00304026" w:rsidRDefault="00311CE1" w:rsidP="00311CE1">
      <w:pPr>
        <w:jc w:val="both"/>
        <w:rPr>
          <w:color w:val="000000" w:themeColor="text1"/>
        </w:rPr>
      </w:pPr>
    </w:p>
    <w:p w:rsidR="00311CE1" w:rsidRPr="00993F7F" w:rsidRDefault="00311CE1" w:rsidP="00311CE1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për </w:t>
      </w:r>
      <w:r>
        <w:rPr>
          <w:b/>
          <w:color w:val="000000" w:themeColor="text1"/>
        </w:rPr>
        <w:t>shërb</w:t>
      </w:r>
      <w:r w:rsidRPr="00CF56E8">
        <w:rPr>
          <w:b/>
          <w:color w:val="000000" w:themeColor="text1"/>
        </w:rPr>
        <w:t>ime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komunale</w:t>
      </w:r>
      <w:r w:rsidRPr="00CF56E8">
        <w:rPr>
          <w:color w:val="000000" w:themeColor="text1"/>
        </w:rPr>
        <w:t xml:space="preserve"> për tremujorin e parë 20</w:t>
      </w:r>
      <w:r>
        <w:rPr>
          <w:color w:val="000000" w:themeColor="text1"/>
        </w:rPr>
        <w:t>23</w:t>
      </w:r>
      <w:r w:rsidRPr="00CF56E8">
        <w:rPr>
          <w:color w:val="000000" w:themeColor="text1"/>
        </w:rPr>
        <w:t xml:space="preserve"> janë në shumë prej </w:t>
      </w:r>
      <w:r>
        <w:rPr>
          <w:color w:val="000000" w:themeColor="text1"/>
        </w:rPr>
        <w:t xml:space="preserve">20,428.74 </w:t>
      </w:r>
      <w:r w:rsidRPr="00CF56E8">
        <w:rPr>
          <w:color w:val="000000" w:themeColor="text1"/>
        </w:rPr>
        <w:t xml:space="preserve">€ apo </w:t>
      </w:r>
      <w:r>
        <w:rPr>
          <w:color w:val="000000" w:themeColor="text1"/>
        </w:rPr>
        <w:t>21.17</w:t>
      </w:r>
      <w:r w:rsidRPr="00CF56E8">
        <w:rPr>
          <w:color w:val="000000" w:themeColor="text1"/>
        </w:rPr>
        <w:t xml:space="preserve">%  e planit vjetor, </w:t>
      </w:r>
      <w:r w:rsidRPr="00993F7F">
        <w:rPr>
          <w:color w:val="000000" w:themeColor="text1"/>
        </w:rPr>
        <w:t>ndërsa krahasuar me periudhën e njëjtë të vitit 20</w:t>
      </w:r>
      <w:r>
        <w:rPr>
          <w:color w:val="000000" w:themeColor="text1"/>
        </w:rPr>
        <w:t xml:space="preserve">22 </w:t>
      </w:r>
      <w:r w:rsidRPr="00993F7F">
        <w:rPr>
          <w:color w:val="000000" w:themeColor="text1"/>
        </w:rPr>
        <w:t xml:space="preserve">kemi </w:t>
      </w:r>
      <w:r>
        <w:rPr>
          <w:color w:val="000000" w:themeColor="text1"/>
        </w:rPr>
        <w:t>një rritje prej 8,458.02 €.</w:t>
      </w:r>
    </w:p>
    <w:p w:rsidR="00311CE1" w:rsidRPr="00CF56E8" w:rsidRDefault="00311CE1" w:rsidP="00311CE1">
      <w:pPr>
        <w:pStyle w:val="ListParagraph"/>
        <w:jc w:val="both"/>
        <w:rPr>
          <w:color w:val="000000" w:themeColor="text1"/>
        </w:rPr>
      </w:pPr>
    </w:p>
    <w:p w:rsidR="00311CE1" w:rsidRPr="00A522F6" w:rsidRDefault="00311CE1" w:rsidP="00311CE1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A522F6">
        <w:rPr>
          <w:color w:val="000000" w:themeColor="text1"/>
        </w:rPr>
        <w:t xml:space="preserve">Pagesat nga kategoria </w:t>
      </w:r>
      <w:r w:rsidRPr="00A522F6">
        <w:rPr>
          <w:b/>
          <w:color w:val="000000" w:themeColor="text1"/>
        </w:rPr>
        <w:t>subvencione dhe transfere</w:t>
      </w:r>
      <w:r w:rsidRPr="00A522F6">
        <w:rPr>
          <w:color w:val="000000" w:themeColor="text1"/>
        </w:rPr>
        <w:t xml:space="preserve"> </w:t>
      </w:r>
      <w:r w:rsidR="00A522F6">
        <w:t>gjatë tre mujorit të parë të vitit 2023 kemi pasur shpenzime të kësaj kategorie në vlerë prej 3,400 € ose 3.40% nga planifikimi i të njejtës kategori, ndërsa përgjatë TM1 në vitin 2022 nuk kemi pasur shpenzime në këtë kategori.</w:t>
      </w:r>
    </w:p>
    <w:p w:rsidR="00311CE1" w:rsidRPr="00CF56E8" w:rsidRDefault="00311CE1" w:rsidP="00311CE1">
      <w:pPr>
        <w:jc w:val="both"/>
        <w:rPr>
          <w:color w:val="000000" w:themeColor="text1"/>
        </w:rPr>
      </w:pPr>
    </w:p>
    <w:p w:rsidR="00A522F6" w:rsidRPr="0012565D" w:rsidRDefault="00A522F6" w:rsidP="00A522F6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  <w:color w:val="000000" w:themeColor="text1"/>
        </w:rPr>
        <w:t>S</w:t>
      </w:r>
      <w:r w:rsidR="00311CE1" w:rsidRPr="00A522F6">
        <w:rPr>
          <w:b/>
          <w:color w:val="000000" w:themeColor="text1"/>
        </w:rPr>
        <w:t>hpenzimet kapitale</w:t>
      </w:r>
      <w:r w:rsidR="00311CE1" w:rsidRPr="00A522F6">
        <w:rPr>
          <w:color w:val="000000" w:themeColor="text1"/>
        </w:rPr>
        <w:t xml:space="preserve"> </w:t>
      </w:r>
      <w:r>
        <w:rPr>
          <w:color w:val="000000" w:themeColor="text1"/>
        </w:rPr>
        <w:t>g</w:t>
      </w:r>
      <w:r>
        <w:t>jatë TM1 të vitit aktual për këtë kategori janë në vlerë prej 2,540 € ose 0.26 % nga shpenzimet e planifikuara për këtë kategori. Vitin e kaluar 2022, gjatë periudhës së njejtë raportuese nuk kemi pasur shpenzime.</w:t>
      </w:r>
      <w:r>
        <w:rPr>
          <w:b/>
        </w:rPr>
        <w:t xml:space="preserve"> </w:t>
      </w:r>
    </w:p>
    <w:p w:rsidR="00A522F6" w:rsidRPr="005B61EE" w:rsidRDefault="00A522F6" w:rsidP="00A522F6">
      <w:pPr>
        <w:jc w:val="both"/>
        <w:rPr>
          <w:b/>
        </w:rPr>
      </w:pPr>
    </w:p>
    <w:p w:rsidR="00311CE1" w:rsidRPr="00A522F6" w:rsidRDefault="00311CE1" w:rsidP="00A522F6">
      <w:pPr>
        <w:pStyle w:val="ListParagraph"/>
        <w:jc w:val="both"/>
        <w:rPr>
          <w:color w:val="000000" w:themeColor="text1"/>
        </w:rPr>
      </w:pPr>
    </w:p>
    <w:p w:rsidR="00311CE1" w:rsidRPr="0051663F" w:rsidRDefault="00A522F6" w:rsidP="00311CE1">
      <w:pPr>
        <w:jc w:val="both"/>
      </w:pPr>
      <w:r>
        <w:rPr>
          <w:color w:val="000000" w:themeColor="text1"/>
        </w:rPr>
        <w:t>Gjithsej</w:t>
      </w:r>
      <w:r w:rsidR="00311CE1" w:rsidRPr="00CF56E8">
        <w:rPr>
          <w:color w:val="000000" w:themeColor="text1"/>
        </w:rPr>
        <w:t xml:space="preserve"> </w:t>
      </w:r>
      <w:r w:rsidR="00311CE1" w:rsidRPr="00CF56E8">
        <w:rPr>
          <w:b/>
          <w:color w:val="000000" w:themeColor="text1"/>
        </w:rPr>
        <w:t>shpen</w:t>
      </w:r>
      <w:r w:rsidR="00311CE1">
        <w:rPr>
          <w:b/>
          <w:color w:val="000000" w:themeColor="text1"/>
        </w:rPr>
        <w:t>zimet</w:t>
      </w:r>
      <w:r w:rsidR="00311CE1" w:rsidRPr="00CF56E8">
        <w:rPr>
          <w:b/>
          <w:color w:val="000000" w:themeColor="text1"/>
        </w:rPr>
        <w:t xml:space="preserve"> për periudhën janar-mars 20</w:t>
      </w:r>
      <w:r w:rsidR="00311CE1">
        <w:rPr>
          <w:b/>
          <w:color w:val="000000" w:themeColor="text1"/>
        </w:rPr>
        <w:t>2</w:t>
      </w:r>
      <w:r>
        <w:rPr>
          <w:b/>
          <w:color w:val="000000" w:themeColor="text1"/>
        </w:rPr>
        <w:t>3</w:t>
      </w:r>
      <w:r w:rsidR="00311CE1" w:rsidRPr="00CF56E8">
        <w:rPr>
          <w:color w:val="000000" w:themeColor="text1"/>
        </w:rPr>
        <w:t xml:space="preserve">, për të gjitha kategoritë ekonomike të shpenzimeve </w:t>
      </w:r>
      <w:r w:rsidR="00311CE1">
        <w:rPr>
          <w:color w:val="000000" w:themeColor="text1"/>
        </w:rPr>
        <w:t>janë</w:t>
      </w:r>
      <w:r w:rsidR="00311CE1" w:rsidRPr="00CF56E8">
        <w:rPr>
          <w:color w:val="000000" w:themeColor="text1"/>
        </w:rPr>
        <w:t xml:space="preserve"> në shumë prej </w:t>
      </w:r>
      <w:r>
        <w:rPr>
          <w:color w:val="000000" w:themeColor="text1"/>
        </w:rPr>
        <w:t>521,326.93</w:t>
      </w:r>
      <w:r w:rsidR="00311CE1" w:rsidRPr="00CF56E8">
        <w:rPr>
          <w:color w:val="000000" w:themeColor="text1"/>
        </w:rPr>
        <w:t xml:space="preserve"> € apo </w:t>
      </w:r>
      <w:r w:rsidR="00311CE1">
        <w:rPr>
          <w:color w:val="000000" w:themeColor="text1"/>
        </w:rPr>
        <w:t>15</w:t>
      </w:r>
      <w:r>
        <w:rPr>
          <w:color w:val="000000" w:themeColor="text1"/>
        </w:rPr>
        <w:t>.56</w:t>
      </w:r>
      <w:r w:rsidR="00311CE1" w:rsidRPr="00CF56E8">
        <w:rPr>
          <w:color w:val="000000" w:themeColor="text1"/>
        </w:rPr>
        <w:t xml:space="preserve">% e planit të përgjithshëm vjetor, ndërsa </w:t>
      </w:r>
      <w:r w:rsidR="00311CE1" w:rsidRPr="00CF56E8">
        <w:rPr>
          <w:color w:val="000000" w:themeColor="text1"/>
        </w:rPr>
        <w:lastRenderedPageBreak/>
        <w:t xml:space="preserve">në krahasim me periudhën e njëjtë të vitit paraprak kemi </w:t>
      </w:r>
      <w:r w:rsidR="00311CE1">
        <w:rPr>
          <w:color w:val="000000" w:themeColor="text1"/>
        </w:rPr>
        <w:t xml:space="preserve">një </w:t>
      </w:r>
      <w:r w:rsidR="00311CE1" w:rsidRPr="00CF56E8">
        <w:rPr>
          <w:color w:val="000000" w:themeColor="text1"/>
        </w:rPr>
        <w:t>r</w:t>
      </w:r>
      <w:r>
        <w:rPr>
          <w:color w:val="000000" w:themeColor="text1"/>
        </w:rPr>
        <w:t>ritje</w:t>
      </w:r>
      <w:r w:rsidR="00311CE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prej </w:t>
      </w:r>
      <w:r>
        <w:t>107,565.68 € apo 26 % më shumë</w:t>
      </w:r>
      <w:r w:rsidR="00311CE1" w:rsidRPr="0051663F">
        <w:t xml:space="preserve"> shpenzime.</w:t>
      </w:r>
    </w:p>
    <w:p w:rsidR="005D433D" w:rsidRPr="005B776B" w:rsidRDefault="005D433D" w:rsidP="005D433D">
      <w:pPr>
        <w:pStyle w:val="ListParagraph"/>
        <w:numPr>
          <w:ilvl w:val="0"/>
          <w:numId w:val="1"/>
        </w:numPr>
        <w:jc w:val="both"/>
      </w:pPr>
      <w:r w:rsidRPr="005D433D">
        <w:rPr>
          <w:b/>
        </w:rPr>
        <w:t>BUXHETI I KOMUNËS SIPAS DREJTORIVE DHE KATEGORIVE EKONOMIKE</w:t>
      </w:r>
    </w:p>
    <w:p w:rsidR="00311CE1" w:rsidRDefault="00311CE1" w:rsidP="00311CE1">
      <w:pPr>
        <w:jc w:val="both"/>
        <w:rPr>
          <w:color w:val="000000" w:themeColor="text1"/>
        </w:rPr>
      </w:pPr>
    </w:p>
    <w:tbl>
      <w:tblPr>
        <w:tblW w:w="10813" w:type="dxa"/>
        <w:tblInd w:w="-882" w:type="dxa"/>
        <w:tblLook w:val="04A0" w:firstRow="1" w:lastRow="0" w:firstColumn="1" w:lastColumn="0" w:noHBand="0" w:noVBand="1"/>
      </w:tblPr>
      <w:tblGrid>
        <w:gridCol w:w="2610"/>
        <w:gridCol w:w="1440"/>
        <w:gridCol w:w="1151"/>
        <w:gridCol w:w="1151"/>
        <w:gridCol w:w="1017"/>
        <w:gridCol w:w="1139"/>
        <w:gridCol w:w="1439"/>
        <w:gridCol w:w="866"/>
      </w:tblGrid>
      <w:tr w:rsidR="005D433D" w:rsidTr="005D433D">
        <w:trPr>
          <w:trHeight w:val="67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Përshkrimi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Buxheti Aktual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Allocated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 paalokuar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Aktuali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Zotim /Obligimet në pritje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Buxheti FreeBalance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Progresi në %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CAT / RESP / PCLASS / SUBCL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- 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- ( C + D 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- E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10 BUXHETI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2,791,483.65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1,525,517.40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1,265,966.25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516,941.14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21,889.41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2,252,653.10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18.52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659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2,791,483.65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1,525,517.40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1,265,966.25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516,941.14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21,889.41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2,252,653.10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18.52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16035 ZYRA E KRYETARIT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103,011.99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46,630.21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56,381.78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25,791.26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913.65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76,307.08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25.04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78,011.99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21,630.21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56,381.78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21,630.21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56,381.78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27.73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4,161.05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913.65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19,925.30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16.64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16335 ADMINISTRATA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218,130.00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148,406.67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69,723.33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48,455.10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8,514.07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161,160.83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22.21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93,130.00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23,406.67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69,723.33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23,346.32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69,783.68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25.07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8,872.74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8,280.57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47,846.69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13.65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16,236.04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233.50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43,530.46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27.06</w:t>
            </w:r>
          </w:p>
        </w:tc>
      </w:tr>
      <w:tr w:rsidR="005D433D" w:rsidTr="005D433D">
        <w:trPr>
          <w:trHeight w:val="5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16935 ZYRA E KUVENDIT KOMUNAL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76,719.00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45,231.47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31,487.53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31,128.11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45,590.89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40.57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61,719.00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30,231.47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31,487.53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30,231.47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31,487.53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48.98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896.64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14,103.36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5.98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17535 BUXHETI - HANI 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59,600.99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18,102.76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41,498.23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14,384.69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44,446.30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24.13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54,600.99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13,102.76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41,498.23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12,672.24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41,928.75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23.21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1,712.45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2,517.55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34.25</w:t>
            </w:r>
          </w:p>
        </w:tc>
      </w:tr>
      <w:tr w:rsidR="005D433D" w:rsidTr="005D433D">
        <w:trPr>
          <w:trHeight w:val="4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18444 PARANDALIMI DHE INSPEKTIMI I ZJARRIT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176,389.00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126,531.80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49,857.20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29,620.83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901.00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145,867.17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16.79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66,389.00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16,531.80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49,857.20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16,531.80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49,857.20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24.90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13,089.03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46,009.97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21.82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4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19675 ZYRA LOKALE E KOMUNITETEVE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6,826.99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2,232.08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4,594.91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1,667.17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5,159.82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24.42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6,326.99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1,732.08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4,594.91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1,667.17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4,659.82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26.35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5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47115 PYLLTARIA   INSPEKCIONI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32,438.00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11,163.32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21,274.68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7,708.32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24,729.68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23.76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28,938.00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7,663.32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21,274.68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7,663.32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21,274.68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26.48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3,455.00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</w:t>
            </w:r>
          </w:p>
        </w:tc>
      </w:tr>
      <w:tr w:rsidR="005D433D" w:rsidTr="005D433D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48035 PLANIFIKIMI DHE ZHVILLIMI EKONOMIK - HANI 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24,544.00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9,035.42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15,508.58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8,051.42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16,492.58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32.80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21,544.00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6,035.42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15,508.58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6,035.42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15,508.58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28.01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2,016.00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67.20</w:t>
            </w:r>
          </w:p>
        </w:tc>
      </w:tr>
      <w:tr w:rsidR="005D433D" w:rsidTr="005D433D">
        <w:trPr>
          <w:trHeight w:val="5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66480 PLANIFIKIMI URBANIZMI INSPEKCIONI - HANI 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439,706.99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399,032.90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40,674.09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19,818.18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6,899.75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412,989.06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56,276.99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15,602.90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40,674.09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15,602.90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40,674.09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27.73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14,959.00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14,959.00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1,675.28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13,283.72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368,471.00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368,471.00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2,540.00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6,899.75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359,031.25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0.69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73044 ADMINISTRATA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16,584.00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5,205.02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11,378.98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4,705.02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11,878.98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28.37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16,084.00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4,705.02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11,378.98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4,705.02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11,378.98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29.25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75050 SHËRBIMET E KUJDESIT PRIMAR SHËNDETËSOR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366,451.05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176,719.40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189,731.65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74,431.97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2,267.40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289,751.68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20.31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251,951.05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62,219.40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189,731.65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62,219.40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189,731.65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10,212.57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2,240.97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57,546.46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12,473.57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13.79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75671 SHËRBIMET SOCIALE - HANI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23,527.99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8,714.65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14,813.34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5,032.07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18,495.92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21.39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19,727.99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4,914.65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14,813.34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4,914.65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14,813.34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24.91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2,712.58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3.12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92175 ADMINISTRATA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99,900.67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76,111.47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23,789.20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18,848.91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384.00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80,667.76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18.87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32,900.67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9,111.47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23,789.20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9,111.47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23,789.20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27.69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9,737.44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41,878.56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18.73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92890 ARSIMI PARAFILLOR DHE  ÇERDHET - HANI I 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76,582.99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30,129.61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46,453.38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19,358.50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57,162.29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25.28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63,332.99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16,879.61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46,453.38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16,879.61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46,453.38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26.65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10,250.00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1,946.88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8,240.92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18.99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2,467.99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17.73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94020 ARSIMI FILLOR - HANI 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901,612.00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376,176.20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525,435.80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172,331.47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1,177.34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728,103.19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19.11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695,699.00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170,263.20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525,435.80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170,263.20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525,435.80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24.47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78,413.00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78,413.00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1,031.28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1,177.34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76,204.38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1,036.99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13,463.01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7.15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95220 ARSIMI I MESËM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169,457.99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46,094.42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123,363.57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35,608.12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133,849.87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21.01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11 PAGA DHE SHTESA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158,079.99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34,716.42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123,363.57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34,716.42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123,363.57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21.96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7,878.00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7,878.00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7,580.00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3.78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14 SHPENZIME KOMUNALE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593.70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2,906.30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16.96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21 TE HYRAT VETANAKE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560,121.00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9,992.16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550,128.84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4,385.79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555,720.21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0.78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659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560,121.00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9,992.16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550,128.84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4,385.79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555,720.21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0.78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16035 ZYRA E KRYETARIT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3,400.00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44,100.00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7.16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 SUBVENCIONE DHE TRANSFERE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7.16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16335 ADMINISTRATA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5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18444 PARANDALIMI DHE INSPEKTIMI I ZJARRIT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 SUBVENCIONE DHE TRANSFERE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4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47115 PYLLTARIA   INSPEKCIONI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51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 SUBVENCIONE DHE TRANSFERE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46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66480 PLANIFIKIMI URBANIZMI INSPEKCIONI - HANI 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327,530.00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327,530.00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327,530.00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321,530.00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321,530.00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321,530.00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4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75050 SHËRBIMET E KUJDESIT PRIMAR SHËNDETËSOR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6,460.00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6,460.00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6,460.00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6,460.00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6,460.00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6,460.00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75671 SHËRBIMET SOCIALE - HANI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92175 ADMINISTRATA - HANI I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4,922.16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26,077.84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20 SUBVENCIONE DHE TRANSFERE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4,922.16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21,077.84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4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92890 ARSIMI PARAFILLOR DHE  ÇERDHET - HANI I 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8,540.00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1,070.00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7,470.00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985.79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7,539.21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11.54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13 MALLRA DHE SHËRBIME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8,540.00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7,470.00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7,539.21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11.54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94020 ARSIMI FILLOR - HANI  ELEZIT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77,391.00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77,391.00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77,391.00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30 PASURITË JOFINANCIARE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77,391.00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77,391.00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77,391.00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5D433D" w:rsidTr="005D433D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Totali I Përgjithshëm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3,351,604.65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1,535,509.56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1,816,095.09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521,326.93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21,904.41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2,808,373.31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Default="005D433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15.55</w:t>
            </w:r>
          </w:p>
        </w:tc>
      </w:tr>
    </w:tbl>
    <w:p w:rsidR="00311CE1" w:rsidRDefault="00311CE1"/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05075F" w:rsidRDefault="0005075F" w:rsidP="005D433D">
      <w:pPr>
        <w:tabs>
          <w:tab w:val="left" w:pos="1840"/>
        </w:tabs>
        <w:jc w:val="center"/>
        <w:rPr>
          <w:b/>
        </w:rPr>
      </w:pPr>
    </w:p>
    <w:p w:rsidR="009C2E00" w:rsidRDefault="009C2E00" w:rsidP="005D433D">
      <w:pPr>
        <w:tabs>
          <w:tab w:val="left" w:pos="1840"/>
        </w:tabs>
        <w:jc w:val="center"/>
        <w:rPr>
          <w:b/>
        </w:rPr>
      </w:pPr>
    </w:p>
    <w:p w:rsidR="009C2E00" w:rsidRDefault="009C2E00" w:rsidP="005D433D">
      <w:pPr>
        <w:tabs>
          <w:tab w:val="left" w:pos="1840"/>
        </w:tabs>
        <w:jc w:val="center"/>
        <w:rPr>
          <w:b/>
        </w:rPr>
      </w:pPr>
    </w:p>
    <w:p w:rsidR="005D433D" w:rsidRDefault="005D433D" w:rsidP="005D433D">
      <w:pPr>
        <w:tabs>
          <w:tab w:val="left" w:pos="1840"/>
        </w:tabs>
        <w:jc w:val="center"/>
        <w:rPr>
          <w:b/>
        </w:rPr>
      </w:pPr>
      <w:r>
        <w:rPr>
          <w:b/>
        </w:rPr>
        <w:t xml:space="preserve">4.1 </w:t>
      </w:r>
      <w:r w:rsidRPr="007973C5">
        <w:rPr>
          <w:b/>
        </w:rPr>
        <w:t>PAGAT DHE MËDITJET</w:t>
      </w:r>
    </w:p>
    <w:p w:rsidR="005D433D" w:rsidRDefault="005D433D" w:rsidP="005D433D">
      <w:pPr>
        <w:tabs>
          <w:tab w:val="left" w:pos="1840"/>
        </w:tabs>
        <w:rPr>
          <w:b/>
        </w:rPr>
      </w:pPr>
    </w:p>
    <w:tbl>
      <w:tblPr>
        <w:tblW w:w="11161" w:type="dxa"/>
        <w:jc w:val="center"/>
        <w:tblLook w:val="04A0" w:firstRow="1" w:lastRow="0" w:firstColumn="1" w:lastColumn="0" w:noHBand="0" w:noVBand="1"/>
      </w:tblPr>
      <w:tblGrid>
        <w:gridCol w:w="716"/>
        <w:gridCol w:w="3843"/>
        <w:gridCol w:w="1680"/>
        <w:gridCol w:w="1720"/>
        <w:gridCol w:w="1740"/>
        <w:gridCol w:w="1462"/>
      </w:tblGrid>
      <w:tr w:rsidR="005D433D" w:rsidRPr="005D433D" w:rsidTr="005D433D">
        <w:trPr>
          <w:trHeight w:val="63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Kodi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Përshkrimi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Shpenzimi janar-mars 2023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Shpenzimi janar-mars 2022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Krahasimi 2023-2022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Krahasimi në %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Paga dhe shtesa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 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11110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Pagat neto përmes listës së pagave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371,641.86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szCs w:val="20"/>
                <w:lang w:val="en-US"/>
              </w:rPr>
            </w:pPr>
            <w:r w:rsidRPr="005D433D">
              <w:rPr>
                <w:sz w:val="20"/>
                <w:szCs w:val="20"/>
                <w:lang w:val="en-US"/>
              </w:rPr>
              <w:t>317,748.09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53,893.77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16.96 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11115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Pagesa për sindikatë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767.06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szCs w:val="20"/>
                <w:lang w:val="en-US"/>
              </w:rPr>
            </w:pPr>
            <w:r w:rsidRPr="005D433D">
              <w:rPr>
                <w:sz w:val="20"/>
                <w:szCs w:val="20"/>
                <w:lang w:val="en-US"/>
              </w:rPr>
              <w:t>1,187.03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(419.97)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(35.38)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11125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Anëtarësim-Oda e Infermierëve të Kosovës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141.07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szCs w:val="20"/>
                <w:lang w:val="en-US"/>
              </w:rPr>
            </w:pPr>
            <w:r w:rsidRPr="005D433D">
              <w:rPr>
                <w:sz w:val="20"/>
                <w:szCs w:val="20"/>
                <w:lang w:val="en-US"/>
              </w:rPr>
              <w:t>139.04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2.03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1.46 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11126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Anëtarësim-Oda e Mjekëve të Kosovës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480.00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szCs w:val="20"/>
                <w:lang w:val="en-US"/>
              </w:rPr>
            </w:pPr>
            <w:r w:rsidRPr="005D433D">
              <w:rPr>
                <w:sz w:val="20"/>
                <w:szCs w:val="20"/>
                <w:lang w:val="en-US"/>
              </w:rPr>
              <w:t>480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11400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Punëtorët me kontratë-jo ne listen e pagave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szCs w:val="20"/>
                <w:lang w:val="en-US"/>
              </w:rPr>
            </w:pPr>
            <w:r w:rsidRPr="005D433D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11500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Tatimi i ndalur në të ardhurat personale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23,841.69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szCs w:val="20"/>
                <w:lang w:val="en-US"/>
              </w:rPr>
            </w:pPr>
            <w:r w:rsidRPr="005D433D">
              <w:rPr>
                <w:sz w:val="20"/>
                <w:szCs w:val="20"/>
                <w:lang w:val="en-US"/>
              </w:rPr>
              <w:t>18,688.89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5,152.80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27.57 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11600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Kontributi pensional-punëtori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20,659.47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szCs w:val="20"/>
                <w:lang w:val="en-US"/>
              </w:rPr>
            </w:pPr>
            <w:r w:rsidRPr="005D433D">
              <w:rPr>
                <w:sz w:val="20"/>
                <w:szCs w:val="20"/>
                <w:lang w:val="en-US"/>
              </w:rPr>
              <w:t>17,754.01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2,905.46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16.37 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11700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Kontributi pensional-punëdhësi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20,659.47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szCs w:val="20"/>
                <w:lang w:val="en-US"/>
              </w:rPr>
            </w:pPr>
            <w:r w:rsidRPr="005D433D">
              <w:rPr>
                <w:sz w:val="20"/>
                <w:szCs w:val="20"/>
                <w:lang w:val="en-US"/>
              </w:rPr>
              <w:t>17,754.01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2,905.46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16.37 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11900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Pagesa për vendime gjyqësore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Totali për paga dhe shtesa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 xml:space="preserve">       438,190.62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 xml:space="preserve">        373,751.07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 xml:space="preserve">          64,439.55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 xml:space="preserve">                  17.24 </w:t>
            </w:r>
          </w:p>
        </w:tc>
      </w:tr>
    </w:tbl>
    <w:p w:rsidR="005D433D" w:rsidRDefault="005D433D"/>
    <w:p w:rsidR="005D433D" w:rsidRDefault="005D433D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Default="0005075F" w:rsidP="005D433D">
      <w:pPr>
        <w:tabs>
          <w:tab w:val="left" w:pos="1840"/>
        </w:tabs>
        <w:rPr>
          <w:b/>
        </w:rPr>
      </w:pPr>
    </w:p>
    <w:p w:rsidR="0005075F" w:rsidRPr="007973C5" w:rsidRDefault="0005075F" w:rsidP="005D433D">
      <w:pPr>
        <w:tabs>
          <w:tab w:val="left" w:pos="1840"/>
        </w:tabs>
        <w:rPr>
          <w:b/>
        </w:rPr>
      </w:pPr>
    </w:p>
    <w:p w:rsidR="005D433D" w:rsidRDefault="005D433D" w:rsidP="005D433D">
      <w:pPr>
        <w:jc w:val="both"/>
        <w:rPr>
          <w:b/>
        </w:rPr>
      </w:pPr>
      <w:r>
        <w:rPr>
          <w:b/>
        </w:rPr>
        <w:t xml:space="preserve">             4.2 </w:t>
      </w:r>
      <w:r w:rsidRPr="007973C5">
        <w:rPr>
          <w:b/>
        </w:rPr>
        <w:t>PËRMBLEDHJE E MALLRAVE DHE SHËRBIMEVE</w:t>
      </w:r>
    </w:p>
    <w:tbl>
      <w:tblPr>
        <w:tblW w:w="11638" w:type="dxa"/>
        <w:jc w:val="center"/>
        <w:tblLook w:val="04A0" w:firstRow="1" w:lastRow="0" w:firstColumn="1" w:lastColumn="0" w:noHBand="0" w:noVBand="1"/>
      </w:tblPr>
      <w:tblGrid>
        <w:gridCol w:w="716"/>
        <w:gridCol w:w="4649"/>
        <w:gridCol w:w="1661"/>
        <w:gridCol w:w="1703"/>
        <w:gridCol w:w="1708"/>
        <w:gridCol w:w="1201"/>
      </w:tblGrid>
      <w:tr w:rsidR="005D433D" w:rsidRPr="005D433D" w:rsidTr="005D433D">
        <w:trPr>
          <w:trHeight w:val="58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Mallrat dhe shërbimet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Shpenzimi janar - mars 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Shpenzimi janar - mars 2022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Krahasimi 2023-2022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Krahasimi në %</w:t>
            </w:r>
          </w:p>
        </w:tc>
      </w:tr>
      <w:tr w:rsidR="005D433D" w:rsidRPr="005D433D" w:rsidTr="005D433D">
        <w:trPr>
          <w:trHeight w:val="6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13130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Shpenzimet e udhëtimit zyrtar brenda vendit (transporti i nxënësve)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5,969.44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6,157.50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-188.06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-3.05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Shpenzimet e udhëtimit zyrtar jashtë vendit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13310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Shpenzimet për internet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760.00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760.00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13320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Shpenzimet e telefonisë mobile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1,020.50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2,218.94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-1,198.44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-54.01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13330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Shpenzimet postare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13141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 të vogla - Para xhepi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156.00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156.00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13142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Akomodimi-Udhëtimet zyrtare jashtë vendit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13143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Shpenzimet tjera të udhëtimeve zyrtare jashtë vendit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13420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Shërbimet e përfaqësimit-avokaturës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13430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Shërbime të ndryshme shëndetësore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30.00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-30.00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-100.00</w:t>
            </w:r>
          </w:p>
        </w:tc>
      </w:tr>
      <w:tr w:rsidR="005D433D" w:rsidRPr="005D433D" w:rsidTr="005D433D">
        <w:trPr>
          <w:trHeight w:val="30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13440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Shërbime të ndryshme intelektuale dhe këshilldhënëse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1,018.00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1,018.00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13450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Shërbimet e shtypit - Jo marketing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13460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Shërbime kontraktuese tjera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10,960.76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1,140.00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9,820.76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861.47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13470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Shërbime teknike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13480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Shpenzimet për anëtarsim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2,910.45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2,910.45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13490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Shërbime e varrimit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13501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Mobilje me pak se 1000 euro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13502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Telefona (më pak se 1000 euro)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999.50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999.50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13503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Kompjuter me pak se 1000 euro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13506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Paisje specialistike mjekësore më pak se 1000€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13509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Pajisje tjera me pak se 1000 euro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450.00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450.00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13510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Blerja e librave dhe veprave artistike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13610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Furnizim pë zyrë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952.00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607.84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344.16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56.62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13620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Furnizim me ushqim dhe pije (jo dreka zyrtare)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5,029.96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850.00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4,179.96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491.76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13630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Furnizime mjekësore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330.00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330.00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13640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Furnizime pastrimi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420.55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667.50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-246.95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-37.00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13650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Furnizim me veshmbathje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13660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Akomodim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13760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Dru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13770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Derivate për gjenerator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181.90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181.90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13780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Karburant për vetura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5,131.70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5,131.70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13810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Avans për pety cash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1,000.00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1,000.00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13917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Provizioni Bankar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13950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Regjistrimi i automjeteve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375.00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385.00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-10.00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-2.60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13951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Sigurimi i automjeteve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1,271.37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1,117.68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153.69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13.75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14010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Mirëmbajtja dhe riparimi i automjeteve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328.00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520.00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-192.00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-36.92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lastRenderedPageBreak/>
              <w:t>14020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Mirëmbajtja e ndërtesave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700.00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700.00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14023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Mirëmbajtja e shkollave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3,639.10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3,200.00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439.10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13.72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14024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Mirëmbajtja e objekteve shëndetësore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1,104.00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1,104.00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 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14032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Mirëmbajtja e rrugëve lokale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7,730.80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9,728.00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-1,997.20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-20.53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14050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Mirëmbajtja e mobileve dhe paisjeve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14130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Qiraja për paisje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701.34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701.34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Qiraja për makineri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988.00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988.00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14210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Reklamat dhe konkurset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14220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Botimet e publikimeve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192.00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-192.00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-100.00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14310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Drekat zyrtare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1,855.20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225.00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1,630.20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724.53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14410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Shpenzime-vendimet e gjykatave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784.00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784.00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sz w:val="20"/>
                <w:lang w:val="en-US"/>
              </w:rPr>
            </w:pPr>
            <w:r w:rsidRPr="005D433D">
              <w:rPr>
                <w:sz w:val="20"/>
                <w:szCs w:val="22"/>
                <w:lang w:val="en-US"/>
              </w:rPr>
              <w:t>#DIV/0!</w:t>
            </w:r>
          </w:p>
        </w:tc>
      </w:tr>
      <w:tr w:rsidR="005D433D" w:rsidRPr="005D433D" w:rsidTr="005D433D">
        <w:trPr>
          <w:trHeight w:val="30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Totali për mallra dhe shërbime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 xml:space="preserve">         56,767.57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 xml:space="preserve">          28,039.46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 xml:space="preserve">          28,728.11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sz w:val="20"/>
                <w:lang w:val="en-US"/>
              </w:rPr>
            </w:pPr>
            <w:r w:rsidRPr="005D433D">
              <w:rPr>
                <w:b/>
                <w:bCs/>
                <w:sz w:val="20"/>
                <w:szCs w:val="22"/>
                <w:lang w:val="en-US"/>
              </w:rPr>
              <w:t>102.46</w:t>
            </w:r>
          </w:p>
        </w:tc>
      </w:tr>
    </w:tbl>
    <w:p w:rsidR="005D433D" w:rsidRDefault="005D433D"/>
    <w:p w:rsidR="0005075F" w:rsidRDefault="0005075F"/>
    <w:p w:rsidR="005D433D" w:rsidRDefault="005D433D" w:rsidP="005D433D">
      <w:pPr>
        <w:pStyle w:val="ListParagraph"/>
        <w:ind w:left="360"/>
        <w:jc w:val="both"/>
        <w:rPr>
          <w:b/>
        </w:rPr>
      </w:pPr>
      <w:r>
        <w:rPr>
          <w:b/>
        </w:rPr>
        <w:t xml:space="preserve">4.3 </w:t>
      </w:r>
      <w:r w:rsidRPr="005D5FCF">
        <w:rPr>
          <w:b/>
        </w:rPr>
        <w:t>SHËRBIMET KOMUNALE</w:t>
      </w:r>
    </w:p>
    <w:p w:rsidR="001C52E5" w:rsidRPr="005D5FCF" w:rsidRDefault="001C52E5" w:rsidP="005D433D">
      <w:pPr>
        <w:pStyle w:val="ListParagraph"/>
        <w:ind w:left="360"/>
        <w:jc w:val="both"/>
        <w:rPr>
          <w:b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766"/>
        <w:gridCol w:w="3337"/>
        <w:gridCol w:w="1680"/>
        <w:gridCol w:w="1720"/>
        <w:gridCol w:w="1740"/>
        <w:gridCol w:w="1389"/>
      </w:tblGrid>
      <w:tr w:rsidR="005D433D" w:rsidRPr="001C52E5" w:rsidTr="001C52E5">
        <w:trPr>
          <w:trHeight w:val="58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Shpenzimet komunale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1C52E5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Shpenzimi 2023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1C52E5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Shpenzimi 2022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1C52E5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Krahasimi 2023-2022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1C52E5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Krahasimi në %</w:t>
            </w:r>
          </w:p>
        </w:tc>
      </w:tr>
      <w:tr w:rsidR="005D433D" w:rsidRPr="001C52E5" w:rsidTr="001C52E5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13210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Rryma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17,776.31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10,301.92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7,474.39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72.55</w:t>
            </w:r>
          </w:p>
        </w:tc>
      </w:tr>
      <w:tr w:rsidR="005D433D" w:rsidRPr="001C52E5" w:rsidTr="001C52E5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13230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Mbeturinat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2,410.00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 1,450.00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960.00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66.21</w:t>
            </w:r>
          </w:p>
        </w:tc>
      </w:tr>
      <w:tr w:rsidR="005D433D" w:rsidRPr="001C52E5" w:rsidTr="001C52E5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13250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Shpenzimet e telefonisë fikse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   242.43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   218.80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23.63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10.80</w:t>
            </w:r>
          </w:p>
        </w:tc>
      </w:tr>
      <w:tr w:rsidR="005D433D" w:rsidRPr="001C52E5" w:rsidTr="001C52E5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 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Totali për shpenzime komunale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 xml:space="preserve">         20,428.74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 xml:space="preserve">          11,970.72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 xml:space="preserve">            8,458.02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70.66</w:t>
            </w:r>
          </w:p>
        </w:tc>
      </w:tr>
    </w:tbl>
    <w:p w:rsidR="005D433D" w:rsidRDefault="005D433D"/>
    <w:p w:rsidR="005D433D" w:rsidRDefault="005D433D" w:rsidP="005D433D">
      <w:pPr>
        <w:rPr>
          <w:b/>
        </w:rPr>
      </w:pPr>
    </w:p>
    <w:p w:rsidR="0005075F" w:rsidRDefault="0005075F" w:rsidP="005D433D">
      <w:pPr>
        <w:rPr>
          <w:b/>
        </w:rPr>
      </w:pPr>
    </w:p>
    <w:p w:rsidR="005D433D" w:rsidRPr="00AD33DC" w:rsidRDefault="005D433D" w:rsidP="005D433D">
      <w:pPr>
        <w:rPr>
          <w:b/>
        </w:rPr>
      </w:pPr>
      <w:r w:rsidRPr="00AD33DC">
        <w:rPr>
          <w:b/>
        </w:rPr>
        <w:t>4.4  SUBVENCIONET DHE TRANSFERET</w:t>
      </w:r>
    </w:p>
    <w:tbl>
      <w:tblPr>
        <w:tblW w:w="10810" w:type="dxa"/>
        <w:jc w:val="center"/>
        <w:tblLook w:val="04A0" w:firstRow="1" w:lastRow="0" w:firstColumn="1" w:lastColumn="0" w:noHBand="0" w:noVBand="1"/>
      </w:tblPr>
      <w:tblGrid>
        <w:gridCol w:w="766"/>
        <w:gridCol w:w="4147"/>
        <w:gridCol w:w="1444"/>
        <w:gridCol w:w="1322"/>
        <w:gridCol w:w="1740"/>
        <w:gridCol w:w="1391"/>
      </w:tblGrid>
      <w:tr w:rsidR="005D433D" w:rsidRPr="001C52E5" w:rsidTr="001C52E5">
        <w:trPr>
          <w:trHeight w:val="58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Subvencionet dhe transferet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1C52E5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Shpenzimi  2023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1C52E5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Shpenzimi 2022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1C52E5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Krahasimi 2023-2022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D433D" w:rsidRPr="001C52E5" w:rsidRDefault="005D433D" w:rsidP="005D433D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Krahasimi në %</w:t>
            </w:r>
          </w:p>
        </w:tc>
      </w:tr>
      <w:tr w:rsidR="005D433D" w:rsidRPr="001C52E5" w:rsidTr="001C52E5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21200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Subvencione për entitete jo-publike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1C52E5" w:rsidTr="001C52E5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22100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Transfere për qeveri tjera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         -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1C52E5" w:rsidTr="001C52E5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22200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Pagesë për përfitues individual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3,400.00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3,400.00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sz w:val="20"/>
                <w:lang w:val="en-US"/>
              </w:rPr>
            </w:pPr>
            <w:r w:rsidRPr="001C52E5">
              <w:rPr>
                <w:sz w:val="20"/>
                <w:szCs w:val="22"/>
                <w:lang w:val="en-US"/>
              </w:rPr>
              <w:t>0.00</w:t>
            </w:r>
          </w:p>
        </w:tc>
      </w:tr>
      <w:tr w:rsidR="005D433D" w:rsidRPr="001C52E5" w:rsidTr="001C52E5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 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Totali në subvencione dhe transfere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 xml:space="preserve">           3,400.00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 xml:space="preserve">                       -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3,400.00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1C52E5" w:rsidRDefault="005D433D" w:rsidP="005D433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C52E5">
              <w:rPr>
                <w:b/>
                <w:bCs/>
                <w:sz w:val="20"/>
                <w:szCs w:val="22"/>
                <w:lang w:val="en-US"/>
              </w:rPr>
              <w:t>0.00</w:t>
            </w:r>
          </w:p>
        </w:tc>
      </w:tr>
    </w:tbl>
    <w:p w:rsidR="005D433D" w:rsidRDefault="005D433D"/>
    <w:p w:rsidR="005D433D" w:rsidRDefault="005D433D">
      <w:pPr>
        <w:rPr>
          <w:b/>
          <w:sz w:val="28"/>
          <w:szCs w:val="28"/>
        </w:rPr>
      </w:pPr>
    </w:p>
    <w:p w:rsidR="005D433D" w:rsidRDefault="005D433D">
      <w:pPr>
        <w:rPr>
          <w:b/>
          <w:sz w:val="28"/>
          <w:szCs w:val="28"/>
        </w:rPr>
      </w:pPr>
    </w:p>
    <w:p w:rsidR="005D433D" w:rsidRDefault="005D433D">
      <w:pPr>
        <w:rPr>
          <w:b/>
          <w:sz w:val="28"/>
          <w:szCs w:val="28"/>
        </w:rPr>
      </w:pPr>
    </w:p>
    <w:p w:rsidR="005D433D" w:rsidRDefault="005D433D">
      <w:pPr>
        <w:rPr>
          <w:b/>
          <w:sz w:val="28"/>
          <w:szCs w:val="28"/>
        </w:rPr>
      </w:pPr>
    </w:p>
    <w:p w:rsidR="005D433D" w:rsidRDefault="005D433D">
      <w:pPr>
        <w:rPr>
          <w:b/>
          <w:sz w:val="28"/>
          <w:szCs w:val="28"/>
        </w:rPr>
      </w:pPr>
    </w:p>
    <w:p w:rsidR="005D433D" w:rsidRDefault="005D433D">
      <w:pPr>
        <w:rPr>
          <w:b/>
          <w:sz w:val="28"/>
          <w:szCs w:val="28"/>
        </w:rPr>
      </w:pPr>
    </w:p>
    <w:p w:rsidR="005D433D" w:rsidRDefault="005D433D">
      <w:pPr>
        <w:rPr>
          <w:b/>
          <w:sz w:val="28"/>
          <w:szCs w:val="28"/>
        </w:rPr>
      </w:pPr>
    </w:p>
    <w:p w:rsidR="005D433D" w:rsidRDefault="005D433D">
      <w:pPr>
        <w:rPr>
          <w:b/>
          <w:sz w:val="28"/>
          <w:szCs w:val="28"/>
        </w:rPr>
      </w:pPr>
    </w:p>
    <w:p w:rsidR="005D433D" w:rsidRPr="005D433D" w:rsidRDefault="005D433D" w:rsidP="005D433D">
      <w:pPr>
        <w:jc w:val="center"/>
        <w:rPr>
          <w:b/>
          <w:szCs w:val="28"/>
        </w:rPr>
      </w:pPr>
      <w:r w:rsidRPr="005D433D">
        <w:rPr>
          <w:b/>
          <w:szCs w:val="28"/>
        </w:rPr>
        <w:t>4.5 SHPENZIMET KAPITALE JANAR-MARS 2023</w:t>
      </w:r>
    </w:p>
    <w:tbl>
      <w:tblPr>
        <w:tblW w:w="11610" w:type="dxa"/>
        <w:tblInd w:w="-972" w:type="dxa"/>
        <w:tblLook w:val="04A0" w:firstRow="1" w:lastRow="0" w:firstColumn="1" w:lastColumn="0" w:noHBand="0" w:noVBand="1"/>
      </w:tblPr>
      <w:tblGrid>
        <w:gridCol w:w="580"/>
        <w:gridCol w:w="860"/>
        <w:gridCol w:w="5310"/>
        <w:gridCol w:w="1130"/>
        <w:gridCol w:w="1120"/>
        <w:gridCol w:w="1260"/>
        <w:gridCol w:w="1350"/>
      </w:tblGrid>
      <w:tr w:rsidR="005D433D" w:rsidRPr="005D433D" w:rsidTr="005D433D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Kodi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Programi/përshkrimi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10-BKK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21-THV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TOTALI 2023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Shpenzimi Janar-Mars 2023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SHPENZIMET KAPITALE TOTALE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576,471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408,921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985,392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2,540 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Shërbimet publike dhe emergjenca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50,000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55,000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-   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18444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>Parandalimi dhe inspektimi i zjarreve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50,000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55,000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5D433D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-   </w:t>
            </w:r>
          </w:p>
        </w:tc>
      </w:tr>
      <w:tr w:rsidR="005D433D" w:rsidRPr="005D433D" w:rsidTr="005D433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51616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Rregullimi i kanalit të ujitjes në vendin Lloka në Seçishtë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53735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pendës në Sarasellë në fshatin Seçishtë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53750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Rregullimi i krojeve publike në fshatrat: Dromjak, Dimcë, Paldenicë dhe Rezhancë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53772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Ndriçimi publik në fshatrat: Pustenik, Dimcë, Gorancë, Krivenik, Seçishtë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15,000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 15,000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53773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Shtimi i kapaciteteve të ujit dhe vendosja e ujëmatësve në Lagjen e Re dhe në Han të Elezit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20,000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 25,000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660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Planifikim urban dhe mjedisi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368,471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321,530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690,001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2,540 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66480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Planifikimi urban dhe inspeksioni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368,471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321,530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690,001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9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2,540 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41635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Rregullimi i shtratit të lumit Lepenc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41641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Mjete të lira për bashkëinvestime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35,000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40,000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47270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Asfaltimi i rrugës Gorancë-Krivenik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18,375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114,530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132,905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51071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Rregullimi i varrezave të qytetit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20,000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51085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Rregullimi i parkut në rrugën "Isa Berisha" (asfaltim, trotuar, ndriçim publik, gjelbërim)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15,000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20,000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51581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Rregullimi i kanalizimeve në Han të Elezit në Rr. Isa Berisha dhe zonat rurale në fshatrat: Paldenicë, Seçishtë, Pustenik, Gorancë, Dermjak, Krivenik, Dimcë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30,000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30,000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60,000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51589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Rregullimi i prrockave dhe i kanalizimeve atmosferike në zonën urbane Rr. Adem Jashari dhe fshatin Paldenicë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30,000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10,000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40,000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51604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rrugës transit në fshatin Gorancë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51721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Vendosja e pajisjes digjitale E-Kioska në Han të Elezit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51722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Ndërtimi dhe rregullimi i këndeve të lojërave në Han të Elezit dhe fshatrat Gorancë, Paldenicë, Seçishtë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15,000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 20,000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52894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mureve mbrojtëse në Lagjen e Re dhe në fshatrat: Paldenicë, Dermjak, Pustenik,Seçishtë, Gorancë, Krivenik, Dimcë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40,000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25,000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65,000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52906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Vendosja e ekranit për prezantimin e rezultateve të ndotjes së ajrit në Rr. Nuri Bushi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53121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Renovimi i objektit të Komunës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30,000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30,000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60,000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53201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Asfaltimi i rrugës Lagja Ramuk - Fshati Paldenicë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53366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parkut te rruga Lepenci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20,000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15,000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35,000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53370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trotuareve për këmbësor në Han të Elezit në Rr. Adem Jashari, Udha e Shkronjave, Driton Loku, Paldenicë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10,000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15,000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53429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mbikalimeve në Rr. Martirët Bushi dhe Rr. Lepenci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2,096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  7,096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53435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aneksit për këmbësor në urën e Seçishtës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10,000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10,000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53471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Shtrimi me kubëza betoni të rrugicave dhe trotuareve në Han të Elezit dhe fshatrat: Paldenicë, Seçishtë, Dimcë, Pustenik, Gorancë, Dermjak, Rezhancë, Krivenik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30,000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20,000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50,000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53484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(Rihapja, zgjerimi) dhe asfaltimi i rrugëve në fshatrat: Paldenicë, Pustenik, Seçishtë, Gorancë, Dimcë, Krivenik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40,000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20,000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60,000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53902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Fabrika e ujit nga ujësjellësi i Dimcës, Shtëpia e Kulturës - Imri Curri, Stadiumi i qytetit - Suad Brava - Shpronësim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10,000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15,000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 xml:space="preserve">                   2,540 </w:t>
            </w:r>
          </w:p>
        </w:tc>
      </w:tr>
      <w:tr w:rsidR="005D433D" w:rsidRPr="005D433D" w:rsidTr="005D433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51363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Rregullimi i shtigjeve për këmbësor dhe çiklistë përgjatë lumit Lepenc (Uji i thartë - Kulla me çeshme)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15,000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10,000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25,000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730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Shëndetësia dhe Mirëqenia Sociale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30,000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30,000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     -   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75050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Shërbimet e shëndetësisë primare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30,000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30,000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     -   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52815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Rregullimi i oborrit të AMF-së në fshatin Gorancë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  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53030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Rregullimi i infrastrukturës dhe ndërtimi i një aneks objekti në QKMF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25,000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25,000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920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Arsimi dhe shkenca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128,000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82,391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210,391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     -   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92175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Administrata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15,000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20,000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5D433D" w:rsidRPr="005D433D" w:rsidTr="005D433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lastRenderedPageBreak/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51724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shkallëve emergjente nëpër shkollat: SHML. Dardania, SHFMU. Veli Ballazhi, SHFMU. Kështjella e Diturisë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15,000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5,000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20,000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94020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>Arsimi fillor, i mesëm i ulët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113,000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77,391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190,391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b/>
                <w:bCs/>
                <w:lang w:val="en-US"/>
              </w:rPr>
            </w:pPr>
            <w:r w:rsidRPr="005D433D">
              <w:rPr>
                <w:b/>
                <w:bCs/>
                <w:sz w:val="22"/>
                <w:szCs w:val="22"/>
                <w:lang w:val="en-US"/>
              </w:rPr>
              <w:t xml:space="preserve">                  -   </w:t>
            </w:r>
          </w:p>
        </w:tc>
      </w:tr>
      <w:tr w:rsidR="005D433D" w:rsidRPr="005D433D" w:rsidTr="005D43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52945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Ndërtimi i objektit të SHFMU në Lagjen e Re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58,000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65,391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123,391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 </w:t>
            </w:r>
          </w:p>
        </w:tc>
      </w:tr>
      <w:tr w:rsidR="005D433D" w:rsidRPr="005D433D" w:rsidTr="005D433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5D433D" w:rsidRPr="005D433D" w:rsidRDefault="005D433D" w:rsidP="005D433D">
            <w:pPr>
              <w:jc w:val="center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53774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>Rregullimi i infrastrukturës shkollore në SHML - Dardania, SHFMU - Ilaz Thaçi, SHFMU - Kështjella e Diturisë dhe SHMFU - Veli Ballazhi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55,000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12,000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lang w:val="en-US"/>
              </w:rPr>
            </w:pPr>
            <w:r w:rsidRPr="005D433D">
              <w:rPr>
                <w:sz w:val="22"/>
                <w:szCs w:val="22"/>
                <w:lang w:val="en-US"/>
              </w:rPr>
              <w:t xml:space="preserve">               67,000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3D" w:rsidRPr="005D433D" w:rsidRDefault="005D433D" w:rsidP="005D433D">
            <w:pPr>
              <w:jc w:val="right"/>
              <w:rPr>
                <w:color w:val="000000"/>
                <w:lang w:val="en-US"/>
              </w:rPr>
            </w:pPr>
            <w:r w:rsidRPr="005D433D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5D433D" w:rsidRDefault="005D433D" w:rsidP="005D433D">
      <w:pPr>
        <w:jc w:val="both"/>
        <w:rPr>
          <w:b/>
          <w:sz w:val="32"/>
          <w:szCs w:val="32"/>
        </w:rPr>
      </w:pPr>
    </w:p>
    <w:p w:rsidR="005D433D" w:rsidRDefault="005D433D" w:rsidP="005D433D">
      <w:pPr>
        <w:jc w:val="both"/>
        <w:rPr>
          <w:b/>
          <w:sz w:val="32"/>
          <w:szCs w:val="32"/>
        </w:rPr>
      </w:pPr>
    </w:p>
    <w:p w:rsidR="005D433D" w:rsidRDefault="005D433D" w:rsidP="005D433D">
      <w:pPr>
        <w:jc w:val="both"/>
        <w:rPr>
          <w:b/>
          <w:sz w:val="32"/>
          <w:szCs w:val="32"/>
        </w:rPr>
      </w:pPr>
    </w:p>
    <w:p w:rsidR="005D433D" w:rsidRDefault="005D433D" w:rsidP="005D433D">
      <w:pPr>
        <w:jc w:val="both"/>
        <w:rPr>
          <w:b/>
          <w:sz w:val="32"/>
          <w:szCs w:val="32"/>
        </w:rPr>
      </w:pPr>
    </w:p>
    <w:p w:rsidR="005D433D" w:rsidRDefault="005D433D" w:rsidP="005D433D">
      <w:pPr>
        <w:jc w:val="both"/>
        <w:rPr>
          <w:b/>
          <w:sz w:val="32"/>
          <w:szCs w:val="32"/>
        </w:rPr>
      </w:pPr>
    </w:p>
    <w:p w:rsidR="005D433D" w:rsidRPr="00280F54" w:rsidRDefault="005D433D" w:rsidP="00280F54">
      <w:pPr>
        <w:pStyle w:val="ListParagraph"/>
        <w:numPr>
          <w:ilvl w:val="0"/>
          <w:numId w:val="1"/>
        </w:numPr>
        <w:jc w:val="both"/>
        <w:rPr>
          <w:b/>
        </w:rPr>
      </w:pPr>
      <w:r w:rsidRPr="00280F54">
        <w:rPr>
          <w:b/>
        </w:rPr>
        <w:t>RAPORT I TË HYRAVE VETANAKE PËR PERIUDHËN JANAR-MARS 2023</w:t>
      </w:r>
    </w:p>
    <w:p w:rsidR="005D433D" w:rsidRDefault="005D433D"/>
    <w:p w:rsidR="002A1BBB" w:rsidRPr="002A1BBB" w:rsidRDefault="002A1BBB" w:rsidP="002A1BBB">
      <w:pPr>
        <w:tabs>
          <w:tab w:val="left" w:pos="1215"/>
        </w:tabs>
      </w:pPr>
      <w:r>
        <w:tab/>
      </w:r>
    </w:p>
    <w:tbl>
      <w:tblPr>
        <w:tblW w:w="9260" w:type="dxa"/>
        <w:jc w:val="center"/>
        <w:tblLook w:val="04A0" w:firstRow="1" w:lastRow="0" w:firstColumn="1" w:lastColumn="0" w:noHBand="0" w:noVBand="1"/>
      </w:tblPr>
      <w:tblGrid>
        <w:gridCol w:w="760"/>
        <w:gridCol w:w="3853"/>
        <w:gridCol w:w="1495"/>
        <w:gridCol w:w="1435"/>
        <w:gridCol w:w="1717"/>
      </w:tblGrid>
      <w:tr w:rsidR="002A1BBB" w:rsidRPr="002A1BBB" w:rsidTr="002A1BBB">
        <w:trPr>
          <w:trHeight w:val="525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Përshkrimi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1BBB">
              <w:rPr>
                <w:b/>
                <w:bCs/>
                <w:color w:val="000000"/>
                <w:sz w:val="20"/>
                <w:szCs w:val="20"/>
                <w:lang w:val="en-US"/>
              </w:rPr>
              <w:t>Realizimi  2023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1BBB">
              <w:rPr>
                <w:b/>
                <w:bCs/>
                <w:color w:val="000000"/>
                <w:sz w:val="20"/>
                <w:szCs w:val="20"/>
                <w:lang w:val="en-US"/>
              </w:rPr>
              <w:t>Realizimi 2022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1BBB">
              <w:rPr>
                <w:b/>
                <w:bCs/>
                <w:color w:val="000000"/>
                <w:sz w:val="20"/>
                <w:szCs w:val="20"/>
                <w:lang w:val="en-US"/>
              </w:rPr>
              <w:t>Krahasimi në euro 2023-2022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FABAB"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FABAB"/>
            <w:noWrap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FABAB"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ABAB"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FABAB"/>
            <w:noWrap/>
            <w:vAlign w:val="center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5=2-3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Certifikatat e lindjes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80.00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(79.00)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Certifikatat e kurorëzimit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150.00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130.00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20.00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Certifikatat e vdekjes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2.00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20.00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(18.00)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Certifikata tjera ofiqarie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1,397.00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1,061.00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336.00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Taksa për verifikimin e dok. të ndryshme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8.00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7.00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1.00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Taksa administrative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49.00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25.00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24.00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Administrata e Përgjithshme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1,607.00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1,323.00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284.00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Tatimi në pronë dhe në tokë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23,537.06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34,974.44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(11,437.38)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Taksë për regjistrim të automjeteve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4,950.00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4,430.00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520.00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Buxhet dhe Financa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28,487.06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39,404.44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(10,917.38)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Të hyrat nga reklamimet publike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720.00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1,720.00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(1,000.00)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Licenca tjera për afarizëm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190.00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465.00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(275.00)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Taksa tjera administrative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110.00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(110.00)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Gjobat tjera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-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Shërbimet Publike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910.00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2,295.00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(1,385.00)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Ndërrim destinimi i tokës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Bujqësia dhe Zhvillimi Rural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Të hyrat nga ushtrimi i veprimt. afariste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1,758.10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4,577.30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(2,819.20)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Gjoba nga Inspektoriati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lastRenderedPageBreak/>
              <w:t>17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Licenca për pranim teknik të lokalit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10.00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10.00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Zhvillimi Ekonomik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1,768.10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4,577.30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(2,809.20)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Taksa komunale për leje ndërtimi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10.00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10.00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Taksa komunale për demolim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-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Taksë për bartjen e pronësisë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1,740.00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1,740.00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Shërbime të ndryshme kadastrale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1,276.00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1,148.00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128.00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Taksë për legalizim të objekteve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194.22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(194.22)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Taksa për regjistrimin e trashëgimisë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1,000.00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(1,000.00)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Shfrytëzimi i pronës publike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1,934.48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1,046.16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888.32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Të hyrat nga shitja e pasurisë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1,000.00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8,800.00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(7,800.00)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Gjobat nga inspektoriati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-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Të hyra nga konfiskimi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882.88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Taksa tjera administrative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Gjobat tjera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-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Urbanizimi dhe Kadastri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5,960.48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color w:val="000000"/>
                <w:sz w:val="21"/>
                <w:szCs w:val="21"/>
                <w:lang w:val="en-US"/>
              </w:rPr>
              <w:t>13,071.26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(7,110.78)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Participimet në Arsim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3,528.00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3,255.00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273.00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Arsimi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3,528.00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color w:val="000000"/>
                <w:sz w:val="21"/>
                <w:szCs w:val="21"/>
                <w:lang w:val="en-US"/>
              </w:rPr>
              <w:t>3,255.00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273.00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Taksa për shërbimet sociale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30.00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59.00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(29.00)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Certifikata mjekësore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705.00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(705.00)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Participimet në shëndetësi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1,478.90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554.90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924.00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Inspektimi Higjeniko-Sanitar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-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Shëndetësia dhe MS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1,508.90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color w:val="000000"/>
                <w:sz w:val="21"/>
                <w:szCs w:val="21"/>
                <w:lang w:val="en-US"/>
              </w:rPr>
              <w:t>1,318.90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190.00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TË HYRAT DIREKTE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43,769.54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color w:val="000000"/>
                <w:sz w:val="21"/>
                <w:szCs w:val="21"/>
                <w:lang w:val="en-US"/>
              </w:rPr>
              <w:t>65,244.90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(21,475.36)</w:t>
            </w:r>
          </w:p>
        </w:tc>
      </w:tr>
      <w:tr w:rsidR="002A1BBB" w:rsidRPr="002A1BBB" w:rsidTr="002A1BBB">
        <w:trPr>
          <w:trHeight w:val="3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Të hyrat nga dënimet në trafik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0.00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00000"/>
                <w:lang w:val="en-US"/>
              </w:rPr>
            </w:pPr>
            <w:r w:rsidRPr="002A1BBB">
              <w:rPr>
                <w:color w:val="000000"/>
                <w:sz w:val="22"/>
                <w:szCs w:val="22"/>
                <w:lang w:val="en-US"/>
              </w:rPr>
              <w:t>Të hyrat nga dënimet në gjykata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sz w:val="21"/>
                <w:szCs w:val="21"/>
                <w:lang w:val="en-US"/>
              </w:rPr>
            </w:pPr>
            <w:r w:rsidRPr="002A1BBB">
              <w:rPr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lang w:val="en-US"/>
              </w:rPr>
            </w:pPr>
            <w:r w:rsidRPr="002A1BBB">
              <w:rPr>
                <w:sz w:val="22"/>
                <w:szCs w:val="22"/>
                <w:lang w:val="en-US"/>
              </w:rPr>
              <w:t>0.00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2A1BBB">
              <w:rPr>
                <w:b/>
                <w:bCs/>
                <w:color w:val="000000"/>
                <w:sz w:val="22"/>
                <w:szCs w:val="22"/>
                <w:lang w:val="en-US"/>
              </w:rPr>
              <w:t>TË HYRAT INDIREKTE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99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0.00</w:t>
            </w:r>
          </w:p>
        </w:tc>
      </w:tr>
      <w:tr w:rsidR="002A1BBB" w:rsidRPr="002A1BBB" w:rsidTr="002A1BBB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C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color w:val="0D0D0D"/>
                <w:lang w:val="en-US"/>
              </w:rPr>
            </w:pPr>
            <w:r w:rsidRPr="002A1BBB">
              <w:rPr>
                <w:color w:val="0D0D0D"/>
                <w:sz w:val="22"/>
                <w:szCs w:val="22"/>
                <w:lang w:val="en-US"/>
              </w:rPr>
              <w:t> 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C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D0D0D"/>
                <w:lang w:val="en-US"/>
              </w:rPr>
            </w:pPr>
            <w:r w:rsidRPr="002A1BBB">
              <w:rPr>
                <w:b/>
                <w:bCs/>
                <w:color w:val="0D0D0D"/>
                <w:sz w:val="22"/>
                <w:szCs w:val="22"/>
                <w:lang w:val="en-US"/>
              </w:rPr>
              <w:t>TOTALI I PËRGJITHSHËM (A + B)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C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sz w:val="21"/>
                <w:szCs w:val="21"/>
                <w:lang w:val="en-US"/>
              </w:rPr>
              <w:t>43,769.54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C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2A1BBB">
              <w:rPr>
                <w:b/>
                <w:bCs/>
                <w:color w:val="000000"/>
                <w:sz w:val="21"/>
                <w:szCs w:val="21"/>
                <w:lang w:val="en-US"/>
              </w:rPr>
              <w:t>65,244.90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C"/>
            <w:noWrap/>
            <w:vAlign w:val="bottom"/>
            <w:hideMark/>
          </w:tcPr>
          <w:p w:rsidR="002A1BBB" w:rsidRPr="002A1BBB" w:rsidRDefault="002A1BBB" w:rsidP="002A1BBB">
            <w:pPr>
              <w:jc w:val="center"/>
              <w:rPr>
                <w:b/>
                <w:bCs/>
                <w:lang w:val="en-US"/>
              </w:rPr>
            </w:pPr>
            <w:r w:rsidRPr="002A1BBB">
              <w:rPr>
                <w:b/>
                <w:bCs/>
                <w:sz w:val="22"/>
                <w:szCs w:val="22"/>
                <w:lang w:val="en-US"/>
              </w:rPr>
              <w:t>(21,475.36)</w:t>
            </w:r>
          </w:p>
        </w:tc>
      </w:tr>
    </w:tbl>
    <w:p w:rsidR="00C15F28" w:rsidRPr="002A1BBB" w:rsidRDefault="00C15F28" w:rsidP="002A1BBB">
      <w:pPr>
        <w:tabs>
          <w:tab w:val="left" w:pos="1215"/>
        </w:tabs>
      </w:pPr>
    </w:p>
    <w:sectPr w:rsidR="00C15F28" w:rsidRPr="002A1BBB" w:rsidSect="00E628E2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09" w:rsidRDefault="00C30609" w:rsidP="009D2E20">
      <w:r>
        <w:separator/>
      </w:r>
    </w:p>
  </w:endnote>
  <w:endnote w:type="continuationSeparator" w:id="0">
    <w:p w:rsidR="00C30609" w:rsidRDefault="00C30609" w:rsidP="009D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5680"/>
      <w:docPartObj>
        <w:docPartGallery w:val="Page Numbers (Bottom of Page)"/>
        <w:docPartUnique/>
      </w:docPartObj>
    </w:sdtPr>
    <w:sdtEndPr/>
    <w:sdtContent>
      <w:p w:rsidR="009C2E00" w:rsidRDefault="00C30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E00" w:rsidRDefault="009C2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5678"/>
      <w:docPartObj>
        <w:docPartGallery w:val="Page Numbers (Bottom of Page)"/>
        <w:docPartUnique/>
      </w:docPartObj>
    </w:sdtPr>
    <w:sdtEndPr/>
    <w:sdtContent>
      <w:p w:rsidR="009C2E00" w:rsidRDefault="00C30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2E00" w:rsidRDefault="009C2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09" w:rsidRDefault="00C30609" w:rsidP="009D2E20">
      <w:r>
        <w:separator/>
      </w:r>
    </w:p>
  </w:footnote>
  <w:footnote w:type="continuationSeparator" w:id="0">
    <w:p w:rsidR="00C30609" w:rsidRDefault="00C30609" w:rsidP="009D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B40"/>
    <w:multiLevelType w:val="multilevel"/>
    <w:tmpl w:val="D2046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BF6A7A"/>
    <w:multiLevelType w:val="multilevel"/>
    <w:tmpl w:val="3F925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70593B"/>
    <w:multiLevelType w:val="hybridMultilevel"/>
    <w:tmpl w:val="DF2C5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5554"/>
    <w:multiLevelType w:val="hybridMultilevel"/>
    <w:tmpl w:val="8B7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545DA"/>
    <w:multiLevelType w:val="multilevel"/>
    <w:tmpl w:val="3F925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23427"/>
    <w:multiLevelType w:val="hybridMultilevel"/>
    <w:tmpl w:val="3140D1CE"/>
    <w:lvl w:ilvl="0" w:tplc="4E184D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07661"/>
    <w:multiLevelType w:val="hybridMultilevel"/>
    <w:tmpl w:val="59AA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14FD1"/>
    <w:multiLevelType w:val="multilevel"/>
    <w:tmpl w:val="3F925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62"/>
    <w:rsid w:val="000176DF"/>
    <w:rsid w:val="0005075F"/>
    <w:rsid w:val="00117AB6"/>
    <w:rsid w:val="0012565D"/>
    <w:rsid w:val="00153BE2"/>
    <w:rsid w:val="001C52E5"/>
    <w:rsid w:val="00280F54"/>
    <w:rsid w:val="002A1BBB"/>
    <w:rsid w:val="002B0BBB"/>
    <w:rsid w:val="00311CE1"/>
    <w:rsid w:val="00323DB8"/>
    <w:rsid w:val="003D64C2"/>
    <w:rsid w:val="00450B74"/>
    <w:rsid w:val="0046369E"/>
    <w:rsid w:val="00484EF1"/>
    <w:rsid w:val="00513DFF"/>
    <w:rsid w:val="005B61EE"/>
    <w:rsid w:val="005D433D"/>
    <w:rsid w:val="005F182D"/>
    <w:rsid w:val="006F022C"/>
    <w:rsid w:val="007E16CA"/>
    <w:rsid w:val="007F55D4"/>
    <w:rsid w:val="00814388"/>
    <w:rsid w:val="009C2E00"/>
    <w:rsid w:val="009D2E20"/>
    <w:rsid w:val="00A522F6"/>
    <w:rsid w:val="00BA738B"/>
    <w:rsid w:val="00C15F28"/>
    <w:rsid w:val="00C16762"/>
    <w:rsid w:val="00C30609"/>
    <w:rsid w:val="00C50FA7"/>
    <w:rsid w:val="00C73FA0"/>
    <w:rsid w:val="00CB1A9A"/>
    <w:rsid w:val="00D25731"/>
    <w:rsid w:val="00D61DB0"/>
    <w:rsid w:val="00DB55FF"/>
    <w:rsid w:val="00E628E2"/>
    <w:rsid w:val="00E77520"/>
    <w:rsid w:val="00EA41AF"/>
    <w:rsid w:val="00EC3D6B"/>
    <w:rsid w:val="00EF2BD2"/>
    <w:rsid w:val="00F25DB3"/>
    <w:rsid w:val="00F627A4"/>
    <w:rsid w:val="00FB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EDF20-328E-4FAF-8F96-51D3051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55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F55D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F55D4"/>
    <w:pPr>
      <w:ind w:left="720"/>
      <w:contextualSpacing/>
    </w:pPr>
  </w:style>
  <w:style w:type="paragraph" w:customStyle="1" w:styleId="xl67">
    <w:name w:val="xl67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8">
    <w:name w:val="xl68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9">
    <w:name w:val="xl69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70">
    <w:name w:val="xl70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72">
    <w:name w:val="xl72"/>
    <w:basedOn w:val="Normal"/>
    <w:rsid w:val="005D433D"/>
    <w:pP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4"/>
      <w:szCs w:val="14"/>
      <w:lang w:val="en-US"/>
    </w:rPr>
  </w:style>
  <w:style w:type="paragraph" w:customStyle="1" w:styleId="xl74">
    <w:name w:val="xl74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4"/>
      <w:szCs w:val="14"/>
      <w:lang w:val="en-US"/>
    </w:rPr>
  </w:style>
  <w:style w:type="paragraph" w:customStyle="1" w:styleId="xl75">
    <w:name w:val="xl75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76">
    <w:name w:val="xl76"/>
    <w:basedOn w:val="Normal"/>
    <w:rsid w:val="005D4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4"/>
      <w:szCs w:val="1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2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E2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D2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E20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Lindita.ballazhi</dc:creator>
  <cp:lastModifiedBy>Windows User</cp:lastModifiedBy>
  <cp:revision>3</cp:revision>
  <cp:lastPrinted>2023-05-03T13:54:00Z</cp:lastPrinted>
  <dcterms:created xsi:type="dcterms:W3CDTF">2023-05-05T07:22:00Z</dcterms:created>
  <dcterms:modified xsi:type="dcterms:W3CDTF">2023-05-05T07:22:00Z</dcterms:modified>
</cp:coreProperties>
</file>