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83" cy="1002639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83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4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71136" coordorigin="118,0" coordsize="11794,16840">
            <v:shape style="position:absolute;left:117;top:0;width:11794;height:16840" type="#_x0000_t75" stroked="false">
              <v:imagedata r:id="rId15" o:title=""/>
            </v:shape>
            <v:shape style="position:absolute;left:693;top:611;width:10455;height:6999" type="#_x0000_t75" stroked="false">
              <v:imagedata r:id="rId16" o:title=""/>
            </v:shape>
            <v:shape style="position:absolute;left:1384;top:8185;width:9807;height:1210" type="#_x0000_t75" stroked="false">
              <v:imagedata r:id="rId17" o:title=""/>
            </v:shape>
            <v:shape style="position:absolute;left:4898;top:2634;width:3140;height:713" type="#_x0000_t75" stroked="false">
              <v:imagedata r:id="rId18" o:title=""/>
            </v:shape>
            <v:shape style="position:absolute;left:3804;top:2627;width:1145;height:432" type="#_x0000_t75" stroked="false">
              <v:imagedata r:id="rId19" o:title=""/>
            </v:shape>
            <v:shape style="position:absolute;left:1500;top:6500;width:908;height:245" type="#_x0000_t75" stroked="false">
              <v:imagedata r:id="rId20" o:title=""/>
            </v:shape>
            <v:shape style="position:absolute;left:1500;top:5716;width:605;height:166" type="#_x0000_t75" stroked="false">
              <v:imagedata r:id="rId2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70624" coordorigin="118,0" coordsize="11794,16840">
            <v:shape style="position:absolute;left:117;top:0;width:11794;height:16840" type="#_x0000_t75" stroked="false">
              <v:imagedata r:id="rId22" o:title=""/>
            </v:shape>
            <v:shape style="position:absolute;left:1442;top:6889;width:9022;height:1642" type="#_x0000_t75" stroked="false">
              <v:imagedata r:id="rId23" o:title=""/>
            </v:shape>
            <v:shape style="position:absolute;left:4840;top:2332;width:2232;height:2744" type="#_x0000_t75" stroked="false">
              <v:imagedata r:id="rId24" o:title=""/>
            </v:shape>
            <v:shape style="position:absolute;left:1442;top:15450;width:8720;height:224" type="#_x0000_t75" stroked="false">
              <v:imagedata r:id="rId25" o:title=""/>
            </v:shape>
            <v:shape style="position:absolute;left:4783;top:9568;width:2355;height:346" type="#_x0000_t75" stroked="false">
              <v:imagedata r:id="rId26" o:title=""/>
            </v:shape>
            <v:shape style="position:absolute;left:4840;top:12786;width:2312;height:238" type="#_x0000_t75" stroked="false">
              <v:imagedata r:id="rId2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70112" coordorigin="118,0" coordsize="11794,16840">
            <v:shape style="position:absolute;left:117;top:0;width:11794;height:16840" type="#_x0000_t75" stroked="false">
              <v:imagedata r:id="rId28" o:title=""/>
            </v:shape>
            <v:shape style="position:absolute;left:1384;top:2353;width:9159;height:12111" type="#_x0000_t75" stroked="false">
              <v:imagedata r:id="rId29" o:title=""/>
            </v:shape>
            <v:shape style="position:absolute;left:1442;top:15436;width:8712;height:238" type="#_x0000_t75" stroked="false">
              <v:imagedata r:id="rId3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9600" coordorigin="118,0" coordsize="11794,16840">
            <v:shape style="position:absolute;left:117;top:0;width:11794;height:16840" type="#_x0000_t75" stroked="false">
              <v:imagedata r:id="rId31" o:title=""/>
            </v:shape>
            <v:shape style="position:absolute;left:1327;top:2389;width:9209;height:11960" type="#_x0000_t75" stroked="false">
              <v:imagedata r:id="rId32" o:title=""/>
            </v:shape>
            <v:shape style="position:absolute;left:1442;top:15479;width:8712;height:195" type="#_x0000_t75" stroked="false">
              <v:imagedata r:id="rId33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9088" coordorigin="118,0" coordsize="11794,16840">
            <v:shape style="position:absolute;left:117;top:0;width:11794;height:16840" type="#_x0000_t75" stroked="false">
              <v:imagedata r:id="rId34" o:title=""/>
            </v:shape>
            <v:shape style="position:absolute;left:1327;top:2440;width:9209;height:12600" type="#_x0000_t75" stroked="false">
              <v:imagedata r:id="rId35" o:title=""/>
            </v:shape>
            <v:shape style="position:absolute;left:1442;top:15522;width:8705;height:209" type="#_x0000_t75" stroked="false">
              <v:imagedata r:id="rId3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8576" coordorigin="118,0" coordsize="11794,16840">
            <v:shape style="position:absolute;left:117;top:0;width:11794;height:16840" type="#_x0000_t75" stroked="false">
              <v:imagedata r:id="rId37" o:title=""/>
            </v:shape>
            <v:shape style="position:absolute;left:1384;top:2346;width:9159;height:6416" type="#_x0000_t75" stroked="false">
              <v:imagedata r:id="rId38" o:title=""/>
            </v:shape>
            <v:shape style="position:absolute;left:1442;top:15299;width:8734;height:317" type="#_x0000_t75" stroked="false">
              <v:imagedata r:id="rId39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8064" coordorigin="118,0" coordsize="11794,16840">
            <v:shape style="position:absolute;left:117;top:0;width:11794;height:16840" type="#_x0000_t75" stroked="false">
              <v:imagedata r:id="rId40" o:title=""/>
            </v:shape>
            <v:shape style="position:absolute;left:1327;top:2368;width:9238;height:11348" type="#_x0000_t75" stroked="false">
              <v:imagedata r:id="rId41" o:title=""/>
            </v:shape>
            <v:shape style="position:absolute;left:1442;top:15508;width:8741;height:224" type="#_x0000_t75" stroked="false">
              <v:imagedata r:id="rId4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7552" coordorigin="118,0" coordsize="11794,16840">
            <v:shape style="position:absolute;left:117;top:0;width:11794;height:16840" type="#_x0000_t75" stroked="false">
              <v:imagedata r:id="rId43" o:title=""/>
            </v:shape>
            <v:shape style="position:absolute;left:1384;top:6076;width:9159;height:8561" type="#_x0000_t75" stroked="false">
              <v:imagedata r:id="rId44" o:title=""/>
            </v:shape>
            <v:shape style="position:absolute;left:1327;top:2360;width:9173;height:3003" type="#_x0000_t75" stroked="false">
              <v:imagedata r:id="rId45" o:title=""/>
            </v:shape>
            <v:shape style="position:absolute;left:1442;top:15443;width:8720;height:231" type="#_x0000_t75" stroked="false">
              <v:imagedata r:id="rId4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7040" coordorigin="118,0" coordsize="11794,16840">
            <v:shape style="position:absolute;left:117;top:0;width:11794;height:16840" type="#_x0000_t75" stroked="false">
              <v:imagedata r:id="rId47" o:title=""/>
            </v:shape>
            <v:shape style="position:absolute;left:1384;top:7523;width:9173;height:7114" type="#_x0000_t75" stroked="false">
              <v:imagedata r:id="rId48" o:title=""/>
            </v:shape>
            <v:shape style="position:absolute;left:1384;top:4247;width:9130;height:2384" type="#_x0000_t75" stroked="false">
              <v:imagedata r:id="rId49" o:title=""/>
            </v:shape>
            <v:shape style="position:absolute;left:1327;top:2375;width:9166;height:1203" type="#_x0000_t75" stroked="false">
              <v:imagedata r:id="rId50" o:title=""/>
            </v:shape>
            <v:shape style="position:absolute;left:1442;top:15457;width:8734;height:216" type="#_x0000_t75" stroked="false">
              <v:imagedata r:id="rId5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6528" coordorigin="118,0" coordsize="11794,16840">
            <v:shape style="position:absolute;left:117;top:0;width:11794;height:16840" type="#_x0000_t75" stroked="false">
              <v:imagedata r:id="rId52" o:title=""/>
            </v:shape>
            <v:shape style="position:absolute;left:1384;top:2281;width:9130;height:6768" type="#_x0000_t75" stroked="false">
              <v:imagedata r:id="rId53" o:title=""/>
            </v:shape>
            <v:shape style="position:absolute;left:1442;top:10000;width:8907;height:4464" type="#_x0000_t75" stroked="false">
              <v:imagedata r:id="rId54" o:title=""/>
            </v:shape>
            <v:shape style="position:absolute;left:1442;top:15364;width:8705;height:195" type="#_x0000_t75" stroked="false">
              <v:imagedata r:id="rId55" o:title=""/>
            </v:shape>
            <v:shape style="position:absolute;left:1500;top:13110;width:2196;height:490" type="#_x0000_t75" stroked="false">
              <v:imagedata r:id="rId5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6016" coordorigin="118,0" coordsize="11794,16840">
            <v:shape style="position:absolute;left:117;top:0;width:11794;height:16840" type="#_x0000_t75" stroked="false">
              <v:imagedata r:id="rId57" o:title=""/>
            </v:shape>
            <v:shape style="position:absolute;left:693;top:618;width:10455;height:6704" type="#_x0000_t75" stroked="false">
              <v:imagedata r:id="rId58" o:title=""/>
            </v:shape>
            <v:shape style="position:absolute;left:1384;top:7890;width:9620;height:1160" type="#_x0000_t75" stroked="false">
              <v:imagedata r:id="rId59" o:title=""/>
            </v:shape>
            <v:shape style="position:absolute;left:4898;top:2656;width:3132;height:749" type="#_x0000_t75" stroked="false">
              <v:imagedata r:id="rId60" o:title=""/>
            </v:shape>
            <v:shape style="position:absolute;left:3804;top:2656;width:1138;height:461" type="#_x0000_t75" stroked="false">
              <v:imagedata r:id="rId61" o:title=""/>
            </v:shape>
            <v:shape style="position:absolute;left:10082;top:2209;width:836;height:101" type="#_x0000_t75" stroked="false">
              <v:imagedata r:id="rId62" o:title=""/>
            </v:shape>
            <v:shape style="position:absolute;left:1500;top:5744;width:598;height:195" type="#_x0000_t75" stroked="false">
              <v:imagedata r:id="rId63" o:title=""/>
            </v:shape>
            <v:shape style="position:absolute;left:10255;top:2872;width:620;height:591" type="#_x0000_t75" stroked="false">
              <v:imagedata r:id="rId64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5504" coordorigin="118,0" coordsize="11794,16840">
            <v:shape style="position:absolute;left:117;top:0;width:11794;height:16840" type="#_x0000_t75" stroked="false">
              <v:imagedata r:id="rId65" o:title=""/>
            </v:shape>
            <v:shape style="position:absolute;left:1730;top:9380;width:8496;height:994" type="#_x0000_t75" stroked="false">
              <v:imagedata r:id="rId66" o:title=""/>
            </v:shape>
            <v:shape style="position:absolute;left:2824;top:3764;width:5696;height:620" type="#_x0000_t75" stroked="false">
              <v:imagedata r:id="rId67" o:title=""/>
            </v:shape>
            <v:shape style="position:absolute;left:9218;top:3620;width:1181;height:1109" type="#_x0000_t75" stroked="false">
              <v:imagedata r:id="rId68" o:title=""/>
            </v:shape>
            <v:shape style="position:absolute;left:1615;top:3448;width:980;height:360" type="#_x0000_t75" stroked="false">
              <v:imagedata r:id="rId69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4992" coordorigin="118,0" coordsize="11794,16840">
            <v:shape style="position:absolute;left:117;top:0;width:11794;height:16840" type="#_x0000_t75" stroked="false">
              <v:imagedata r:id="rId70" o:title=""/>
            </v:shape>
            <v:shape style="position:absolute;left:1327;top:2742;width:8511;height:8612" type="#_x0000_t75" stroked="false">
              <v:imagedata r:id="rId7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4480" coordorigin="118,0" coordsize="11794,16840">
            <v:shape style="position:absolute;left:117;top:0;width:11794;height:16840" type="#_x0000_t75" stroked="false">
              <v:imagedata r:id="rId72" o:title=""/>
            </v:shape>
            <v:shape style="position:absolute;left:1384;top:2440;width:9180;height:12312" type="#_x0000_t75" stroked="false">
              <v:imagedata r:id="rId73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3968" coordorigin="118,0" coordsize="11794,16840">
            <v:shape style="position:absolute;left:117;top:0;width:11794;height:16840" type="#_x0000_t75" stroked="false">
              <v:imagedata r:id="rId74" o:title=""/>
            </v:shape>
            <v:shape style="position:absolute;left:1327;top:2440;width:9224;height:12600" type="#_x0000_t75" stroked="false">
              <v:imagedata r:id="rId75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3456" coordorigin="118,0" coordsize="11794,16840">
            <v:shape style="position:absolute;left:117;top:0;width:11794;height:16840" type="#_x0000_t75" stroked="false">
              <v:imagedata r:id="rId76" o:title=""/>
            </v:shape>
            <v:shape style="position:absolute;left:1384;top:3016;width:9180;height:10988" type="#_x0000_t75" stroked="false">
              <v:imagedata r:id="rId77" o:title=""/>
            </v:shape>
            <v:shape style="position:absolute;left:1384;top:2418;width:6876;height:238" type="#_x0000_t75" stroked="false">
              <v:imagedata r:id="rId7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2944" coordorigin="118,0" coordsize="11794,16840">
            <v:shape style="position:absolute;left:117;top:0;width:11794;height:16840" type="#_x0000_t75" stroked="false">
              <v:imagedata r:id="rId79" o:title=""/>
            </v:shape>
            <v:shape style="position:absolute;left:1384;top:2418;width:9180;height:12276" type="#_x0000_t75" stroked="false">
              <v:imagedata r:id="rId80" o:title=""/>
            </v:shape>
            <v:shape style="position:absolute;left:6856;top:4600;width:987;height:188" type="#_x0000_t75" stroked="false">
              <v:imagedata r:id="rId8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2432" coordorigin="118,0" coordsize="11794,16840">
            <v:shape style="position:absolute;left:117;top:0;width:11794;height:16840" type="#_x0000_t75" stroked="false">
              <v:imagedata r:id="rId82" o:title=""/>
            </v:shape>
            <v:shape style="position:absolute;left:1154;top:1748;width:9857;height:13868" type="#_x0000_t75" stroked="false">
              <v:imagedata r:id="rId83" o:title=""/>
            </v:shape>
            <v:shape style="position:absolute;left:751;top:1547;width:10498;height:14184" type="#_x0000_t75" stroked="false">
              <v:imagedata r:id="rId84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1920" coordorigin="118,0" coordsize="11794,16840">
            <v:shape style="position:absolute;left:117;top:0;width:11794;height:16840" type="#_x0000_t75" stroked="false">
              <v:imagedata r:id="rId85" o:title=""/>
            </v:shape>
            <v:shape style="position:absolute;left:693;top:3275;width:2852;height:2031" type="#_x0000_t75" stroked="false">
              <v:imagedata r:id="rId86" o:title=""/>
            </v:shape>
            <v:shape style="position:absolute;left:751;top:5867;width:1973;height:7848" type="#_x0000_t75" stroked="false">
              <v:imagedata r:id="rId8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1408" coordorigin="118,0" coordsize="11794,16840">
            <v:shape style="position:absolute;left:117;top:0;width:11794;height:16840" type="#_x0000_t75" stroked="false">
              <v:imagedata r:id="rId88" o:title=""/>
            </v:shape>
            <v:shape style="position:absolute;left:693;top:3289;width:9591;height:6912" type="#_x0000_t75" stroked="false">
              <v:imagedata r:id="rId89" o:title=""/>
            </v:shape>
            <v:shape style="position:absolute;left:1960;top:11296;width:4709;height:2535" type="#_x0000_t75" stroked="false">
              <v:imagedata r:id="rId90" o:title=""/>
            </v:shape>
            <v:shape style="position:absolute;left:751;top:3476;width:8172;height:12140" type="#_x0000_t75" stroked="false">
              <v:imagedata r:id="rId9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7360896" coordorigin="118,0" coordsize="11794,16840">
            <v:shape style="position:absolute;left:117;top:0;width:11794;height:16840" type="#_x0000_t75" stroked="false">
              <v:imagedata r:id="rId92" o:title=""/>
            </v:shape>
            <v:shape style="position:absolute;left:693;top:1561;width:9584;height:14228" type="#_x0000_t75" stroked="false">
              <v:imagedata r:id="rId93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7.320469pt;margin-top:0pt;width:588.25pt;height:842pt;mso-position-horizontal-relative:page;mso-position-vertical-relative:page;z-index:-17360384" coordorigin="146,0" coordsize="11765,16840">
            <v:shape style="position:absolute;left:146;top:0;width:11765;height:16840" type="#_x0000_t75" stroked="false">
              <v:imagedata r:id="rId94" o:title=""/>
            </v:shape>
            <v:shape style="position:absolute;left:693;top:1561;width:10260;height:14228" type="#_x0000_t75" stroked="false">
              <v:imagedata r:id="rId95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7.320469pt;margin-top:0pt;width:588.25pt;height:842pt;mso-position-horizontal-relative:page;mso-position-vertical-relative:page;z-index:-17359872" coordorigin="146,0" coordsize="11765,16840">
            <v:shape style="position:absolute;left:146;top:0;width:11765;height:16840" type="#_x0000_t75" stroked="false">
              <v:imagedata r:id="rId96" o:title=""/>
            </v:shape>
            <v:shape style="position:absolute;left:693;top:1561;width:10376;height:14228" type="#_x0000_t75" stroked="false">
              <v:imagedata r:id="rId9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1920" w:h="16840"/>
          <w:pgMar w:top="160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5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85248"/>
            <wp:effectExtent l="0" t="0" r="0" b="0"/>
            <wp:wrapNone/>
            <wp:docPr id="21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57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48672"/>
            <wp:effectExtent l="0" t="0" r="0" b="0"/>
            <wp:wrapNone/>
            <wp:docPr id="23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5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83" cy="9948672"/>
            <wp:effectExtent l="0" t="0" r="0" b="0"/>
            <wp:wrapNone/>
            <wp:docPr id="25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83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5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4"/>
            <wp:effectExtent l="0" t="0" r="0" b="0"/>
            <wp:wrapNone/>
            <wp:docPr id="27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5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4"/>
            <wp:effectExtent l="0" t="0" r="0" b="0"/>
            <wp:wrapNone/>
            <wp:docPr id="29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5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4"/>
            <wp:effectExtent l="0" t="0" r="0" b="0"/>
            <wp:wrapNone/>
            <wp:docPr id="31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6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3820" cy="10021824"/>
            <wp:effectExtent l="0" t="0" r="0" b="0"/>
            <wp:wrapNone/>
            <wp:docPr id="33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3820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6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4"/>
            <wp:effectExtent l="0" t="0" r="0" b="0"/>
            <wp:wrapNone/>
            <wp:docPr id="35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61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37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5961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85248"/>
            <wp:effectExtent l="0" t="0" r="0" b="0"/>
            <wp:wrapNone/>
            <wp:docPr id="39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240" w:h="15840"/>
          <w:pgMar w:top="1500" w:bottom="280" w:left="200" w:right="140"/>
        </w:sectPr>
      </w:pPr>
    </w:p>
    <w:p>
      <w:pPr>
        <w:pStyle w:val="BodyText"/>
        <w:spacing w:line="20" w:lineRule="exact"/>
        <w:ind w:left="1211"/>
        <w:rPr>
          <w:rFonts w:ascii="Times New Roman"/>
          <w:sz w:val="2"/>
        </w:rPr>
      </w:pPr>
      <w:r>
        <w:rPr/>
        <w:pict>
          <v:group style="position:absolute;margin-left:0pt;margin-top:727.575012pt;width:612pt;height:64.3pt;mso-position-horizontal-relative:page;mso-position-vertical-relative:page;z-index:15751168" coordorigin="0,14552" coordsize="12240,1286">
            <v:rect style="position:absolute;left:0;top:14559;width:12240;height:1271" filled="true" fillcolor="#00af50" stroked="false">
              <v:fill type="solid"/>
            </v:rect>
            <v:shape style="position:absolute;left:0;top:14559;width:12240;height:1271" coordorigin="0,14559" coordsize="12240,1271" path="m0,15830l12240,15830m12240,14559l0,14559e" filled="false" stroked="true" strokeweight=".75pt" strokecolor="#00af50">
              <v:path arrowok="t"/>
              <v:stroke dashstyle="solid"/>
            </v:shape>
            <w10:wrap type="none"/>
          </v:group>
        </w:pict>
      </w:r>
      <w:r>
        <w:rPr>
          <w:rFonts w:ascii="Times New Roman"/>
          <w:sz w:val="2"/>
        </w:rPr>
        <w:pict>
          <v:group style="width:471pt;height:.5pt;mso-position-horizontal-relative:char;mso-position-vertical-relative:line" coordorigin="0,0" coordsize="9420,10">
            <v:rect style="position:absolute;left:0;top:0;width:9420;height:10" filled="true" fillcolor="#2ca1be" stroked="false">
              <v:fill type="solid"/>
            </v:rect>
          </v:group>
        </w:pict>
      </w:r>
      <w:r>
        <w:rPr>
          <w:rFonts w:ascii="Times New Roman"/>
          <w:sz w:val="2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</w:rPr>
      </w:pPr>
    </w:p>
    <w:p>
      <w:pPr>
        <w:pStyle w:val="Heading4"/>
        <w:ind w:left="1240"/>
      </w:pPr>
      <w:r>
        <w:rPr/>
        <w:t>DREJTORIA</w:t>
      </w:r>
      <w:r>
        <w:rPr>
          <w:spacing w:val="-4"/>
        </w:rPr>
        <w:t> </w:t>
      </w:r>
      <w:r>
        <w:rPr/>
        <w:t>E</w:t>
      </w:r>
      <w:r>
        <w:rPr>
          <w:spacing w:val="-4"/>
        </w:rPr>
        <w:t> </w:t>
      </w:r>
      <w:r>
        <w:rPr/>
        <w:t>URBANIZMIT,</w:t>
      </w:r>
      <w:r>
        <w:rPr>
          <w:spacing w:val="-4"/>
        </w:rPr>
        <w:t> </w:t>
      </w:r>
      <w:r>
        <w:rPr/>
        <w:t>KADASTRIT</w:t>
      </w:r>
      <w:r>
        <w:rPr>
          <w:spacing w:val="-3"/>
        </w:rPr>
        <w:t> </w:t>
      </w:r>
      <w:r>
        <w:rPr/>
        <w:t>DHE</w:t>
      </w:r>
      <w:r>
        <w:rPr>
          <w:spacing w:val="-4"/>
        </w:rPr>
        <w:t> </w:t>
      </w:r>
      <w:r>
        <w:rPr/>
        <w:t>MBROJTJA</w:t>
      </w:r>
      <w:r>
        <w:rPr>
          <w:spacing w:val="-3"/>
        </w:rPr>
        <w:t> </w:t>
      </w:r>
      <w:r>
        <w:rPr/>
        <w:t>E</w:t>
      </w:r>
      <w:r>
        <w:rPr>
          <w:spacing w:val="-3"/>
        </w:rPr>
        <w:t> </w:t>
      </w:r>
      <w:r>
        <w:rPr/>
        <w:t>MJEDISIT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line="609" w:lineRule="exact" w:before="253"/>
        <w:ind w:left="1240" w:right="0" w:firstLine="0"/>
        <w:jc w:val="left"/>
        <w:rPr>
          <w:rFonts w:ascii="Cambria" w:hAnsi="Cambria"/>
          <w:sz w:val="52"/>
        </w:rPr>
      </w:pPr>
      <w:r>
        <w:rPr>
          <w:rFonts w:ascii="Cambria" w:hAnsi="Cambria"/>
          <w:sz w:val="52"/>
        </w:rPr>
        <w:t>INFORMATË</w:t>
      </w:r>
      <w:r>
        <w:rPr>
          <w:rFonts w:ascii="Cambria" w:hAnsi="Cambria"/>
          <w:spacing w:val="-2"/>
          <w:sz w:val="52"/>
        </w:rPr>
        <w:t> </w:t>
      </w:r>
      <w:r>
        <w:rPr>
          <w:rFonts w:ascii="Cambria" w:hAnsi="Cambria"/>
          <w:sz w:val="52"/>
        </w:rPr>
        <w:t>MBI</w:t>
      </w:r>
      <w:r>
        <w:rPr>
          <w:rFonts w:ascii="Cambria" w:hAnsi="Cambria"/>
          <w:spacing w:val="-4"/>
          <w:sz w:val="52"/>
        </w:rPr>
        <w:t> </w:t>
      </w:r>
      <w:r>
        <w:rPr>
          <w:rFonts w:ascii="Cambria" w:hAnsi="Cambria"/>
          <w:sz w:val="52"/>
        </w:rPr>
        <w:t>GJENDJEN</w:t>
      </w:r>
      <w:r>
        <w:rPr>
          <w:rFonts w:ascii="Cambria" w:hAnsi="Cambria"/>
          <w:spacing w:val="-2"/>
          <w:sz w:val="52"/>
        </w:rPr>
        <w:t> </w:t>
      </w:r>
      <w:r>
        <w:rPr>
          <w:rFonts w:ascii="Cambria" w:hAnsi="Cambria"/>
          <w:sz w:val="52"/>
        </w:rPr>
        <w:t>NË</w:t>
      </w:r>
      <w:r>
        <w:rPr>
          <w:rFonts w:ascii="Cambria" w:hAnsi="Cambria"/>
          <w:spacing w:val="-3"/>
          <w:sz w:val="52"/>
        </w:rPr>
        <w:t> </w:t>
      </w:r>
      <w:r>
        <w:rPr>
          <w:rFonts w:ascii="Cambria" w:hAnsi="Cambria"/>
          <w:sz w:val="52"/>
        </w:rPr>
        <w:t>MJEDIS</w:t>
      </w:r>
    </w:p>
    <w:p>
      <w:pPr>
        <w:pStyle w:val="Heading3"/>
        <w:spacing w:line="421" w:lineRule="exact"/>
        <w:ind w:left="1240"/>
        <w:rPr>
          <w:rFonts w:ascii="Cambria" w:hAnsi="Cambria"/>
        </w:rPr>
      </w:pPr>
      <w:r>
        <w:rPr>
          <w:rFonts w:ascii="Cambria" w:hAnsi="Cambria"/>
        </w:rPr>
        <w:t>NË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HAN</w:t>
      </w:r>
      <w:r>
        <w:rPr>
          <w:rFonts w:ascii="Cambria" w:hAnsi="Cambria"/>
          <w:spacing w:val="-1"/>
        </w:rPr>
        <w:t> </w:t>
      </w:r>
      <w:r>
        <w:rPr>
          <w:rFonts w:ascii="Cambria" w:hAnsi="Cambria"/>
        </w:rPr>
        <w:t>TË ELEZIT PËR</w:t>
      </w:r>
      <w:r>
        <w:rPr>
          <w:rFonts w:ascii="Cambria" w:hAnsi="Cambria"/>
          <w:spacing w:val="-3"/>
        </w:rPr>
        <w:t> </w:t>
      </w:r>
      <w:r>
        <w:rPr>
          <w:rFonts w:ascii="Cambria" w:hAnsi="Cambria"/>
        </w:rPr>
        <w:t>VITIN</w:t>
      </w:r>
      <w:r>
        <w:rPr>
          <w:rFonts w:ascii="Cambria" w:hAnsi="Cambria"/>
          <w:spacing w:val="-2"/>
        </w:rPr>
        <w:t> </w:t>
      </w:r>
      <w:r>
        <w:rPr>
          <w:rFonts w:ascii="Cambria" w:hAnsi="Cambria"/>
        </w:rPr>
        <w:t>2022</w:t>
      </w: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rPr>
          <w:rFonts w:ascii="Cambria"/>
          <w:sz w:val="42"/>
        </w:rPr>
      </w:pPr>
    </w:p>
    <w:p>
      <w:pPr>
        <w:pStyle w:val="BodyText"/>
        <w:spacing w:before="5"/>
        <w:rPr>
          <w:rFonts w:ascii="Cambria"/>
          <w:sz w:val="41"/>
        </w:rPr>
      </w:pPr>
    </w:p>
    <w:p>
      <w:pPr>
        <w:pStyle w:val="Heading5"/>
        <w:spacing w:line="276" w:lineRule="auto"/>
        <w:ind w:left="1240" w:right="9360"/>
      </w:pPr>
      <w:r>
        <w:rPr>
          <w:color w:val="006FC0"/>
        </w:rPr>
        <w:t>Hani i Elezit</w:t>
      </w:r>
      <w:r>
        <w:rPr>
          <w:color w:val="006FC0"/>
          <w:spacing w:val="-58"/>
        </w:rPr>
        <w:t> </w:t>
      </w:r>
      <w:r>
        <w:rPr>
          <w:color w:val="006FC0"/>
        </w:rPr>
        <w:t>05.05.2023</w:t>
      </w:r>
    </w:p>
    <w:p>
      <w:pPr>
        <w:spacing w:after="0" w:line="276" w:lineRule="auto"/>
        <w:sectPr>
          <w:pgSz w:w="12240" w:h="15840"/>
          <w:pgMar w:top="1040" w:bottom="0" w:left="200" w:right="140"/>
        </w:sectPr>
      </w:pPr>
    </w:p>
    <w:p>
      <w:pPr>
        <w:spacing w:before="79"/>
        <w:ind w:left="78" w:right="136" w:firstLine="0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BE7A88"/>
          <w:sz w:val="24"/>
        </w:rPr>
        <w:t>H</w:t>
      </w:r>
      <w:r>
        <w:rPr>
          <w:rFonts w:ascii="Times New Roman"/>
          <w:b/>
          <w:color w:val="BE7A88"/>
          <w:spacing w:val="-1"/>
          <w:sz w:val="24"/>
        </w:rPr>
        <w:t> </w:t>
      </w:r>
      <w:r>
        <w:rPr>
          <w:rFonts w:ascii="Times New Roman"/>
          <w:b/>
          <w:color w:val="BE7A88"/>
          <w:sz w:val="24"/>
        </w:rPr>
        <w:t>Y</w:t>
      </w:r>
      <w:r>
        <w:rPr>
          <w:rFonts w:ascii="Times New Roman"/>
          <w:b/>
          <w:color w:val="BE7A88"/>
          <w:spacing w:val="-1"/>
          <w:sz w:val="24"/>
        </w:rPr>
        <w:t> </w:t>
      </w:r>
      <w:r>
        <w:rPr>
          <w:rFonts w:ascii="Times New Roman"/>
          <w:b/>
          <w:color w:val="BE7A88"/>
          <w:sz w:val="24"/>
        </w:rPr>
        <w:t>R</w:t>
      </w:r>
      <w:r>
        <w:rPr>
          <w:rFonts w:ascii="Times New Roman"/>
          <w:b/>
          <w:color w:val="BE7A88"/>
          <w:spacing w:val="-1"/>
          <w:sz w:val="24"/>
        </w:rPr>
        <w:t> </w:t>
      </w:r>
      <w:r>
        <w:rPr>
          <w:rFonts w:ascii="Times New Roman"/>
          <w:b/>
          <w:color w:val="BE7A88"/>
          <w:sz w:val="24"/>
        </w:rPr>
        <w:t>J E</w:t>
      </w:r>
    </w:p>
    <w:p>
      <w:pPr>
        <w:pStyle w:val="BodyText"/>
        <w:spacing w:before="8"/>
        <w:rPr>
          <w:rFonts w:ascii="Times New Roman"/>
          <w:b/>
          <w:sz w:val="20"/>
        </w:rPr>
      </w:pPr>
    </w:p>
    <w:p>
      <w:pPr>
        <w:spacing w:line="276" w:lineRule="auto" w:before="0"/>
        <w:ind w:left="1240" w:right="1296" w:firstLine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Drejtoria e Urbanizmit, Kadastrit dhe Mbrojtja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 Mjedisit (DUKMM)</w:t>
      </w:r>
      <w:r>
        <w:rPr>
          <w:rFonts w:ascii="Times New Roman" w:hAnsi="Times New Roman"/>
          <w:spacing w:val="60"/>
          <w:sz w:val="24"/>
        </w:rPr>
        <w:t> </w:t>
      </w:r>
      <w:r>
        <w:rPr>
          <w:rFonts w:ascii="Times New Roman" w:hAnsi="Times New Roman"/>
          <w:sz w:val="24"/>
        </w:rPr>
        <w:t>gjegjësisht Komuna 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Hanit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të Elezit,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bazuar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në mundësitë dhe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kapacitetet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 saja profesionale dhe financiare,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vazhdimësi përcjellë dhe ndërmerr masa për parandalimin dhe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përmirsimin e gjendjes mjedisore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siq janë: investimet kapitale publike të cilat ndërlidhen me mbrojtjen e ambientit, ndalimin 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hedhjes së mbeturinave jashtë pikave grumbulluese, pengimin e hedhjes së mbeturinave inerte në</w:t>
      </w:r>
      <w:r>
        <w:rPr>
          <w:rFonts w:ascii="Times New Roman" w:hAnsi="Times New Roman"/>
          <w:spacing w:val="-57"/>
          <w:sz w:val="24"/>
        </w:rPr>
        <w:t> </w:t>
      </w:r>
      <w:r>
        <w:rPr>
          <w:rFonts w:ascii="Times New Roman" w:hAnsi="Times New Roman"/>
          <w:sz w:val="24"/>
        </w:rPr>
        <w:t>lum dhe prrocka, kontrollimin e vazhdueshëm të operatorëve ekonomik, gurëthyesve si dhe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ndotësve tjerë. Pavarsishtë kësaj, vitin 2022 ndotja e ambientit është pa ndryshime të mëdha në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raport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me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ndotjen e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vitit 2021.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8"/>
        <w:rPr>
          <w:rFonts w:ascii="Times New Roman"/>
          <w:sz w:val="36"/>
        </w:rPr>
      </w:pPr>
    </w:p>
    <w:p>
      <w:pPr>
        <w:pStyle w:val="Heading5"/>
        <w:ind w:right="135"/>
        <w:jc w:val="center"/>
      </w:pPr>
      <w:r>
        <w:rPr>
          <w:color w:val="5D2C37"/>
        </w:rPr>
        <w:t>NDOTJA</w:t>
      </w:r>
      <w:r>
        <w:rPr>
          <w:color w:val="5D2C37"/>
          <w:spacing w:val="-1"/>
        </w:rPr>
        <w:t> </w:t>
      </w:r>
      <w:r>
        <w:rPr>
          <w:color w:val="5D2C37"/>
        </w:rPr>
        <w:t>E</w:t>
      </w:r>
      <w:r>
        <w:rPr>
          <w:color w:val="5D2C37"/>
          <w:spacing w:val="-1"/>
        </w:rPr>
        <w:t> </w:t>
      </w:r>
      <w:r>
        <w:rPr>
          <w:color w:val="5D2C37"/>
        </w:rPr>
        <w:t>AJRIT</w:t>
      </w:r>
    </w:p>
    <w:p>
      <w:pPr>
        <w:pStyle w:val="BodyText"/>
        <w:spacing w:before="7"/>
        <w:rPr>
          <w:rFonts w:ascii="Times New Roman"/>
          <w:b/>
          <w:sz w:val="20"/>
        </w:rPr>
      </w:pPr>
    </w:p>
    <w:p>
      <w:pPr>
        <w:pStyle w:val="Heading6"/>
        <w:spacing w:line="276" w:lineRule="auto"/>
        <w:ind w:right="1294" w:firstLine="719"/>
        <w:jc w:val="both"/>
      </w:pPr>
      <w:r>
        <w:rPr/>
        <w:t>Ndotja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ajrit</w:t>
      </w:r>
      <w:r>
        <w:rPr>
          <w:spacing w:val="1"/>
        </w:rPr>
        <w:t> </w:t>
      </w:r>
      <w:r>
        <w:rPr/>
        <w:t>ndodhë</w:t>
      </w:r>
      <w:r>
        <w:rPr>
          <w:spacing w:val="1"/>
        </w:rPr>
        <w:t> </w:t>
      </w:r>
      <w:r>
        <w:rPr/>
        <w:t>kur</w:t>
      </w:r>
      <w:r>
        <w:rPr>
          <w:spacing w:val="1"/>
        </w:rPr>
        <w:t> </w:t>
      </w:r>
      <w:r>
        <w:rPr/>
        <w:t>në</w:t>
      </w:r>
      <w:r>
        <w:rPr>
          <w:spacing w:val="1"/>
        </w:rPr>
        <w:t> </w:t>
      </w:r>
      <w:r>
        <w:rPr/>
        <w:t>ajër</w:t>
      </w:r>
      <w:r>
        <w:rPr>
          <w:spacing w:val="1"/>
        </w:rPr>
        <w:t> </w:t>
      </w:r>
      <w:r>
        <w:rPr/>
        <w:t>lirohen</w:t>
      </w:r>
      <w:r>
        <w:rPr>
          <w:spacing w:val="1"/>
        </w:rPr>
        <w:t> </w:t>
      </w:r>
      <w:r>
        <w:rPr/>
        <w:t>substanca</w:t>
      </w:r>
      <w:r>
        <w:rPr>
          <w:spacing w:val="1"/>
        </w:rPr>
        <w:t> </w:t>
      </w:r>
      <w:r>
        <w:rPr/>
        <w:t>në</w:t>
      </w:r>
      <w:r>
        <w:rPr>
          <w:spacing w:val="1"/>
        </w:rPr>
        <w:t> </w:t>
      </w:r>
      <w:r>
        <w:rPr/>
        <w:t>sasi</w:t>
      </w:r>
      <w:r>
        <w:rPr>
          <w:spacing w:val="1"/>
        </w:rPr>
        <w:t> </w:t>
      </w:r>
      <w:r>
        <w:rPr/>
        <w:t>që</w:t>
      </w:r>
      <w:r>
        <w:rPr>
          <w:spacing w:val="1"/>
        </w:rPr>
        <w:t> </w:t>
      </w:r>
      <w:r>
        <w:rPr/>
        <w:t>mundë</w:t>
      </w:r>
      <w:r>
        <w:rPr>
          <w:spacing w:val="1"/>
        </w:rPr>
        <w:t> </w:t>
      </w:r>
      <w:r>
        <w:rPr/>
        <w:t>të</w:t>
      </w:r>
      <w:r>
        <w:rPr>
          <w:spacing w:val="1"/>
        </w:rPr>
        <w:t> </w:t>
      </w:r>
      <w:r>
        <w:rPr/>
        <w:t>dëmtojnë</w:t>
      </w:r>
      <w:r>
        <w:rPr>
          <w:spacing w:val="1"/>
        </w:rPr>
        <w:t> </w:t>
      </w:r>
      <w:r>
        <w:rPr/>
        <w:t>shëndetin e njerzve, kafshëve dhe bimëve ose mundë të shkaktojnë dëme materiale. Është e</w:t>
      </w:r>
      <w:r>
        <w:rPr>
          <w:spacing w:val="1"/>
        </w:rPr>
        <w:t> </w:t>
      </w:r>
      <w:r>
        <w:rPr/>
        <w:t>njohur se ndotësit kryesor të ajrit në Han të Elezit janë fabrika për prodhimin e</w:t>
      </w:r>
      <w:r>
        <w:rPr>
          <w:spacing w:val="1"/>
        </w:rPr>
        <w:t> </w:t>
      </w:r>
      <w:r>
        <w:rPr/>
        <w:t>çimentos</w:t>
      </w:r>
      <w:r>
        <w:rPr>
          <w:spacing w:val="1"/>
        </w:rPr>
        <w:t> </w:t>
      </w:r>
      <w:r>
        <w:rPr/>
        <w:t>SharrCem,</w:t>
      </w:r>
      <w:r>
        <w:rPr>
          <w:spacing w:val="1"/>
        </w:rPr>
        <w:t> </w:t>
      </w:r>
      <w:r>
        <w:rPr/>
        <w:t>numri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madh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veturave</w:t>
      </w:r>
      <w:r>
        <w:rPr>
          <w:spacing w:val="1"/>
        </w:rPr>
        <w:t> </w:t>
      </w:r>
      <w:r>
        <w:rPr/>
        <w:t>dhe</w:t>
      </w:r>
      <w:r>
        <w:rPr>
          <w:spacing w:val="1"/>
        </w:rPr>
        <w:t> </w:t>
      </w:r>
      <w:r>
        <w:rPr/>
        <w:t>mauneve</w:t>
      </w:r>
      <w:r>
        <w:rPr>
          <w:spacing w:val="1"/>
        </w:rPr>
        <w:t> </w:t>
      </w:r>
      <w:r>
        <w:rPr/>
        <w:t>në</w:t>
      </w:r>
      <w:r>
        <w:rPr>
          <w:spacing w:val="1"/>
        </w:rPr>
        <w:t> </w:t>
      </w:r>
      <w:r>
        <w:rPr/>
        <w:t>qarkullim</w:t>
      </w:r>
      <w:r>
        <w:rPr>
          <w:spacing w:val="1"/>
        </w:rPr>
        <w:t> </w:t>
      </w:r>
      <w:r>
        <w:rPr/>
        <w:t>sidomos</w:t>
      </w:r>
      <w:r>
        <w:rPr>
          <w:spacing w:val="1"/>
        </w:rPr>
        <w:t> </w:t>
      </w:r>
      <w:r>
        <w:rPr/>
        <w:t>në</w:t>
      </w:r>
      <w:r>
        <w:rPr>
          <w:spacing w:val="1"/>
        </w:rPr>
        <w:t> </w:t>
      </w:r>
      <w:r>
        <w:rPr/>
        <w:t>magjistralen</w:t>
      </w:r>
      <w:r>
        <w:rPr>
          <w:spacing w:val="1"/>
        </w:rPr>
        <w:t> </w:t>
      </w:r>
      <w:r>
        <w:rPr/>
        <w:t>Prishtinë-Hani i Elezit, përdorimi në masë të madhe i masës drusore për ngrohje gjatë sezonit</w:t>
      </w:r>
      <w:r>
        <w:rPr>
          <w:spacing w:val="1"/>
        </w:rPr>
        <w:t> </w:t>
      </w:r>
      <w:r>
        <w:rPr/>
        <w:t>dimëror,</w:t>
      </w:r>
      <w:r>
        <w:rPr>
          <w:spacing w:val="1"/>
        </w:rPr>
        <w:t> </w:t>
      </w:r>
      <w:r>
        <w:rPr/>
        <w:t>gurëthyesit</w:t>
      </w:r>
      <w:r>
        <w:rPr>
          <w:spacing w:val="2"/>
        </w:rPr>
        <w:t> </w:t>
      </w:r>
      <w:r>
        <w:rPr/>
        <w:t>etj.</w:t>
      </w:r>
    </w:p>
    <w:p>
      <w:pPr>
        <w:spacing w:line="276" w:lineRule="auto" w:before="201"/>
        <w:ind w:left="1240" w:right="1292" w:firstLine="71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Përndryshe, monitorimi i cilësisë së ajrit në Han të Elezit, bëhet nga IHMK (Instituti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Hidrometeorologjik i Kosovës) përmes stacionit për monitorim i vendosur në oborrin e shkollës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fillore “Ilaz Thaçi”. Ky stacion është reprezentativ për cilësinë e ajrit në sfondin urban dhe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position w:val="2"/>
          <w:sz w:val="24"/>
        </w:rPr>
        <w:t>përmes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tij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monitorohen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këto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parametra: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dioksidi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sulfurit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(SO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position w:val="2"/>
          <w:sz w:val="24"/>
        </w:rPr>
        <w:t>),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dioksidi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azotit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(NO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position w:val="2"/>
          <w:sz w:val="24"/>
        </w:rPr>
        <w:t>)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ozoni(O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position w:val="2"/>
          <w:sz w:val="24"/>
        </w:rPr>
        <w:t>), monoksidi i karbonit (CO), grimcat e imta PM10 dhe PM2.5. Po ashtu monitorimi 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sz w:val="24"/>
        </w:rPr>
        <w:t>ajrit bëhet edhe nga stacioni për monitorim i Sharrcem, i vendosur në hapësirat e brendshme të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saja.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Ky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stacion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është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reprezentativ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për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cilësinë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ajrit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sfondin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industrial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dhe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përveç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position w:val="2"/>
          <w:sz w:val="24"/>
        </w:rPr>
        <w:t>parametrave të lartpërmendur bënë matjen edhe të Oksideve të Squfurit (SO</w:t>
      </w:r>
      <w:r>
        <w:rPr>
          <w:rFonts w:ascii="Times New Roman" w:hAnsi="Times New Roman"/>
          <w:sz w:val="16"/>
        </w:rPr>
        <w:t>x</w:t>
      </w:r>
      <w:r>
        <w:rPr>
          <w:rFonts w:ascii="Times New Roman" w:hAnsi="Times New Roman"/>
          <w:position w:val="2"/>
          <w:sz w:val="24"/>
        </w:rPr>
        <w:t>), Oksidet e Azotit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(NO</w:t>
      </w:r>
      <w:r>
        <w:rPr>
          <w:rFonts w:ascii="Times New Roman" w:hAnsi="Times New Roman"/>
          <w:sz w:val="16"/>
        </w:rPr>
        <w:t>x</w:t>
      </w:r>
      <w:r>
        <w:rPr>
          <w:rFonts w:ascii="Times New Roman" w:hAnsi="Times New Roman"/>
          <w:position w:val="2"/>
          <w:sz w:val="24"/>
        </w:rPr>
        <w:t>), si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dhe pluhurit qe emetohet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nga oxhaku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furrës,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ftohësi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i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klinkerit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position w:val="2"/>
          <w:sz w:val="24"/>
        </w:rPr>
        <w:t>dhe mullinjtë e</w:t>
      </w:r>
      <w:r>
        <w:rPr>
          <w:rFonts w:ascii="Times New Roman" w:hAnsi="Times New Roman"/>
          <w:spacing w:val="1"/>
          <w:position w:val="2"/>
          <w:sz w:val="24"/>
        </w:rPr>
        <w:t> </w:t>
      </w:r>
      <w:r>
        <w:rPr>
          <w:rFonts w:ascii="Times New Roman" w:hAnsi="Times New Roman"/>
          <w:sz w:val="24"/>
        </w:rPr>
        <w:t>çimentos. Sharrcem, në baza të rregullta mujore, raportet e monitorimit të ajrit ia përcjellë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Drejtorisë së Mjedisit respektivisht inspektores Komunale për Mbrojtjen e Mjedisit, ndërkaq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MMPH-ja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këto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raporte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i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publikon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në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faqen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2"/>
          <w:sz w:val="24"/>
        </w:rPr>
        <w:t> </w:t>
      </w:r>
      <w:r>
        <w:rPr>
          <w:rFonts w:ascii="Times New Roman" w:hAnsi="Times New Roman"/>
          <w:sz w:val="24"/>
        </w:rPr>
        <w:t>Institutit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Hidrometeorologjik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të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Kosovës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(IHMK).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4"/>
        <w:rPr>
          <w:rFonts w:ascii="Times New Roman"/>
          <w:sz w:val="35"/>
        </w:rPr>
      </w:pPr>
    </w:p>
    <w:p>
      <w:pPr>
        <w:pStyle w:val="Heading6"/>
        <w:spacing w:line="278" w:lineRule="auto"/>
        <w:ind w:right="1300"/>
        <w:jc w:val="both"/>
      </w:pPr>
      <w:r>
        <w:rPr/>
        <w:t>Më poshtë po japim Normat e Cilësisë së Ajrit sipas udhëzimit administrativ Nr.02/2011, si dhe</w:t>
      </w:r>
      <w:r>
        <w:rPr>
          <w:spacing w:val="1"/>
        </w:rPr>
        <w:t> </w:t>
      </w:r>
      <w:r>
        <w:rPr/>
        <w:t>rezultatet</w:t>
      </w:r>
      <w:r>
        <w:rPr>
          <w:spacing w:val="-1"/>
        </w:rPr>
        <w:t> </w:t>
      </w:r>
      <w:r>
        <w:rPr/>
        <w:t>e</w:t>
      </w:r>
      <w:r>
        <w:rPr>
          <w:spacing w:val="-1"/>
        </w:rPr>
        <w:t> </w:t>
      </w:r>
      <w:r>
        <w:rPr/>
        <w:t>monitorimit të</w:t>
      </w:r>
      <w:r>
        <w:rPr>
          <w:spacing w:val="-1"/>
        </w:rPr>
        <w:t> </w:t>
      </w:r>
      <w:r>
        <w:rPr/>
        <w:t>cilësisë</w:t>
      </w:r>
      <w:r>
        <w:rPr>
          <w:spacing w:val="-1"/>
        </w:rPr>
        <w:t> </w:t>
      </w:r>
      <w:r>
        <w:rPr/>
        <w:t>së</w:t>
      </w:r>
      <w:r>
        <w:rPr>
          <w:spacing w:val="-2"/>
        </w:rPr>
        <w:t> </w:t>
      </w:r>
      <w:r>
        <w:rPr/>
        <w:t>ajrit nga</w:t>
      </w:r>
      <w:r>
        <w:rPr>
          <w:spacing w:val="-1"/>
        </w:rPr>
        <w:t> </w:t>
      </w:r>
      <w:r>
        <w:rPr/>
        <w:t>stacioni i</w:t>
      </w:r>
      <w:r>
        <w:rPr>
          <w:spacing w:val="6"/>
        </w:rPr>
        <w:t> </w:t>
      </w:r>
      <w:r>
        <w:rPr/>
        <w:t>IHMK.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7"/>
        </w:rPr>
      </w:pPr>
    </w:p>
    <w:p>
      <w:pPr>
        <w:pStyle w:val="BodyText"/>
        <w:spacing w:before="1"/>
        <w:ind w:right="1296"/>
        <w:jc w:val="right"/>
      </w:pPr>
      <w:r>
        <w:rPr>
          <w:w w:val="100"/>
        </w:rPr>
        <w:t>1</w:t>
      </w:r>
    </w:p>
    <w:p>
      <w:pPr>
        <w:spacing w:after="0"/>
        <w:jc w:val="right"/>
        <w:sectPr>
          <w:pgSz w:w="12240" w:h="15840"/>
          <w:pgMar w:top="1360" w:bottom="280" w:left="200" w:right="140"/>
        </w:sectPr>
      </w:pPr>
    </w:p>
    <w:p>
      <w:pPr>
        <w:pStyle w:val="Heading5"/>
        <w:spacing w:before="79" w:after="42"/>
        <w:ind w:right="138"/>
        <w:jc w:val="center"/>
      </w:pPr>
      <w:r>
        <w:rPr/>
        <w:t>Normat e</w:t>
      </w:r>
      <w:r>
        <w:rPr>
          <w:spacing w:val="-2"/>
        </w:rPr>
        <w:t> </w:t>
      </w:r>
      <w:r>
        <w:rPr/>
        <w:t>cilësisë</w:t>
      </w:r>
      <w:r>
        <w:rPr>
          <w:spacing w:val="-2"/>
        </w:rPr>
        <w:t> </w:t>
      </w:r>
      <w:r>
        <w:rPr/>
        <w:t>së</w:t>
      </w:r>
      <w:r>
        <w:rPr>
          <w:spacing w:val="-2"/>
        </w:rPr>
        <w:t> </w:t>
      </w:r>
      <w:r>
        <w:rPr/>
        <w:t>ajrit</w:t>
      </w:r>
      <w:r>
        <w:rPr>
          <w:spacing w:val="-1"/>
        </w:rPr>
        <w:t> </w:t>
      </w:r>
      <w:r>
        <w:rPr/>
        <w:t>sipas</w:t>
      </w:r>
      <w:r>
        <w:rPr>
          <w:spacing w:val="-1"/>
        </w:rPr>
        <w:t> </w:t>
      </w:r>
      <w:r>
        <w:rPr/>
        <w:t>udhëzimit</w:t>
      </w:r>
      <w:r>
        <w:rPr>
          <w:spacing w:val="-1"/>
        </w:rPr>
        <w:t> </w:t>
      </w:r>
      <w:r>
        <w:rPr/>
        <w:t>administrativ</w:t>
      </w:r>
      <w:r>
        <w:rPr>
          <w:spacing w:val="-1"/>
        </w:rPr>
        <w:t> </w:t>
      </w:r>
      <w:r>
        <w:rPr/>
        <w:t>Nr.02/2011</w: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0"/>
        <w:gridCol w:w="3622"/>
        <w:gridCol w:w="905"/>
        <w:gridCol w:w="1360"/>
        <w:gridCol w:w="1831"/>
      </w:tblGrid>
      <w:tr>
        <w:trPr>
          <w:trHeight w:val="1103" w:hRule="atLeast"/>
        </w:trPr>
        <w:tc>
          <w:tcPr>
            <w:tcW w:w="1930" w:type="dxa"/>
            <w:shd w:val="clear" w:color="auto" w:fill="F1A2A7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Parametri</w:t>
            </w:r>
          </w:p>
        </w:tc>
        <w:tc>
          <w:tcPr>
            <w:tcW w:w="3622" w:type="dxa"/>
            <w:shd w:val="clear" w:color="auto" w:fill="F1A2A7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Vlerat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limite</w:t>
            </w:r>
          </w:p>
        </w:tc>
        <w:tc>
          <w:tcPr>
            <w:tcW w:w="905" w:type="dxa"/>
            <w:shd w:val="clear" w:color="auto" w:fill="F1A2A7"/>
          </w:tcPr>
          <w:p>
            <w:pPr>
              <w:pStyle w:val="TableParagraph"/>
              <w:ind w:right="101"/>
              <w:rPr>
                <w:sz w:val="24"/>
              </w:rPr>
            </w:pPr>
            <w:r>
              <w:rPr>
                <w:sz w:val="24"/>
              </w:rPr>
              <w:t>Njësia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matëse</w:t>
            </w:r>
          </w:p>
        </w:tc>
        <w:tc>
          <w:tcPr>
            <w:tcW w:w="1360" w:type="dxa"/>
            <w:shd w:val="clear" w:color="auto" w:fill="F1A2A7"/>
          </w:tcPr>
          <w:p>
            <w:pPr>
              <w:pStyle w:val="TableParagraph"/>
              <w:ind w:left="108" w:right="315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limite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(kufitare)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831" w:type="dxa"/>
            <w:shd w:val="clear" w:color="auto" w:fill="F1A2A7"/>
          </w:tcPr>
          <w:p>
            <w:pPr>
              <w:pStyle w:val="TableParagraph"/>
              <w:ind w:left="109" w:right="93"/>
              <w:jc w:val="both"/>
              <w:rPr>
                <w:sz w:val="24"/>
              </w:rPr>
            </w:pPr>
            <w:r>
              <w:rPr>
                <w:sz w:val="24"/>
              </w:rPr>
              <w:t>Tejkalimet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lejuara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ditë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brenda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vitit</w:t>
            </w:r>
          </w:p>
        </w:tc>
      </w:tr>
      <w:tr>
        <w:trPr>
          <w:trHeight w:val="276" w:hRule="atLeast"/>
        </w:trPr>
        <w:tc>
          <w:tcPr>
            <w:tcW w:w="193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6" w:lineRule="exact"/>
              <w:rPr>
                <w:sz w:val="16"/>
              </w:rPr>
            </w:pPr>
            <w:r>
              <w:rPr>
                <w:position w:val="2"/>
                <w:sz w:val="24"/>
              </w:rPr>
              <w:t>NO</w:t>
            </w:r>
            <w:r>
              <w:rPr>
                <w:sz w:val="16"/>
              </w:rPr>
              <w:t>2</w:t>
            </w:r>
          </w:p>
        </w:tc>
        <w:tc>
          <w:tcPr>
            <w:tcW w:w="3622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tabs>
                <w:tab w:pos="880" w:val="left" w:leader="none"/>
                <w:tab w:pos="1683" w:val="left" w:leader="none"/>
                <w:tab w:pos="2231" w:val="left" w:leader="none"/>
                <w:tab w:pos="2597" w:val="left" w:leader="none"/>
                <w:tab w:pos="3203" w:val="left" w:leader="none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Vlera</w:t>
              <w:tab/>
              <w:t>limite</w:t>
              <w:tab/>
              <w:t>për</w:t>
              <w:tab/>
              <w:t>1</w:t>
              <w:tab/>
              <w:t>orë,</w:t>
              <w:tab/>
              <w:t>për</w:t>
            </w:r>
          </w:p>
        </w:tc>
        <w:tc>
          <w:tcPr>
            <w:tcW w:w="905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831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>
        <w:trPr>
          <w:trHeight w:val="277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mbrojtjen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shëndetit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31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272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limite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vjetore,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për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mbrojtjen</w:t>
            </w:r>
          </w:p>
        </w:tc>
        <w:tc>
          <w:tcPr>
            <w:tcW w:w="905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831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278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shëndetit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31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272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limite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për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mbrojtjen</w:t>
            </w:r>
          </w:p>
        </w:tc>
        <w:tc>
          <w:tcPr>
            <w:tcW w:w="905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ind w:left="10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831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278" w:hRule="atLeast"/>
        </w:trPr>
        <w:tc>
          <w:tcPr>
            <w:tcW w:w="193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vegjetacionit</w:t>
            </w:r>
          </w:p>
        </w:tc>
        <w:tc>
          <w:tcPr>
            <w:tcW w:w="905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31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552" w:hRule="atLeast"/>
        </w:trPr>
        <w:tc>
          <w:tcPr>
            <w:tcW w:w="1930" w:type="dxa"/>
            <w:shd w:val="clear" w:color="auto" w:fill="FADFD1"/>
          </w:tcPr>
          <w:p>
            <w:pPr>
              <w:pStyle w:val="TableParagraph"/>
              <w:spacing w:line="270" w:lineRule="exact"/>
              <w:rPr>
                <w:sz w:val="16"/>
              </w:rPr>
            </w:pPr>
            <w:r>
              <w:rPr>
                <w:position w:val="2"/>
                <w:sz w:val="24"/>
              </w:rPr>
              <w:t>SO</w:t>
            </w:r>
            <w:r>
              <w:rPr>
                <w:sz w:val="16"/>
              </w:rPr>
              <w:t>2</w:t>
            </w: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tabs>
                <w:tab w:pos="880" w:val="left" w:leader="none"/>
                <w:tab w:pos="1683" w:val="left" w:leader="none"/>
                <w:tab w:pos="2231" w:val="left" w:leader="none"/>
                <w:tab w:pos="2597" w:val="left" w:leader="none"/>
                <w:tab w:pos="3203" w:val="left" w:leader="none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Vlera</w:t>
              <w:tab/>
              <w:t>limite</w:t>
              <w:tab/>
              <w:t>për</w:t>
              <w:tab/>
              <w:t>1</w:t>
              <w:tab/>
              <w:t>orë,</w:t>
              <w:tab/>
              <w:t>për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mbrojtjen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shëndetit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>
        <w:trPr>
          <w:trHeight w:val="551" w:hRule="atLeast"/>
        </w:trPr>
        <w:tc>
          <w:tcPr>
            <w:tcW w:w="1930" w:type="dxa"/>
            <w:shd w:val="clear" w:color="auto" w:fill="FADFD1"/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tabs>
                <w:tab w:pos="856" w:val="left" w:leader="none"/>
                <w:tab w:pos="1635" w:val="left" w:leader="none"/>
                <w:tab w:pos="2159" w:val="left" w:leader="none"/>
                <w:tab w:pos="2619" w:val="left" w:leader="none"/>
                <w:tab w:pos="3203" w:val="left" w:leader="none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Vlera</w:t>
              <w:tab/>
              <w:t>limite</w:t>
              <w:tab/>
              <w:t>për</w:t>
              <w:tab/>
              <w:t>24</w:t>
              <w:tab/>
              <w:t>orë,</w:t>
              <w:tab/>
              <w:t>për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mbrojtjen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shëndetit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827" w:hRule="atLeast"/>
        </w:trPr>
        <w:tc>
          <w:tcPr>
            <w:tcW w:w="1930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CO</w:t>
            </w: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limite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për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mesataren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ditore</w:t>
            </w:r>
          </w:p>
          <w:p>
            <w:pPr>
              <w:pStyle w:val="TableParagraph"/>
              <w:tabs>
                <w:tab w:pos="542" w:val="left" w:leader="none"/>
                <w:tab w:pos="1936" w:val="left" w:leader="none"/>
                <w:tab w:pos="2317" w:val="left" w:leader="none"/>
                <w:tab w:pos="3206" w:val="left" w:leader="none"/>
              </w:tabs>
              <w:spacing w:line="270" w:lineRule="atLeast"/>
              <w:ind w:right="97"/>
              <w:rPr>
                <w:sz w:val="24"/>
              </w:rPr>
            </w:pPr>
            <w:r>
              <w:rPr>
                <w:sz w:val="24"/>
              </w:rPr>
              <w:t>të</w:t>
              <w:tab/>
              <w:t>maksimales</w:t>
              <w:tab/>
              <w:t>8</w:t>
              <w:tab/>
              <w:t>orëshe</w:t>
              <w:tab/>
            </w:r>
            <w:r>
              <w:rPr>
                <w:spacing w:val="-2"/>
                <w:sz w:val="24"/>
              </w:rPr>
              <w:t>për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mbrojtjen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shëndetit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mg/m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273" w:hRule="atLeast"/>
        </w:trPr>
        <w:tc>
          <w:tcPr>
            <w:tcW w:w="193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4" w:lineRule="exact"/>
              <w:rPr>
                <w:sz w:val="16"/>
              </w:rPr>
            </w:pPr>
            <w:r>
              <w:rPr>
                <w:position w:val="2"/>
                <w:sz w:val="24"/>
              </w:rPr>
              <w:t>PM</w:t>
            </w:r>
            <w:r>
              <w:rPr>
                <w:sz w:val="16"/>
              </w:rPr>
              <w:t>10</w:t>
            </w:r>
          </w:p>
        </w:tc>
        <w:tc>
          <w:tcPr>
            <w:tcW w:w="3622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tabs>
                <w:tab w:pos="856" w:val="left" w:leader="none"/>
                <w:tab w:pos="1635" w:val="left" w:leader="none"/>
                <w:tab w:pos="2159" w:val="left" w:leader="none"/>
                <w:tab w:pos="2619" w:val="left" w:leader="none"/>
                <w:tab w:pos="3203" w:val="left" w:leader="none"/>
              </w:tabs>
              <w:spacing w:line="254" w:lineRule="exact"/>
              <w:rPr>
                <w:sz w:val="24"/>
              </w:rPr>
            </w:pPr>
            <w:r>
              <w:rPr>
                <w:sz w:val="24"/>
              </w:rPr>
              <w:t>Vlera</w:t>
              <w:tab/>
              <w:t>limite</w:t>
              <w:tab/>
              <w:t>për</w:t>
              <w:tab/>
              <w:t>24</w:t>
              <w:tab/>
              <w:t>orë,</w:t>
              <w:tab/>
              <w:t>për</w:t>
            </w:r>
          </w:p>
        </w:tc>
        <w:tc>
          <w:tcPr>
            <w:tcW w:w="905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4" w:lineRule="exact"/>
              <w:ind w:left="108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831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>
        <w:trPr>
          <w:trHeight w:val="277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mbrojtjen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shëndetit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31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limite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për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mbrojtjen</w:t>
            </w:r>
          </w:p>
        </w:tc>
        <w:tc>
          <w:tcPr>
            <w:tcW w:w="905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831" w:type="dxa"/>
            <w:tcBorders>
              <w:bottom w:val="nil"/>
            </w:tcBorders>
            <w:shd w:val="clear" w:color="auto" w:fill="FADFD1"/>
          </w:tcPr>
          <w:p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278" w:hRule="atLeast"/>
        </w:trPr>
        <w:tc>
          <w:tcPr>
            <w:tcW w:w="1930" w:type="dxa"/>
            <w:tcBorders>
              <w:top w:val="nil"/>
              <w:bottom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22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shëndetit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36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831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1930" w:type="dxa"/>
            <w:tcBorders>
              <w:top w:val="nil"/>
            </w:tcBorders>
            <w:shd w:val="clear" w:color="auto" w:fill="FADFD1"/>
          </w:tcPr>
          <w:p>
            <w:pPr>
              <w:pStyle w:val="TableParagraph"/>
              <w:spacing w:line="248" w:lineRule="exact"/>
              <w:rPr>
                <w:sz w:val="16"/>
              </w:rPr>
            </w:pPr>
            <w:r>
              <w:rPr>
                <w:position w:val="2"/>
                <w:sz w:val="24"/>
              </w:rPr>
              <w:t>PM</w:t>
            </w:r>
            <w:r>
              <w:rPr>
                <w:sz w:val="16"/>
              </w:rPr>
              <w:t>2.5</w:t>
            </w: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kalendarik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552" w:hRule="atLeast"/>
        </w:trPr>
        <w:tc>
          <w:tcPr>
            <w:tcW w:w="1930" w:type="dxa"/>
            <w:vMerge w:val="restart"/>
            <w:shd w:val="clear" w:color="auto" w:fill="FADFD1"/>
          </w:tcPr>
          <w:p>
            <w:pPr>
              <w:pStyle w:val="TableParagraph"/>
              <w:spacing w:line="270" w:lineRule="exact"/>
              <w:rPr>
                <w:sz w:val="16"/>
              </w:rPr>
            </w:pPr>
            <w:r>
              <w:rPr>
                <w:position w:val="2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Objektivi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afatgjatë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për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mbrojtjen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e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shëndetit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njeriut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470" w:hRule="atLeast"/>
        </w:trPr>
        <w:tc>
          <w:tcPr>
            <w:tcW w:w="1930" w:type="dxa"/>
            <w:vMerge/>
            <w:tcBorders>
              <w:top w:val="nil"/>
            </w:tcBorders>
            <w:shd w:val="clear" w:color="auto" w:fill="FADFD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Pragu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informimit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  <w:tr>
        <w:trPr>
          <w:trHeight w:val="470" w:hRule="atLeast"/>
        </w:trPr>
        <w:tc>
          <w:tcPr>
            <w:tcW w:w="1930" w:type="dxa"/>
            <w:vMerge/>
            <w:tcBorders>
              <w:top w:val="nil"/>
            </w:tcBorders>
            <w:shd w:val="clear" w:color="auto" w:fill="FADFD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22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Pragu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alarmit</w:t>
            </w:r>
          </w:p>
        </w:tc>
        <w:tc>
          <w:tcPr>
            <w:tcW w:w="905" w:type="dxa"/>
            <w:shd w:val="clear" w:color="auto" w:fill="FADFD1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60" w:type="dxa"/>
            <w:shd w:val="clear" w:color="auto" w:fill="FADFD1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831" w:type="dxa"/>
            <w:shd w:val="clear" w:color="auto" w:fill="FADFD1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Nuk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parashihet</w:t>
            </w:r>
          </w:p>
        </w:tc>
      </w:tr>
    </w:tbl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spacing w:before="198" w:after="42"/>
        <w:ind w:left="78" w:right="133" w:firstLine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Indexi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i Cilësisë</w:t>
      </w:r>
      <w:r>
        <w:rPr>
          <w:rFonts w:ascii="Times New Roman" w:hAnsi="Times New Roman"/>
          <w:b/>
          <w:spacing w:val="-2"/>
          <w:sz w:val="24"/>
        </w:rPr>
        <w:t> </w:t>
      </w:r>
      <w:r>
        <w:rPr>
          <w:rFonts w:ascii="Times New Roman" w:hAnsi="Times New Roman"/>
          <w:b/>
          <w:sz w:val="24"/>
        </w:rPr>
        <w:t>së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Ajrit sipas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standardeve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të</w:t>
      </w:r>
      <w:r>
        <w:rPr>
          <w:rFonts w:ascii="Times New Roman" w:hAnsi="Times New Roman"/>
          <w:b/>
          <w:spacing w:val="-2"/>
          <w:sz w:val="24"/>
        </w:rPr>
        <w:t> </w:t>
      </w:r>
      <w:r>
        <w:rPr>
          <w:rFonts w:ascii="Times New Roman" w:hAnsi="Times New Roman"/>
          <w:b/>
          <w:sz w:val="24"/>
        </w:rPr>
        <w:t>BE-s</w:t>
      </w: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0"/>
        <w:gridCol w:w="1080"/>
        <w:gridCol w:w="1169"/>
        <w:gridCol w:w="1440"/>
        <w:gridCol w:w="1801"/>
        <w:gridCol w:w="1549"/>
      </w:tblGrid>
      <w:tr>
        <w:trPr>
          <w:trHeight w:val="1346" w:hRule="atLeast"/>
        </w:trPr>
        <w:tc>
          <w:tcPr>
            <w:tcW w:w="2540" w:type="dxa"/>
            <w:shd w:val="clear" w:color="auto" w:fill="EAD2D6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Cilësia</w:t>
            </w:r>
          </w:p>
        </w:tc>
        <w:tc>
          <w:tcPr>
            <w:tcW w:w="1080" w:type="dxa"/>
            <w:shd w:val="clear" w:color="auto" w:fill="EAD2D6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05" w:right="238"/>
              <w:rPr>
                <w:b/>
                <w:sz w:val="24"/>
              </w:rPr>
            </w:pPr>
            <w:r>
              <w:rPr>
                <w:b/>
                <w:sz w:val="24"/>
              </w:rPr>
              <w:t>Shumë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e</w:t>
            </w:r>
          </w:p>
          <w:p>
            <w:pPr>
              <w:pStyle w:val="TableParagraph"/>
              <w:spacing w:before="10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mirë</w:t>
            </w:r>
          </w:p>
        </w:tc>
        <w:tc>
          <w:tcPr>
            <w:tcW w:w="1169" w:type="dxa"/>
            <w:shd w:val="clear" w:color="auto" w:fill="EAD2D6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  <w:p>
            <w:pPr>
              <w:pStyle w:val="TableParagraph"/>
              <w:spacing w:before="10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mirë</w:t>
            </w:r>
          </w:p>
        </w:tc>
        <w:tc>
          <w:tcPr>
            <w:tcW w:w="1440" w:type="dxa"/>
            <w:shd w:val="clear" w:color="auto" w:fill="EAD2D6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  <w:p>
            <w:pPr>
              <w:pStyle w:val="TableParagraph"/>
              <w:spacing w:before="10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moderuar</w:t>
            </w:r>
          </w:p>
        </w:tc>
        <w:tc>
          <w:tcPr>
            <w:tcW w:w="1801" w:type="dxa"/>
            <w:shd w:val="clear" w:color="auto" w:fill="EAD2D6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  <w:p>
            <w:pPr>
              <w:pStyle w:val="TableParagraph"/>
              <w:spacing w:before="10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pashëndetshme</w:t>
            </w:r>
          </w:p>
        </w:tc>
        <w:tc>
          <w:tcPr>
            <w:tcW w:w="1549" w:type="dxa"/>
            <w:shd w:val="clear" w:color="auto" w:fill="EAD2D6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rrezikshme</w:t>
            </w:r>
          </w:p>
          <w:p>
            <w:pPr>
              <w:pStyle w:val="TableParagraph"/>
              <w:spacing w:line="270" w:lineRule="atLeast"/>
              <w:ind w:right="425"/>
              <w:rPr>
                <w:b/>
                <w:sz w:val="24"/>
              </w:rPr>
            </w:pPr>
            <w:r>
              <w:rPr>
                <w:b/>
                <w:sz w:val="24"/>
              </w:rPr>
              <w:t>për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shëndetin</w:t>
            </w:r>
          </w:p>
        </w:tc>
      </w:tr>
      <w:tr>
        <w:trPr>
          <w:trHeight w:val="1067" w:hRule="atLeast"/>
        </w:trPr>
        <w:tc>
          <w:tcPr>
            <w:tcW w:w="2540" w:type="dxa"/>
            <w:shd w:val="clear" w:color="auto" w:fill="EAD2D6"/>
          </w:tcPr>
          <w:p>
            <w:pPr>
              <w:pStyle w:val="TableParagraph"/>
              <w:tabs>
                <w:tab w:pos="544" w:val="left" w:leader="none"/>
                <w:tab w:pos="1338" w:val="left" w:leader="none"/>
                <w:tab w:pos="1801" w:val="left" w:leader="none"/>
              </w:tabs>
              <w:spacing w:before="231"/>
              <w:ind w:right="97"/>
              <w:rPr>
                <w:sz w:val="24"/>
              </w:rPr>
            </w:pPr>
            <w:r>
              <w:rPr>
                <w:sz w:val="24"/>
              </w:rPr>
              <w:t>Grimcat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pluhurit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të</w:t>
              <w:tab/>
              <w:t>vogla</w:t>
              <w:tab/>
              <w:t>se</w:t>
              <w:tab/>
              <w:t>2.5µm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position w:val="2"/>
                <w:sz w:val="24"/>
              </w:rPr>
              <w:t>(PM</w:t>
            </w:r>
            <w:r>
              <w:rPr>
                <w:sz w:val="16"/>
              </w:rPr>
              <w:t>2.5</w:t>
            </w:r>
            <w:r>
              <w:rPr>
                <w:position w:val="2"/>
                <w:sz w:val="24"/>
              </w:rPr>
              <w:t>)</w:t>
            </w:r>
          </w:p>
        </w:tc>
        <w:tc>
          <w:tcPr>
            <w:tcW w:w="1080" w:type="dxa"/>
            <w:shd w:val="clear" w:color="auto" w:fill="76D4EA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0-10</w:t>
            </w:r>
          </w:p>
        </w:tc>
        <w:tc>
          <w:tcPr>
            <w:tcW w:w="1169" w:type="dxa"/>
            <w:shd w:val="clear" w:color="auto" w:fill="66FF66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10-20</w:t>
            </w:r>
          </w:p>
        </w:tc>
        <w:tc>
          <w:tcPr>
            <w:tcW w:w="1440" w:type="dxa"/>
            <w:shd w:val="clear" w:color="auto" w:fill="CAE937"/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20-25</w:t>
            </w:r>
          </w:p>
        </w:tc>
        <w:tc>
          <w:tcPr>
            <w:tcW w:w="1801" w:type="dxa"/>
            <w:shd w:val="clear" w:color="auto" w:fill="FF3300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20-50</w:t>
            </w:r>
          </w:p>
        </w:tc>
        <w:tc>
          <w:tcPr>
            <w:tcW w:w="1549" w:type="dxa"/>
            <w:shd w:val="clear" w:color="auto" w:fill="C00000"/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50-800</w:t>
            </w:r>
          </w:p>
        </w:tc>
      </w:tr>
      <w:tr>
        <w:trPr>
          <w:trHeight w:val="827" w:hRule="atLeast"/>
        </w:trPr>
        <w:tc>
          <w:tcPr>
            <w:tcW w:w="2540" w:type="dxa"/>
            <w:shd w:val="clear" w:color="auto" w:fill="EAD2D6"/>
          </w:tcPr>
          <w:p>
            <w:pPr>
              <w:pStyle w:val="TableParagraph"/>
              <w:tabs>
                <w:tab w:pos="563" w:val="left" w:leader="none"/>
                <w:tab w:pos="1379" w:val="left" w:leader="none"/>
                <w:tab w:pos="1861" w:val="left" w:leader="none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Grimcat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pluhurit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të</w:t>
              <w:tab/>
              <w:t>vogla</w:t>
              <w:tab/>
              <w:t>se</w:t>
              <w:tab/>
              <w:t>10µm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position w:val="2"/>
                <w:sz w:val="24"/>
              </w:rPr>
              <w:t>(PM</w:t>
            </w:r>
            <w:r>
              <w:rPr>
                <w:sz w:val="16"/>
              </w:rPr>
              <w:t>10</w:t>
            </w:r>
            <w:r>
              <w:rPr>
                <w:position w:val="2"/>
                <w:sz w:val="24"/>
              </w:rPr>
              <w:t>)</w:t>
            </w:r>
          </w:p>
        </w:tc>
        <w:tc>
          <w:tcPr>
            <w:tcW w:w="1080" w:type="dxa"/>
            <w:shd w:val="clear" w:color="auto" w:fill="76D4EA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0-20</w:t>
            </w:r>
          </w:p>
        </w:tc>
        <w:tc>
          <w:tcPr>
            <w:tcW w:w="1169" w:type="dxa"/>
            <w:shd w:val="clear" w:color="auto" w:fill="66FF66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20-35</w:t>
            </w:r>
          </w:p>
        </w:tc>
        <w:tc>
          <w:tcPr>
            <w:tcW w:w="1440" w:type="dxa"/>
            <w:shd w:val="clear" w:color="auto" w:fill="CAE937"/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35-50</w:t>
            </w:r>
          </w:p>
        </w:tc>
        <w:tc>
          <w:tcPr>
            <w:tcW w:w="1801" w:type="dxa"/>
            <w:shd w:val="clear" w:color="auto" w:fill="FF3300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50-100</w:t>
            </w:r>
          </w:p>
        </w:tc>
        <w:tc>
          <w:tcPr>
            <w:tcW w:w="1549" w:type="dxa"/>
            <w:shd w:val="clear" w:color="auto" w:fill="C00000"/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100-1200</w:t>
            </w:r>
          </w:p>
        </w:tc>
      </w:tr>
    </w:tbl>
    <w:p>
      <w:pPr>
        <w:pStyle w:val="BodyText"/>
        <w:spacing w:before="11"/>
        <w:rPr>
          <w:rFonts w:ascii="Times New Roman"/>
          <w:b/>
          <w:sz w:val="38"/>
        </w:rPr>
      </w:pPr>
    </w:p>
    <w:p>
      <w:pPr>
        <w:pStyle w:val="BodyText"/>
        <w:ind w:right="1296"/>
        <w:jc w:val="right"/>
      </w:pPr>
      <w:r>
        <w:rPr>
          <w:w w:val="100"/>
        </w:rPr>
        <w:t>2</w:t>
      </w:r>
    </w:p>
    <w:p>
      <w:pPr>
        <w:spacing w:after="0"/>
        <w:jc w:val="right"/>
        <w:sectPr>
          <w:pgSz w:w="12240" w:h="15840"/>
          <w:pgMar w:top="1360" w:bottom="280" w:left="200" w:right="140"/>
        </w:sectPr>
      </w:pPr>
    </w:p>
    <w:tbl>
      <w:tblPr>
        <w:tblW w:w="0" w:type="auto"/>
        <w:jc w:val="left"/>
        <w:tblInd w:w="1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0"/>
        <w:gridCol w:w="1080"/>
        <w:gridCol w:w="1169"/>
        <w:gridCol w:w="1440"/>
        <w:gridCol w:w="1801"/>
        <w:gridCol w:w="1549"/>
      </w:tblGrid>
      <w:tr>
        <w:trPr>
          <w:trHeight w:val="275" w:hRule="atLeast"/>
        </w:trPr>
        <w:tc>
          <w:tcPr>
            <w:tcW w:w="2540" w:type="dxa"/>
            <w:shd w:val="clear" w:color="auto" w:fill="EAD2D6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position w:val="2"/>
                <w:sz w:val="24"/>
              </w:rPr>
              <w:t>Dioxidi</w:t>
            </w:r>
            <w:r>
              <w:rPr>
                <w:spacing w:val="-2"/>
                <w:position w:val="2"/>
                <w:sz w:val="24"/>
              </w:rPr>
              <w:t> </w:t>
            </w:r>
            <w:r>
              <w:rPr>
                <w:position w:val="2"/>
                <w:sz w:val="24"/>
              </w:rPr>
              <w:t>i</w:t>
            </w:r>
            <w:r>
              <w:rPr>
                <w:spacing w:val="1"/>
                <w:position w:val="2"/>
                <w:sz w:val="24"/>
              </w:rPr>
              <w:t> </w:t>
            </w:r>
            <w:r>
              <w:rPr>
                <w:position w:val="2"/>
                <w:sz w:val="24"/>
              </w:rPr>
              <w:t>azotit</w:t>
            </w:r>
            <w:r>
              <w:rPr>
                <w:spacing w:val="1"/>
                <w:position w:val="2"/>
                <w:sz w:val="24"/>
              </w:rPr>
              <w:t> </w:t>
            </w:r>
            <w:r>
              <w:rPr>
                <w:position w:val="2"/>
                <w:sz w:val="24"/>
              </w:rPr>
              <w:t>(NO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)</w:t>
            </w:r>
          </w:p>
        </w:tc>
        <w:tc>
          <w:tcPr>
            <w:tcW w:w="1080" w:type="dxa"/>
            <w:shd w:val="clear" w:color="auto" w:fill="76D4EA"/>
          </w:tcPr>
          <w:p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0-40</w:t>
            </w:r>
          </w:p>
        </w:tc>
        <w:tc>
          <w:tcPr>
            <w:tcW w:w="1169" w:type="dxa"/>
            <w:shd w:val="clear" w:color="auto" w:fill="66FF66"/>
          </w:tcPr>
          <w:p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40-100</w:t>
            </w:r>
          </w:p>
        </w:tc>
        <w:tc>
          <w:tcPr>
            <w:tcW w:w="1440" w:type="dxa"/>
            <w:shd w:val="clear" w:color="auto" w:fill="CAE937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100-200</w:t>
            </w:r>
          </w:p>
        </w:tc>
        <w:tc>
          <w:tcPr>
            <w:tcW w:w="1801" w:type="dxa"/>
            <w:shd w:val="clear" w:color="auto" w:fill="FF3300"/>
          </w:tcPr>
          <w:p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200-400</w:t>
            </w:r>
          </w:p>
        </w:tc>
        <w:tc>
          <w:tcPr>
            <w:tcW w:w="1549" w:type="dxa"/>
            <w:shd w:val="clear" w:color="auto" w:fill="C00000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400-1000</w:t>
            </w:r>
          </w:p>
        </w:tc>
      </w:tr>
      <w:tr>
        <w:trPr>
          <w:trHeight w:val="275" w:hRule="atLeast"/>
        </w:trPr>
        <w:tc>
          <w:tcPr>
            <w:tcW w:w="2540" w:type="dxa"/>
            <w:shd w:val="clear" w:color="auto" w:fill="EAD2D6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position w:val="2"/>
                <w:sz w:val="24"/>
              </w:rPr>
              <w:t>Ozoni (O</w:t>
            </w:r>
            <w:r>
              <w:rPr>
                <w:sz w:val="16"/>
              </w:rPr>
              <w:t>3</w:t>
            </w:r>
            <w:r>
              <w:rPr>
                <w:position w:val="2"/>
                <w:sz w:val="24"/>
              </w:rPr>
              <w:t>)</w:t>
            </w:r>
          </w:p>
        </w:tc>
        <w:tc>
          <w:tcPr>
            <w:tcW w:w="1080" w:type="dxa"/>
            <w:shd w:val="clear" w:color="auto" w:fill="76D4EA"/>
          </w:tcPr>
          <w:p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0-80</w:t>
            </w:r>
          </w:p>
        </w:tc>
        <w:tc>
          <w:tcPr>
            <w:tcW w:w="1169" w:type="dxa"/>
            <w:shd w:val="clear" w:color="auto" w:fill="66FF66"/>
          </w:tcPr>
          <w:p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80-120</w:t>
            </w:r>
          </w:p>
        </w:tc>
        <w:tc>
          <w:tcPr>
            <w:tcW w:w="1440" w:type="dxa"/>
            <w:shd w:val="clear" w:color="auto" w:fill="CAE937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120-180</w:t>
            </w:r>
          </w:p>
        </w:tc>
        <w:tc>
          <w:tcPr>
            <w:tcW w:w="1801" w:type="dxa"/>
            <w:shd w:val="clear" w:color="auto" w:fill="FF3300"/>
          </w:tcPr>
          <w:p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180-240</w:t>
            </w:r>
          </w:p>
        </w:tc>
        <w:tc>
          <w:tcPr>
            <w:tcW w:w="1549" w:type="dxa"/>
            <w:shd w:val="clear" w:color="auto" w:fill="C00000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240-600</w:t>
            </w:r>
          </w:p>
        </w:tc>
      </w:tr>
      <w:tr>
        <w:trPr>
          <w:trHeight w:val="551" w:hRule="atLeast"/>
        </w:trPr>
        <w:tc>
          <w:tcPr>
            <w:tcW w:w="2540" w:type="dxa"/>
            <w:shd w:val="clear" w:color="auto" w:fill="EAD2D6"/>
          </w:tcPr>
          <w:p>
            <w:pPr>
              <w:pStyle w:val="TableParagraph"/>
              <w:tabs>
                <w:tab w:pos="1283" w:val="left" w:leader="none"/>
                <w:tab w:pos="1698" w:val="left" w:leader="none"/>
              </w:tabs>
              <w:spacing w:line="267" w:lineRule="exact"/>
              <w:rPr>
                <w:sz w:val="24"/>
              </w:rPr>
            </w:pPr>
            <w:r>
              <w:rPr>
                <w:sz w:val="24"/>
              </w:rPr>
              <w:t>Dioksidi</w:t>
              <w:tab/>
              <w:t>i</w:t>
              <w:tab/>
              <w:t>Sulfurit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position w:val="2"/>
                <w:sz w:val="24"/>
              </w:rPr>
              <w:t>(SO</w:t>
            </w:r>
            <w:r>
              <w:rPr>
                <w:sz w:val="16"/>
              </w:rPr>
              <w:t>2</w:t>
            </w:r>
            <w:r>
              <w:rPr>
                <w:position w:val="2"/>
                <w:sz w:val="24"/>
              </w:rPr>
              <w:t>)</w:t>
            </w:r>
          </w:p>
        </w:tc>
        <w:tc>
          <w:tcPr>
            <w:tcW w:w="1080" w:type="dxa"/>
            <w:shd w:val="clear" w:color="auto" w:fill="76D4EA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0-100</w:t>
            </w:r>
          </w:p>
        </w:tc>
        <w:tc>
          <w:tcPr>
            <w:tcW w:w="1169" w:type="dxa"/>
            <w:shd w:val="clear" w:color="auto" w:fill="66FF66"/>
          </w:tcPr>
          <w:p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100-200</w:t>
            </w:r>
          </w:p>
        </w:tc>
        <w:tc>
          <w:tcPr>
            <w:tcW w:w="1440" w:type="dxa"/>
            <w:shd w:val="clear" w:color="auto" w:fill="CAE937"/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200-350</w:t>
            </w:r>
          </w:p>
        </w:tc>
        <w:tc>
          <w:tcPr>
            <w:tcW w:w="1801" w:type="dxa"/>
            <w:shd w:val="clear" w:color="auto" w:fill="FF3300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350-500</w:t>
            </w:r>
          </w:p>
        </w:tc>
        <w:tc>
          <w:tcPr>
            <w:tcW w:w="1549" w:type="dxa"/>
            <w:shd w:val="clear" w:color="auto" w:fill="C00000"/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500-1250</w:t>
            </w:r>
          </w:p>
        </w:tc>
      </w:tr>
      <w:tr>
        <w:trPr>
          <w:trHeight w:val="277" w:hRule="atLeast"/>
        </w:trPr>
        <w:tc>
          <w:tcPr>
            <w:tcW w:w="9579" w:type="dxa"/>
            <w:gridSpan w:val="6"/>
            <w:shd w:val="clear" w:color="auto" w:fill="00AFEF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Niveli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 indexit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bazuar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përqëndrimin 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ndotësve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shprehur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µg/</w:t>
            </w:r>
            <w:r>
              <w:rPr>
                <w:sz w:val="24"/>
                <w:vertAlign w:val="superscript"/>
              </w:rPr>
              <w:t>3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Heading5"/>
        <w:spacing w:before="90"/>
        <w:ind w:right="133"/>
        <w:jc w:val="center"/>
      </w:pPr>
      <w:r>
        <w:rPr>
          <w:u w:val="thick" w:color="FF0000"/>
        </w:rPr>
        <w:t>Rezultatet</w:t>
      </w:r>
      <w:r>
        <w:rPr>
          <w:spacing w:val="-1"/>
          <w:u w:val="thick" w:color="FF0000"/>
        </w:rPr>
        <w:t> </w:t>
      </w:r>
      <w:r>
        <w:rPr>
          <w:u w:val="thick" w:color="FF0000"/>
        </w:rPr>
        <w:t>e</w:t>
      </w:r>
      <w:r>
        <w:rPr>
          <w:spacing w:val="-1"/>
          <w:u w:val="thick" w:color="FF0000"/>
        </w:rPr>
        <w:t> </w:t>
      </w:r>
      <w:r>
        <w:rPr>
          <w:u w:val="thick" w:color="FF0000"/>
        </w:rPr>
        <w:t>monitorimit të</w:t>
      </w:r>
      <w:r>
        <w:rPr>
          <w:spacing w:val="-2"/>
          <w:u w:val="thick" w:color="FF0000"/>
        </w:rPr>
        <w:t> </w:t>
      </w:r>
      <w:r>
        <w:rPr>
          <w:u w:val="thick" w:color="FF0000"/>
        </w:rPr>
        <w:t>cilësisë</w:t>
      </w:r>
      <w:r>
        <w:rPr>
          <w:spacing w:val="-2"/>
          <w:u w:val="thick" w:color="FF0000"/>
        </w:rPr>
        <w:t> </w:t>
      </w:r>
      <w:r>
        <w:rPr>
          <w:u w:val="thick" w:color="FF0000"/>
        </w:rPr>
        <w:t>së</w:t>
      </w:r>
      <w:r>
        <w:rPr>
          <w:spacing w:val="-1"/>
          <w:u w:val="thick" w:color="FF0000"/>
        </w:rPr>
        <w:t> </w:t>
      </w:r>
      <w:r>
        <w:rPr>
          <w:u w:val="thick" w:color="FF0000"/>
        </w:rPr>
        <w:t>ajrit</w:t>
      </w:r>
      <w:r>
        <w:rPr>
          <w:spacing w:val="-1"/>
          <w:u w:val="thick" w:color="FF0000"/>
        </w:rPr>
        <w:t> </w:t>
      </w:r>
      <w:r>
        <w:rPr>
          <w:u w:val="thick" w:color="FF0000"/>
        </w:rPr>
        <w:t>nga</w:t>
      </w:r>
      <w:r>
        <w:rPr>
          <w:spacing w:val="-1"/>
          <w:u w:val="thick" w:color="FF0000"/>
        </w:rPr>
        <w:t> </w:t>
      </w:r>
      <w:r>
        <w:rPr>
          <w:u w:val="thick" w:color="FF0000"/>
        </w:rPr>
        <w:t>stacioni</w:t>
      </w:r>
      <w:r>
        <w:rPr>
          <w:spacing w:val="1"/>
          <w:u w:val="thick" w:color="FF0000"/>
        </w:rPr>
        <w:t> </w:t>
      </w:r>
      <w:r>
        <w:rPr>
          <w:u w:val="thick" w:color="FF0000"/>
        </w:rPr>
        <w:t>i</w:t>
      </w:r>
      <w:r>
        <w:rPr>
          <w:spacing w:val="-1"/>
          <w:u w:val="thick" w:color="FF0000"/>
        </w:rPr>
        <w:t> </w:t>
      </w:r>
      <w:r>
        <w:rPr>
          <w:u w:val="thick" w:color="FF0000"/>
        </w:rPr>
        <w:t>IHMK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  <w:sz w:val="20"/>
        </w:rPr>
      </w:pPr>
    </w:p>
    <w:p>
      <w:pPr>
        <w:spacing w:before="99" w:after="32"/>
        <w:ind w:left="1240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006FC0"/>
          <w:position w:val="1"/>
          <w:sz w:val="24"/>
        </w:rPr>
        <w:t>Dioksidi</w:t>
      </w:r>
      <w:r>
        <w:rPr>
          <w:rFonts w:ascii="Times New Roman" w:hAnsi="Times New Roman"/>
          <w:b/>
          <w:color w:val="006FC0"/>
          <w:spacing w:val="-1"/>
          <w:position w:val="1"/>
          <w:sz w:val="24"/>
        </w:rPr>
        <w:t> </w:t>
      </w:r>
      <w:r>
        <w:rPr>
          <w:rFonts w:ascii="Times New Roman" w:hAnsi="Times New Roman"/>
          <w:b/>
          <w:color w:val="006FC0"/>
          <w:position w:val="1"/>
          <w:sz w:val="24"/>
        </w:rPr>
        <w:t>i</w:t>
      </w:r>
      <w:r>
        <w:rPr>
          <w:rFonts w:ascii="Times New Roman" w:hAnsi="Times New Roman"/>
          <w:b/>
          <w:color w:val="006FC0"/>
          <w:spacing w:val="-3"/>
          <w:position w:val="1"/>
          <w:sz w:val="24"/>
        </w:rPr>
        <w:t> </w:t>
      </w:r>
      <w:r>
        <w:rPr>
          <w:rFonts w:ascii="Times New Roman" w:hAnsi="Times New Roman"/>
          <w:b/>
          <w:color w:val="006FC0"/>
          <w:position w:val="1"/>
          <w:sz w:val="24"/>
        </w:rPr>
        <w:t>Sulfurit</w:t>
      </w:r>
      <w:r>
        <w:rPr>
          <w:rFonts w:ascii="Times New Roman" w:hAnsi="Times New Roman"/>
          <w:b/>
          <w:color w:val="006FC0"/>
          <w:spacing w:val="-1"/>
          <w:position w:val="1"/>
          <w:sz w:val="24"/>
        </w:rPr>
        <w:t> </w:t>
      </w:r>
      <w:r>
        <w:rPr>
          <w:rFonts w:ascii="Times New Roman" w:hAnsi="Times New Roman"/>
          <w:b/>
          <w:color w:val="006FC0"/>
          <w:position w:val="1"/>
          <w:sz w:val="24"/>
        </w:rPr>
        <w:t>SO</w:t>
      </w:r>
      <w:r>
        <w:rPr>
          <w:rFonts w:ascii="Times New Roman" w:hAnsi="Times New Roman"/>
          <w:b/>
          <w:color w:val="006FC0"/>
          <w:sz w:val="16"/>
        </w:rPr>
        <w:t>2</w:t>
      </w:r>
      <w:r>
        <w:rPr>
          <w:rFonts w:ascii="Times New Roman" w:hAnsi="Times New Roman"/>
          <w:b/>
          <w:color w:val="006FC0"/>
          <w:spacing w:val="19"/>
          <w:sz w:val="16"/>
        </w:rPr>
        <w:t> </w:t>
      </w:r>
      <w:r>
        <w:rPr>
          <w:rFonts w:ascii="Times New Roman" w:hAnsi="Times New Roman"/>
          <w:b/>
          <w:color w:val="006FC0"/>
          <w:position w:val="1"/>
          <w:sz w:val="24"/>
        </w:rPr>
        <w:t>(µg/m</w:t>
      </w:r>
      <w:r>
        <w:rPr>
          <w:rFonts w:ascii="Times New Roman" w:hAnsi="Times New Roman"/>
          <w:b/>
          <w:color w:val="006FC0"/>
          <w:position w:val="1"/>
          <w:sz w:val="24"/>
          <w:vertAlign w:val="superscript"/>
        </w:rPr>
        <w:t>3</w:t>
      </w:r>
      <w:r>
        <w:rPr>
          <w:rFonts w:ascii="Times New Roman" w:hAnsi="Times New Roman"/>
          <w:b/>
          <w:color w:val="006FC0"/>
          <w:position w:val="1"/>
          <w:sz w:val="24"/>
          <w:vertAlign w:val="baseline"/>
        </w:rPr>
        <w:t>)</w:t>
      </w:r>
    </w:p>
    <w:tbl>
      <w:tblPr>
        <w:tblW w:w="0" w:type="auto"/>
        <w:jc w:val="left"/>
        <w:tblInd w:w="1148" w:type="dxa"/>
        <w:tblBorders>
          <w:top w:val="single" w:sz="12" w:space="0" w:color="1FACCD"/>
          <w:left w:val="single" w:sz="12" w:space="0" w:color="1FACCD"/>
          <w:bottom w:val="single" w:sz="12" w:space="0" w:color="1FACCD"/>
          <w:right w:val="single" w:sz="12" w:space="0" w:color="1FACCD"/>
          <w:insideH w:val="single" w:sz="12" w:space="0" w:color="1FACCD"/>
          <w:insideV w:val="single" w:sz="12" w:space="0" w:color="1FACC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5"/>
        <w:gridCol w:w="2715"/>
        <w:gridCol w:w="2458"/>
      </w:tblGrid>
      <w:tr>
        <w:trPr>
          <w:trHeight w:val="274" w:hRule="atLeast"/>
        </w:trPr>
        <w:tc>
          <w:tcPr>
            <w:tcW w:w="440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Emërtimi</w:t>
            </w:r>
          </w:p>
        </w:tc>
        <w:tc>
          <w:tcPr>
            <w:tcW w:w="271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458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 emetimit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8.5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µg/m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5.3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µg/m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74" w:hRule="atLeast"/>
        </w:trPr>
        <w:tc>
          <w:tcPr>
            <w:tcW w:w="440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lartë</w:t>
            </w:r>
          </w:p>
        </w:tc>
        <w:tc>
          <w:tcPr>
            <w:tcW w:w="271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(dhjetor)</w:t>
            </w:r>
          </w:p>
        </w:tc>
        <w:tc>
          <w:tcPr>
            <w:tcW w:w="2458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(dhjetor)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 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ulët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1.9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(tetor)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2.7 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(maj)</w:t>
            </w:r>
          </w:p>
        </w:tc>
      </w:tr>
    </w:tbl>
    <w:p>
      <w:pPr>
        <w:pStyle w:val="BodyText"/>
        <w:rPr>
          <w:rFonts w:ascii="Times New Roman"/>
          <w:b/>
          <w:sz w:val="28"/>
        </w:rPr>
      </w:pPr>
    </w:p>
    <w:p>
      <w:pPr>
        <w:pStyle w:val="BodyText"/>
        <w:spacing w:before="8"/>
        <w:rPr>
          <w:rFonts w:ascii="Times New Roman"/>
          <w:b/>
          <w:sz w:val="26"/>
        </w:rPr>
      </w:pPr>
    </w:p>
    <w:p>
      <w:pPr>
        <w:pStyle w:val="Heading5"/>
        <w:spacing w:before="1" w:after="42"/>
        <w:ind w:left="1240"/>
      </w:pPr>
      <w:r>
        <w:rPr>
          <w:color w:val="5D2C37"/>
        </w:rPr>
        <w:t>Monoksidi</w:t>
      </w:r>
      <w:r>
        <w:rPr>
          <w:color w:val="5D2C37"/>
          <w:spacing w:val="-1"/>
        </w:rPr>
        <w:t> </w:t>
      </w:r>
      <w:r>
        <w:rPr>
          <w:color w:val="5D2C37"/>
        </w:rPr>
        <w:t>i</w:t>
      </w:r>
      <w:r>
        <w:rPr>
          <w:color w:val="5D2C37"/>
          <w:spacing w:val="-1"/>
        </w:rPr>
        <w:t> </w:t>
      </w:r>
      <w:r>
        <w:rPr>
          <w:color w:val="5D2C37"/>
        </w:rPr>
        <w:t>Karbonit</w:t>
      </w:r>
      <w:r>
        <w:rPr>
          <w:color w:val="5D2C37"/>
          <w:spacing w:val="-4"/>
        </w:rPr>
        <w:t> </w:t>
      </w:r>
      <w:r>
        <w:rPr>
          <w:color w:val="5D2C37"/>
        </w:rPr>
        <w:t>CO (µg/m</w:t>
      </w:r>
      <w:r>
        <w:rPr>
          <w:color w:val="5D2C37"/>
          <w:position w:val="8"/>
          <w:sz w:val="16"/>
        </w:rPr>
        <w:t>3</w:t>
      </w:r>
      <w:r>
        <w:rPr>
          <w:color w:val="5D2C37"/>
        </w:rPr>
        <w:t>)</w:t>
      </w:r>
    </w:p>
    <w:tbl>
      <w:tblPr>
        <w:tblW w:w="0" w:type="auto"/>
        <w:jc w:val="left"/>
        <w:tblInd w:w="1148" w:type="dxa"/>
        <w:tblBorders>
          <w:top w:val="single" w:sz="12" w:space="0" w:color="EB631B"/>
          <w:left w:val="single" w:sz="12" w:space="0" w:color="EB631B"/>
          <w:bottom w:val="single" w:sz="12" w:space="0" w:color="EB631B"/>
          <w:right w:val="single" w:sz="12" w:space="0" w:color="EB631B"/>
          <w:insideH w:val="single" w:sz="12" w:space="0" w:color="EB631B"/>
          <w:insideV w:val="single" w:sz="12" w:space="0" w:color="EB631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5"/>
        <w:gridCol w:w="2717"/>
        <w:gridCol w:w="2455"/>
      </w:tblGrid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Emërtimi</w:t>
            </w:r>
          </w:p>
        </w:tc>
        <w:tc>
          <w:tcPr>
            <w:tcW w:w="2717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45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</w:tc>
      </w:tr>
      <w:tr>
        <w:trPr>
          <w:trHeight w:val="274" w:hRule="atLeast"/>
        </w:trPr>
        <w:tc>
          <w:tcPr>
            <w:tcW w:w="440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 emetimit</w:t>
            </w:r>
          </w:p>
        </w:tc>
        <w:tc>
          <w:tcPr>
            <w:tcW w:w="2717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0.35 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5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0.32 µ/m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lartë</w:t>
            </w:r>
          </w:p>
        </w:tc>
        <w:tc>
          <w:tcPr>
            <w:tcW w:w="2717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0.7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(shkurt)</w:t>
            </w:r>
          </w:p>
        </w:tc>
        <w:tc>
          <w:tcPr>
            <w:tcW w:w="245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60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(gusht)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 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ulët</w:t>
            </w:r>
          </w:p>
        </w:tc>
        <w:tc>
          <w:tcPr>
            <w:tcW w:w="2717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0.1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37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(shkurt-korrik)</w:t>
            </w:r>
          </w:p>
        </w:tc>
        <w:tc>
          <w:tcPr>
            <w:tcW w:w="2455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0.1 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40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(prill)</w:t>
            </w:r>
          </w:p>
        </w:tc>
      </w:tr>
    </w:tbl>
    <w:p>
      <w:pPr>
        <w:pStyle w:val="BodyText"/>
        <w:rPr>
          <w:rFonts w:ascii="Times New Roman"/>
          <w:b/>
          <w:sz w:val="26"/>
        </w:rPr>
      </w:pPr>
    </w:p>
    <w:p>
      <w:pPr>
        <w:spacing w:before="215" w:after="33"/>
        <w:ind w:left="1240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A2171D"/>
          <w:position w:val="1"/>
          <w:sz w:val="24"/>
        </w:rPr>
        <w:t>Dioksidi</w:t>
      </w:r>
      <w:r>
        <w:rPr>
          <w:rFonts w:ascii="Times New Roman" w:hAnsi="Times New Roman"/>
          <w:b/>
          <w:color w:val="A2171D"/>
          <w:spacing w:val="-1"/>
          <w:position w:val="1"/>
          <w:sz w:val="24"/>
        </w:rPr>
        <w:t> </w:t>
      </w:r>
      <w:r>
        <w:rPr>
          <w:rFonts w:ascii="Times New Roman" w:hAnsi="Times New Roman"/>
          <w:b/>
          <w:color w:val="A2171D"/>
          <w:position w:val="1"/>
          <w:sz w:val="24"/>
        </w:rPr>
        <w:t>i</w:t>
      </w:r>
      <w:r>
        <w:rPr>
          <w:rFonts w:ascii="Times New Roman" w:hAnsi="Times New Roman"/>
          <w:b/>
          <w:color w:val="A2171D"/>
          <w:spacing w:val="-1"/>
          <w:position w:val="1"/>
          <w:sz w:val="24"/>
        </w:rPr>
        <w:t> </w:t>
      </w:r>
      <w:r>
        <w:rPr>
          <w:rFonts w:ascii="Times New Roman" w:hAnsi="Times New Roman"/>
          <w:b/>
          <w:color w:val="A2171D"/>
          <w:position w:val="1"/>
          <w:sz w:val="24"/>
        </w:rPr>
        <w:t>Azotit</w:t>
      </w:r>
      <w:r>
        <w:rPr>
          <w:rFonts w:ascii="Times New Roman" w:hAnsi="Times New Roman"/>
          <w:b/>
          <w:color w:val="A2171D"/>
          <w:spacing w:val="-2"/>
          <w:position w:val="1"/>
          <w:sz w:val="24"/>
        </w:rPr>
        <w:t> </w:t>
      </w:r>
      <w:r>
        <w:rPr>
          <w:rFonts w:ascii="Times New Roman" w:hAnsi="Times New Roman"/>
          <w:b/>
          <w:color w:val="A2171D"/>
          <w:position w:val="1"/>
          <w:sz w:val="24"/>
        </w:rPr>
        <w:t>NO</w:t>
      </w:r>
      <w:r>
        <w:rPr>
          <w:rFonts w:ascii="Times New Roman" w:hAnsi="Times New Roman"/>
          <w:b/>
          <w:color w:val="A2171D"/>
          <w:sz w:val="16"/>
        </w:rPr>
        <w:t>2</w:t>
      </w:r>
      <w:r>
        <w:rPr>
          <w:rFonts w:ascii="Times New Roman" w:hAnsi="Times New Roman"/>
          <w:b/>
          <w:color w:val="A2171D"/>
          <w:spacing w:val="20"/>
          <w:sz w:val="16"/>
        </w:rPr>
        <w:t> </w:t>
      </w:r>
      <w:r>
        <w:rPr>
          <w:rFonts w:ascii="Times New Roman" w:hAnsi="Times New Roman"/>
          <w:b/>
          <w:color w:val="A2171D"/>
          <w:position w:val="1"/>
          <w:sz w:val="24"/>
        </w:rPr>
        <w:t>(µg/m</w:t>
      </w:r>
      <w:r>
        <w:rPr>
          <w:rFonts w:ascii="Times New Roman" w:hAnsi="Times New Roman"/>
          <w:b/>
          <w:color w:val="A2171D"/>
          <w:position w:val="1"/>
          <w:sz w:val="24"/>
          <w:vertAlign w:val="superscript"/>
        </w:rPr>
        <w:t>3</w:t>
      </w:r>
      <w:r>
        <w:rPr>
          <w:rFonts w:ascii="Times New Roman" w:hAnsi="Times New Roman"/>
          <w:b/>
          <w:color w:val="A2171D"/>
          <w:position w:val="1"/>
          <w:sz w:val="24"/>
          <w:vertAlign w:val="baseline"/>
        </w:rPr>
        <w:t>)</w:t>
      </w:r>
    </w:p>
    <w:tbl>
      <w:tblPr>
        <w:tblW w:w="0" w:type="auto"/>
        <w:jc w:val="left"/>
        <w:tblInd w:w="1148" w:type="dxa"/>
        <w:tblBorders>
          <w:top w:val="single" w:sz="12" w:space="0" w:color="6F2F9F"/>
          <w:left w:val="single" w:sz="12" w:space="0" w:color="6F2F9F"/>
          <w:bottom w:val="single" w:sz="12" w:space="0" w:color="6F2F9F"/>
          <w:right w:val="single" w:sz="12" w:space="0" w:color="6F2F9F"/>
          <w:insideH w:val="single" w:sz="12" w:space="0" w:color="6F2F9F"/>
          <w:insideV w:val="single" w:sz="12" w:space="0" w:color="6F2F9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5"/>
        <w:gridCol w:w="2715"/>
        <w:gridCol w:w="2458"/>
      </w:tblGrid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Emërtimi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</w:tc>
      </w:tr>
      <w:tr>
        <w:trPr>
          <w:trHeight w:val="274" w:hRule="atLeast"/>
        </w:trPr>
        <w:tc>
          <w:tcPr>
            <w:tcW w:w="440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emetimit</w:t>
            </w:r>
          </w:p>
        </w:tc>
        <w:tc>
          <w:tcPr>
            <w:tcW w:w="271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16.29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58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15.4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mët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lartë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16.29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23.12 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(dhjetor)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 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ulët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12.5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38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(qershor)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9.8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38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(qershor)</w:t>
            </w:r>
          </w:p>
        </w:tc>
      </w:tr>
    </w:tbl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spacing w:before="10"/>
        <w:rPr>
          <w:rFonts w:ascii="Times New Roman"/>
          <w:b/>
          <w:sz w:val="31"/>
        </w:rPr>
      </w:pPr>
    </w:p>
    <w:p>
      <w:pPr>
        <w:spacing w:before="0" w:after="28"/>
        <w:ind w:left="1240" w:right="0" w:firstLine="0"/>
        <w:jc w:val="left"/>
        <w:rPr>
          <w:rFonts w:ascii="Times New Roman"/>
          <w:sz w:val="24"/>
        </w:rPr>
      </w:pPr>
      <w:r>
        <w:rPr>
          <w:rFonts w:ascii="Times New Roman"/>
          <w:color w:val="0E5566"/>
          <w:position w:val="2"/>
          <w:sz w:val="24"/>
        </w:rPr>
        <w:t>Ozoni</w:t>
      </w:r>
      <w:r>
        <w:rPr>
          <w:rFonts w:ascii="Times New Roman"/>
          <w:color w:val="0E5566"/>
          <w:spacing w:val="-1"/>
          <w:position w:val="2"/>
          <w:sz w:val="24"/>
        </w:rPr>
        <w:t> </w:t>
      </w:r>
      <w:r>
        <w:rPr>
          <w:rFonts w:ascii="Times New Roman"/>
          <w:color w:val="0E5566"/>
          <w:position w:val="2"/>
          <w:sz w:val="24"/>
        </w:rPr>
        <w:t>(O</w:t>
      </w:r>
      <w:r>
        <w:rPr>
          <w:rFonts w:ascii="Times New Roman"/>
          <w:color w:val="0E5566"/>
          <w:sz w:val="16"/>
        </w:rPr>
        <w:t>3</w:t>
      </w:r>
      <w:r>
        <w:rPr>
          <w:rFonts w:ascii="Times New Roman"/>
          <w:color w:val="0E5566"/>
          <w:position w:val="2"/>
          <w:sz w:val="24"/>
        </w:rPr>
        <w:t>)</w:t>
      </w:r>
      <w:r>
        <w:rPr>
          <w:rFonts w:ascii="Times New Roman"/>
          <w:color w:val="0E5566"/>
          <w:spacing w:val="58"/>
          <w:position w:val="2"/>
          <w:sz w:val="24"/>
        </w:rPr>
        <w:t> </w:t>
      </w:r>
      <w:r>
        <w:rPr>
          <w:rFonts w:ascii="Times New Roman"/>
          <w:color w:val="0E5566"/>
          <w:position w:val="2"/>
          <w:sz w:val="24"/>
        </w:rPr>
        <w:t>(mg/m</w:t>
      </w:r>
      <w:r>
        <w:rPr>
          <w:rFonts w:ascii="Times New Roman"/>
          <w:color w:val="0E5566"/>
          <w:position w:val="2"/>
          <w:sz w:val="24"/>
          <w:vertAlign w:val="superscript"/>
        </w:rPr>
        <w:t>3</w:t>
      </w:r>
      <w:r>
        <w:rPr>
          <w:rFonts w:ascii="Times New Roman"/>
          <w:color w:val="0E5566"/>
          <w:position w:val="2"/>
          <w:sz w:val="24"/>
          <w:vertAlign w:val="baseline"/>
        </w:rPr>
        <w:t>)</w:t>
      </w:r>
    </w:p>
    <w:tbl>
      <w:tblPr>
        <w:tblW w:w="0" w:type="auto"/>
        <w:jc w:val="left"/>
        <w:tblInd w:w="1148" w:type="dxa"/>
        <w:tblBorders>
          <w:top w:val="single" w:sz="12" w:space="0" w:color="8589B7"/>
          <w:left w:val="single" w:sz="12" w:space="0" w:color="8589B7"/>
          <w:bottom w:val="single" w:sz="12" w:space="0" w:color="8589B7"/>
          <w:right w:val="single" w:sz="12" w:space="0" w:color="8589B7"/>
          <w:insideH w:val="single" w:sz="12" w:space="0" w:color="8589B7"/>
          <w:insideV w:val="single" w:sz="12" w:space="0" w:color="8589B7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5"/>
        <w:gridCol w:w="2715"/>
        <w:gridCol w:w="2458"/>
      </w:tblGrid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Emërtimi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</w:tc>
      </w:tr>
      <w:tr>
        <w:trPr>
          <w:trHeight w:val="274" w:hRule="atLeast"/>
        </w:trPr>
        <w:tc>
          <w:tcPr>
            <w:tcW w:w="440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 emetimit</w:t>
            </w:r>
          </w:p>
        </w:tc>
        <w:tc>
          <w:tcPr>
            <w:tcW w:w="2715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60.28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mg/m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58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57.5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mg/m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lartë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160.6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mg/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 (korrik)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91.2mg/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(korrik)</w:t>
            </w:r>
          </w:p>
        </w:tc>
      </w:tr>
      <w:tr>
        <w:trPr>
          <w:trHeight w:val="277" w:hRule="atLeast"/>
        </w:trPr>
        <w:tc>
          <w:tcPr>
            <w:tcW w:w="440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 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ulët</w:t>
            </w:r>
          </w:p>
        </w:tc>
        <w:tc>
          <w:tcPr>
            <w:tcW w:w="2715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30.9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 (dhjetor)</w:t>
            </w:r>
          </w:p>
        </w:tc>
        <w:tc>
          <w:tcPr>
            <w:tcW w:w="2458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22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 (dhjetor)</w:t>
            </w:r>
          </w:p>
        </w:tc>
      </w:tr>
    </w:tbl>
    <w:p>
      <w:pPr>
        <w:pStyle w:val="BodyText"/>
        <w:rPr>
          <w:rFonts w:ascii="Times New Roman"/>
          <w:sz w:val="28"/>
        </w:r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spacing w:before="166"/>
        <w:ind w:right="1296"/>
        <w:jc w:val="right"/>
      </w:pPr>
      <w:r>
        <w:rPr>
          <w:w w:val="100"/>
        </w:rPr>
        <w:t>3</w:t>
      </w:r>
    </w:p>
    <w:p>
      <w:pPr>
        <w:spacing w:after="0"/>
        <w:jc w:val="right"/>
        <w:sectPr>
          <w:pgSz w:w="12240" w:h="15840"/>
          <w:pgMar w:top="1440" w:bottom="280" w:left="200" w:right="140"/>
        </w:sectPr>
      </w:pPr>
    </w:p>
    <w:p>
      <w:pPr>
        <w:pStyle w:val="Heading5"/>
        <w:spacing w:before="74" w:after="42"/>
        <w:ind w:left="1240"/>
      </w:pPr>
      <w:r>
        <w:rPr/>
        <w:t>Grimcat</w:t>
      </w:r>
      <w:r>
        <w:rPr>
          <w:spacing w:val="-2"/>
        </w:rPr>
        <w:t> </w:t>
      </w:r>
      <w:r>
        <w:rPr/>
        <w:t>PM10</w:t>
      </w:r>
      <w:r>
        <w:rPr>
          <w:spacing w:val="57"/>
        </w:rPr>
        <w:t> </w:t>
      </w:r>
      <w:r>
        <w:rPr/>
        <w:t>(µg/m</w:t>
      </w:r>
      <w:r>
        <w:rPr>
          <w:position w:val="8"/>
          <w:sz w:val="16"/>
        </w:rPr>
        <w:t>3</w:t>
      </w:r>
      <w:r>
        <w:rPr/>
        <w:t>)</w:t>
      </w:r>
    </w:p>
    <w:tbl>
      <w:tblPr>
        <w:tblW w:w="0" w:type="auto"/>
        <w:jc w:val="left"/>
        <w:tblInd w:w="1148" w:type="dxa"/>
        <w:tblBorders>
          <w:top w:val="single" w:sz="12" w:space="0" w:color="00AF50"/>
          <w:left w:val="single" w:sz="12" w:space="0" w:color="00AF50"/>
          <w:bottom w:val="single" w:sz="12" w:space="0" w:color="00AF50"/>
          <w:right w:val="single" w:sz="12" w:space="0" w:color="00AF50"/>
          <w:insideH w:val="single" w:sz="12" w:space="0" w:color="00AF50"/>
          <w:insideV w:val="single" w:sz="12" w:space="0" w:color="00AF5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77"/>
        <w:gridCol w:w="2662"/>
        <w:gridCol w:w="2439"/>
      </w:tblGrid>
      <w:tr>
        <w:trPr>
          <w:trHeight w:val="378" w:hRule="atLeast"/>
        </w:trPr>
        <w:tc>
          <w:tcPr>
            <w:tcW w:w="4477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Emërtimi</w:t>
            </w:r>
          </w:p>
        </w:tc>
        <w:tc>
          <w:tcPr>
            <w:tcW w:w="266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43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</w:tc>
      </w:tr>
      <w:tr>
        <w:trPr>
          <w:trHeight w:val="375" w:hRule="atLeast"/>
        </w:trPr>
        <w:tc>
          <w:tcPr>
            <w:tcW w:w="4477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 emetimit</w:t>
            </w:r>
          </w:p>
        </w:tc>
        <w:tc>
          <w:tcPr>
            <w:tcW w:w="2662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16.95/m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39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19.3 µg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77" w:hRule="atLeast"/>
        </w:trPr>
        <w:tc>
          <w:tcPr>
            <w:tcW w:w="4477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lartë</w:t>
            </w:r>
          </w:p>
        </w:tc>
        <w:tc>
          <w:tcPr>
            <w:tcW w:w="2662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35.3µg/m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59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(nëntor)</w:t>
            </w:r>
          </w:p>
        </w:tc>
        <w:tc>
          <w:tcPr>
            <w:tcW w:w="2439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30µg/m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59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(dhjetor)</w:t>
            </w:r>
          </w:p>
        </w:tc>
      </w:tr>
      <w:tr>
        <w:trPr>
          <w:trHeight w:val="274" w:hRule="atLeast"/>
        </w:trPr>
        <w:tc>
          <w:tcPr>
            <w:tcW w:w="4477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 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ulët</w:t>
            </w:r>
          </w:p>
        </w:tc>
        <w:tc>
          <w:tcPr>
            <w:tcW w:w="2662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3.9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(gusht)</w:t>
            </w:r>
          </w:p>
        </w:tc>
        <w:tc>
          <w:tcPr>
            <w:tcW w:w="2439" w:type="dxa"/>
          </w:tcPr>
          <w:p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10.8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(shtator)</w:t>
            </w:r>
          </w:p>
        </w:tc>
      </w:tr>
      <w:tr>
        <w:trPr>
          <w:trHeight w:val="277" w:hRule="atLeast"/>
        </w:trPr>
        <w:tc>
          <w:tcPr>
            <w:tcW w:w="4477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maximale për një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ditë</w:t>
            </w:r>
          </w:p>
        </w:tc>
        <w:tc>
          <w:tcPr>
            <w:tcW w:w="2662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86.6µg/m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39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68µg/m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(korrik)</w:t>
            </w:r>
          </w:p>
        </w:tc>
      </w:tr>
      <w:tr>
        <w:trPr>
          <w:trHeight w:val="277" w:hRule="atLeast"/>
        </w:trPr>
        <w:tc>
          <w:tcPr>
            <w:tcW w:w="4477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vlerës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maximale e mesatares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ditore</w:t>
            </w:r>
          </w:p>
        </w:tc>
        <w:tc>
          <w:tcPr>
            <w:tcW w:w="2662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24.12.2021viti</w:t>
            </w:r>
          </w:p>
        </w:tc>
        <w:tc>
          <w:tcPr>
            <w:tcW w:w="2439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23.12.2022viti</w:t>
            </w:r>
          </w:p>
        </w:tc>
      </w:tr>
    </w:tbl>
    <w:p>
      <w:pPr>
        <w:pStyle w:val="BodyText"/>
        <w:rPr>
          <w:rFonts w:ascii="Times New Roman"/>
          <w:b/>
          <w:sz w:val="26"/>
        </w:rPr>
      </w:pPr>
    </w:p>
    <w:p>
      <w:pPr>
        <w:spacing w:before="211" w:after="44"/>
        <w:ind w:left="1240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Grimcat</w:t>
      </w:r>
      <w:r>
        <w:rPr>
          <w:rFonts w:ascii="Times New Roman" w:hAnsi="Times New Roman"/>
          <w:b/>
          <w:spacing w:val="-2"/>
          <w:sz w:val="24"/>
        </w:rPr>
        <w:t> </w:t>
      </w:r>
      <w:r>
        <w:rPr>
          <w:rFonts w:ascii="Times New Roman" w:hAnsi="Times New Roman"/>
          <w:b/>
          <w:sz w:val="24"/>
        </w:rPr>
        <w:t>PM2.5</w:t>
      </w:r>
      <w:r>
        <w:rPr>
          <w:rFonts w:ascii="Times New Roman" w:hAnsi="Times New Roman"/>
          <w:b/>
          <w:spacing w:val="58"/>
          <w:sz w:val="24"/>
        </w:rPr>
        <w:t> </w:t>
      </w:r>
      <w:r>
        <w:rPr>
          <w:rFonts w:ascii="Times New Roman" w:hAnsi="Times New Roman"/>
          <w:b/>
          <w:sz w:val="24"/>
        </w:rPr>
        <w:t>(µg/m</w:t>
      </w:r>
      <w:r>
        <w:rPr>
          <w:rFonts w:ascii="Times New Roman" w:hAnsi="Times New Roman"/>
          <w:b/>
          <w:position w:val="8"/>
          <w:sz w:val="16"/>
        </w:rPr>
        <w:t>3</w:t>
      </w:r>
      <w:r>
        <w:rPr>
          <w:rFonts w:ascii="Times New Roman" w:hAnsi="Times New Roman"/>
          <w:b/>
          <w:sz w:val="24"/>
        </w:rPr>
        <w:t>)</w:t>
      </w:r>
    </w:p>
    <w:tbl>
      <w:tblPr>
        <w:tblW w:w="0" w:type="auto"/>
        <w:jc w:val="left"/>
        <w:tblInd w:w="1148" w:type="dxa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31"/>
        <w:gridCol w:w="2671"/>
        <w:gridCol w:w="2474"/>
      </w:tblGrid>
      <w:tr>
        <w:trPr>
          <w:trHeight w:val="266" w:hRule="atLeast"/>
        </w:trPr>
        <w:tc>
          <w:tcPr>
            <w:tcW w:w="4431" w:type="dxa"/>
            <w:tcBorders>
              <w:bottom w:val="single" w:sz="18" w:space="0" w:color="FF0000"/>
            </w:tcBorders>
          </w:tcPr>
          <w:p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sz w:val="24"/>
              </w:rPr>
              <w:t>Emertimi</w:t>
            </w:r>
          </w:p>
        </w:tc>
        <w:tc>
          <w:tcPr>
            <w:tcW w:w="2671" w:type="dxa"/>
            <w:tcBorders>
              <w:bottom w:val="single" w:sz="18" w:space="0" w:color="FF0000"/>
            </w:tcBorders>
          </w:tcPr>
          <w:p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</w:t>
            </w:r>
          </w:p>
        </w:tc>
        <w:tc>
          <w:tcPr>
            <w:tcW w:w="2474" w:type="dxa"/>
            <w:tcBorders>
              <w:bottom w:val="single" w:sz="18" w:space="0" w:color="FF0000"/>
            </w:tcBorders>
          </w:tcPr>
          <w:p>
            <w:pPr>
              <w:pStyle w:val="TableParagraph"/>
              <w:spacing w:line="247" w:lineRule="exact"/>
              <w:ind w:left="108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2022</w:t>
            </w:r>
          </w:p>
        </w:tc>
      </w:tr>
      <w:tr>
        <w:trPr>
          <w:trHeight w:val="262" w:hRule="atLeast"/>
        </w:trPr>
        <w:tc>
          <w:tcPr>
            <w:tcW w:w="443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vjetore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 emetimit</w:t>
            </w:r>
          </w:p>
        </w:tc>
        <w:tc>
          <w:tcPr>
            <w:tcW w:w="267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rPr>
                <w:sz w:val="24"/>
              </w:rPr>
            </w:pPr>
            <w:r>
              <w:rPr>
                <w:sz w:val="24"/>
              </w:rPr>
              <w:t>13.52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µg/m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74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ind w:left="108"/>
              <w:rPr>
                <w:sz w:val="24"/>
              </w:rPr>
            </w:pPr>
            <w:r>
              <w:rPr>
                <w:sz w:val="24"/>
              </w:rPr>
              <w:t>13.9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µg/m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59" w:hRule="atLeast"/>
        </w:trPr>
        <w:tc>
          <w:tcPr>
            <w:tcW w:w="443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0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lartë</w:t>
            </w:r>
          </w:p>
        </w:tc>
        <w:tc>
          <w:tcPr>
            <w:tcW w:w="267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0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26.2</w:t>
            </w:r>
            <w:r>
              <w:rPr>
                <w:sz w:val="24"/>
              </w:rPr>
              <w:t> 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-18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(shkurt)</w:t>
            </w:r>
          </w:p>
        </w:tc>
        <w:tc>
          <w:tcPr>
            <w:tcW w:w="2474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0" w:lineRule="exact"/>
              <w:ind w:left="108"/>
              <w:rPr>
                <w:sz w:val="24"/>
              </w:rPr>
            </w:pPr>
            <w:r>
              <w:rPr>
                <w:spacing w:val="-1"/>
                <w:sz w:val="24"/>
              </w:rPr>
              <w:t>26.3</w:t>
            </w:r>
            <w:r>
              <w:rPr>
                <w:sz w:val="24"/>
              </w:rPr>
              <w:t> 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-18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(dhjetor)</w:t>
            </w:r>
          </w:p>
        </w:tc>
      </w:tr>
      <w:tr>
        <w:trPr>
          <w:trHeight w:val="262" w:hRule="atLeast"/>
        </w:trPr>
        <w:tc>
          <w:tcPr>
            <w:tcW w:w="443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rPr>
                <w:sz w:val="24"/>
              </w:rPr>
            </w:pPr>
            <w:r>
              <w:rPr>
                <w:sz w:val="24"/>
              </w:rPr>
              <w:t>Muaji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vlerën mesatare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më të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ulët</w:t>
            </w:r>
          </w:p>
        </w:tc>
        <w:tc>
          <w:tcPr>
            <w:tcW w:w="267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rPr>
                <w:sz w:val="24"/>
              </w:rPr>
            </w:pPr>
            <w:r>
              <w:rPr>
                <w:sz w:val="24"/>
              </w:rPr>
              <w:t>3.6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40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(gusht)</w:t>
            </w:r>
          </w:p>
        </w:tc>
        <w:tc>
          <w:tcPr>
            <w:tcW w:w="2474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ind w:left="108"/>
              <w:rPr>
                <w:sz w:val="24"/>
              </w:rPr>
            </w:pPr>
            <w:r>
              <w:rPr>
                <w:sz w:val="24"/>
              </w:rPr>
              <w:t>7.5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µg/m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pacing w:val="4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(korrik)</w:t>
            </w:r>
          </w:p>
        </w:tc>
      </w:tr>
      <w:tr>
        <w:trPr>
          <w:trHeight w:val="259" w:hRule="atLeast"/>
        </w:trPr>
        <w:tc>
          <w:tcPr>
            <w:tcW w:w="443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0" w:lineRule="exact"/>
              <w:rPr>
                <w:sz w:val="24"/>
              </w:rPr>
            </w:pPr>
            <w:r>
              <w:rPr>
                <w:sz w:val="24"/>
              </w:rPr>
              <w:t>Vlera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maximale për një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orë</w:t>
            </w:r>
          </w:p>
        </w:tc>
        <w:tc>
          <w:tcPr>
            <w:tcW w:w="267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0" w:lineRule="exact"/>
              <w:rPr>
                <w:sz w:val="24"/>
              </w:rPr>
            </w:pPr>
            <w:r>
              <w:rPr>
                <w:sz w:val="24"/>
              </w:rPr>
              <w:t>132.3µg/m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474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0" w:lineRule="exact"/>
              <w:ind w:left="108"/>
              <w:rPr>
                <w:sz w:val="24"/>
              </w:rPr>
            </w:pPr>
            <w:r>
              <w:rPr>
                <w:sz w:val="24"/>
              </w:rPr>
              <w:t>94.4µg/m</w:t>
            </w:r>
            <w:r>
              <w:rPr>
                <w:sz w:val="24"/>
                <w:vertAlign w:val="superscript"/>
              </w:rPr>
              <w:t>3</w:t>
            </w:r>
          </w:p>
        </w:tc>
      </w:tr>
      <w:tr>
        <w:trPr>
          <w:trHeight w:val="262" w:hRule="atLeast"/>
        </w:trPr>
        <w:tc>
          <w:tcPr>
            <w:tcW w:w="443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vlerës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maximale</w:t>
            </w:r>
          </w:p>
        </w:tc>
        <w:tc>
          <w:tcPr>
            <w:tcW w:w="2671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rPr>
                <w:sz w:val="24"/>
              </w:rPr>
            </w:pPr>
            <w:r>
              <w:rPr>
                <w:sz w:val="24"/>
              </w:rPr>
              <w:t>23.12.2021viti</w:t>
            </w:r>
          </w:p>
        </w:tc>
        <w:tc>
          <w:tcPr>
            <w:tcW w:w="2474" w:type="dxa"/>
            <w:tcBorders>
              <w:top w:val="single" w:sz="18" w:space="0" w:color="FF0000"/>
              <w:bottom w:val="single" w:sz="18" w:space="0" w:color="FF0000"/>
            </w:tcBorders>
          </w:tcPr>
          <w:p>
            <w:pPr>
              <w:pStyle w:val="TableParagraph"/>
              <w:spacing w:line="242" w:lineRule="exact"/>
              <w:ind w:left="108"/>
              <w:rPr>
                <w:sz w:val="24"/>
              </w:rPr>
            </w:pPr>
            <w:r>
              <w:rPr>
                <w:sz w:val="24"/>
              </w:rPr>
              <w:t>23.12.2022viti</w:t>
            </w:r>
          </w:p>
        </w:tc>
      </w:tr>
    </w:tbl>
    <w:p>
      <w:pPr>
        <w:pStyle w:val="BodyText"/>
        <w:rPr>
          <w:rFonts w:ascii="Times New Roman"/>
          <w:b/>
          <w:sz w:val="26"/>
        </w:rPr>
      </w:pPr>
    </w:p>
    <w:p>
      <w:pPr>
        <w:pStyle w:val="Heading5"/>
        <w:spacing w:before="218"/>
        <w:ind w:right="135"/>
        <w:jc w:val="center"/>
      </w:pPr>
      <w:r>
        <w:rPr>
          <w:u w:val="thick" w:color="006FC0"/>
        </w:rPr>
        <w:t>Vlerësimi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i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cilësisë</w:t>
      </w:r>
      <w:r>
        <w:rPr>
          <w:spacing w:val="-2"/>
          <w:u w:val="thick" w:color="006FC0"/>
        </w:rPr>
        <w:t> </w:t>
      </w:r>
      <w:r>
        <w:rPr>
          <w:u w:val="thick" w:color="006FC0"/>
        </w:rPr>
        <w:t>së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ajrit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gjatë</w:t>
      </w:r>
      <w:r>
        <w:rPr>
          <w:spacing w:val="-2"/>
          <w:u w:val="thick" w:color="006FC0"/>
        </w:rPr>
        <w:t> </w:t>
      </w:r>
      <w:r>
        <w:rPr>
          <w:u w:val="thick" w:color="006FC0"/>
        </w:rPr>
        <w:t>vitit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2021,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bazuar</w:t>
      </w:r>
      <w:r>
        <w:rPr>
          <w:spacing w:val="-2"/>
          <w:u w:val="thick" w:color="006FC0"/>
        </w:rPr>
        <w:t> </w:t>
      </w:r>
      <w:r>
        <w:rPr>
          <w:u w:val="thick" w:color="006FC0"/>
        </w:rPr>
        <w:t>në</w:t>
      </w:r>
      <w:r>
        <w:rPr>
          <w:spacing w:val="-2"/>
          <w:u w:val="thick" w:color="006FC0"/>
        </w:rPr>
        <w:t> </w:t>
      </w:r>
      <w:r>
        <w:rPr>
          <w:u w:val="thick" w:color="006FC0"/>
        </w:rPr>
        <w:t>të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dhënat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e monitorimit nga</w:t>
      </w:r>
      <w:r>
        <w:rPr>
          <w:spacing w:val="-1"/>
          <w:u w:val="thick" w:color="006FC0"/>
        </w:rPr>
        <w:t> </w:t>
      </w:r>
      <w:r>
        <w:rPr>
          <w:u w:val="thick" w:color="006FC0"/>
        </w:rPr>
        <w:t>IHMK</w:t>
      </w:r>
    </w:p>
    <w:p>
      <w:pPr>
        <w:pStyle w:val="BodyText"/>
        <w:spacing w:before="5"/>
        <w:rPr>
          <w:rFonts w:ascii="Times New Roman"/>
          <w:b/>
          <w:sz w:val="20"/>
        </w:rPr>
      </w:pPr>
    </w:p>
    <w:p>
      <w:pPr>
        <w:pStyle w:val="Heading6"/>
        <w:spacing w:line="276" w:lineRule="auto" w:before="1"/>
        <w:ind w:right="1294" w:firstLine="719"/>
        <w:jc w:val="both"/>
      </w:pPr>
      <w:r>
        <w:rPr/>
        <w:t>Ky vlerësim përfshinë vlerat mesatare vjetore dhe të njejtat janë krahasuar me vlerat</w:t>
      </w:r>
      <w:r>
        <w:rPr>
          <w:spacing w:val="1"/>
        </w:rPr>
        <w:t> </w:t>
      </w:r>
      <w:r>
        <w:rPr/>
        <w:t>maksimale të lejuara (VLM) sipas U.A 02/2011 për normat e cilësisë së ajrit si dhe krahasimin</w:t>
      </w:r>
      <w:r>
        <w:rPr>
          <w:spacing w:val="1"/>
        </w:rPr>
        <w:t> </w:t>
      </w:r>
      <w:r>
        <w:rPr/>
        <w:t>me vitin</w:t>
      </w:r>
      <w:r>
        <w:rPr>
          <w:spacing w:val="1"/>
        </w:rPr>
        <w:t> </w:t>
      </w:r>
      <w:r>
        <w:rPr/>
        <w:t>paraprak.</w:t>
      </w:r>
      <w:r>
        <w:rPr>
          <w:spacing w:val="1"/>
        </w:rPr>
        <w:t> </w:t>
      </w:r>
      <w:r>
        <w:rPr/>
        <w:t>Nga</w:t>
      </w:r>
      <w:r>
        <w:rPr>
          <w:spacing w:val="1"/>
        </w:rPr>
        <w:t> </w:t>
      </w:r>
      <w:r>
        <w:rPr/>
        <w:t>të dhënat</w:t>
      </w:r>
      <w:r>
        <w:rPr>
          <w:spacing w:val="1"/>
        </w:rPr>
        <w:t> </w:t>
      </w:r>
      <w:r>
        <w:rPr/>
        <w:t>për matjen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përqendrimit</w:t>
      </w:r>
      <w:r>
        <w:rPr>
          <w:spacing w:val="1"/>
        </w:rPr>
        <w:t> </w:t>
      </w:r>
      <w:r>
        <w:rPr/>
        <w:t>të ndotësve në ajër</w:t>
      </w:r>
      <w:r>
        <w:rPr>
          <w:spacing w:val="1"/>
        </w:rPr>
        <w:t> </w:t>
      </w:r>
      <w:r>
        <w:rPr/>
        <w:t>mund</w:t>
      </w:r>
      <w:r>
        <w:rPr>
          <w:spacing w:val="1"/>
        </w:rPr>
        <w:t> </w:t>
      </w:r>
      <w:r>
        <w:rPr/>
        <w:t>të</w:t>
      </w:r>
      <w:r>
        <w:rPr>
          <w:spacing w:val="1"/>
        </w:rPr>
        <w:t> </w:t>
      </w:r>
      <w:r>
        <w:rPr>
          <w:position w:val="2"/>
        </w:rPr>
        <w:t>konstatohet se vitin 2022,</w:t>
      </w:r>
      <w:r>
        <w:rPr>
          <w:spacing w:val="1"/>
          <w:position w:val="2"/>
        </w:rPr>
        <w:t> </w:t>
      </w:r>
      <w:r>
        <w:rPr>
          <w:position w:val="2"/>
        </w:rPr>
        <w:t>tejkalime të vlerës maksimale të lejuar janë regjistruar te O</w:t>
      </w:r>
      <w:r>
        <w:rPr>
          <w:sz w:val="16"/>
        </w:rPr>
        <w:t>3 </w:t>
      </w:r>
      <w:r>
        <w:rPr>
          <w:position w:val="2"/>
        </w:rPr>
        <w:t>(Ozoni)</w:t>
      </w:r>
      <w:r>
        <w:rPr>
          <w:spacing w:val="1"/>
          <w:position w:val="2"/>
        </w:rPr>
        <w:t> </w:t>
      </w:r>
      <w:r>
        <w:rPr/>
        <w:t>dhe ate muajin mars gjithësejtë 5 orë me tejkalime, në muajin maj 3 orë me tejkalime, qershor 5</w:t>
      </w:r>
      <w:r>
        <w:rPr>
          <w:spacing w:val="1"/>
        </w:rPr>
        <w:t> </w:t>
      </w:r>
      <w:r>
        <w:rPr/>
        <w:t>orë me tejkalime, korrik 62 orë me tejkalime dhe</w:t>
      </w:r>
      <w:r>
        <w:rPr>
          <w:spacing w:val="60"/>
        </w:rPr>
        <w:t> </w:t>
      </w:r>
      <w:r>
        <w:rPr/>
        <w:t>mujin gushtë 28 orë. Vlera maximale për një</w:t>
      </w:r>
      <w:r>
        <w:rPr>
          <w:spacing w:val="1"/>
        </w:rPr>
        <w:t> </w:t>
      </w:r>
      <w:r>
        <w:rPr/>
        <w:t>orë</w:t>
      </w:r>
      <w:r>
        <w:rPr>
          <w:spacing w:val="1"/>
        </w:rPr>
        <w:t> </w:t>
      </w:r>
      <w:r>
        <w:rPr/>
        <w:t>është regjistruar me</w:t>
      </w:r>
      <w:r>
        <w:rPr>
          <w:spacing w:val="1"/>
        </w:rPr>
        <w:t> </w:t>
      </w:r>
      <w:r>
        <w:rPr/>
        <w:t>dt.24.07.2022 dhe ate</w:t>
      </w:r>
      <w:r>
        <w:rPr>
          <w:spacing w:val="1"/>
        </w:rPr>
        <w:t> </w:t>
      </w:r>
      <w:r>
        <w:rPr/>
        <w:t>175.5</w:t>
      </w:r>
      <w:r>
        <w:rPr>
          <w:spacing w:val="1"/>
        </w:rPr>
        <w:t> </w:t>
      </w:r>
      <w:r>
        <w:rPr/>
        <w:t>mg/m</w:t>
      </w:r>
      <w:r>
        <w:rPr>
          <w:vertAlign w:val="superscript"/>
        </w:rPr>
        <w:t>3</w:t>
      </w:r>
      <w:r>
        <w:rPr>
          <w:vertAlign w:val="baseline"/>
        </w:rPr>
        <w:t>. Për sa i</w:t>
      </w:r>
      <w:r>
        <w:rPr>
          <w:spacing w:val="1"/>
          <w:vertAlign w:val="baseline"/>
        </w:rPr>
        <w:t> </w:t>
      </w:r>
      <w:r>
        <w:rPr>
          <w:vertAlign w:val="baseline"/>
        </w:rPr>
        <w:t>përket PM10 në</w:t>
      </w:r>
      <w:r>
        <w:rPr>
          <w:spacing w:val="60"/>
          <w:vertAlign w:val="baseline"/>
        </w:rPr>
        <w:t> </w:t>
      </w:r>
      <w:r>
        <w:rPr>
          <w:vertAlign w:val="baseline"/>
        </w:rPr>
        <w:t>muajin</w:t>
      </w:r>
      <w:r>
        <w:rPr>
          <w:spacing w:val="1"/>
          <w:vertAlign w:val="baseline"/>
        </w:rPr>
        <w:t> </w:t>
      </w:r>
      <w:r>
        <w:rPr>
          <w:vertAlign w:val="baseline"/>
        </w:rPr>
        <w:t>janar janë regjistruar 3 ditë me tejkalime si dhe muajin dhjetor 4 ditë me tejkalime. Vlera</w:t>
      </w:r>
      <w:r>
        <w:rPr>
          <w:spacing w:val="1"/>
          <w:vertAlign w:val="baseline"/>
        </w:rPr>
        <w:t> </w:t>
      </w:r>
      <w:r>
        <w:rPr>
          <w:vertAlign w:val="baseline"/>
        </w:rPr>
        <w:t>maximale për një ditë është regjistruar me dt.23.12.2022 dhe ka arritë 668µg/m</w:t>
      </w:r>
      <w:r>
        <w:rPr>
          <w:vertAlign w:val="superscript"/>
        </w:rPr>
        <w:t>3</w:t>
      </w:r>
      <w:r>
        <w:rPr>
          <w:vertAlign w:val="baseline"/>
        </w:rPr>
        <w:t>. Ndërkaq sa i</w:t>
      </w:r>
      <w:r>
        <w:rPr>
          <w:spacing w:val="1"/>
          <w:vertAlign w:val="baseline"/>
        </w:rPr>
        <w:t> </w:t>
      </w:r>
      <w:r>
        <w:rPr>
          <w:position w:val="2"/>
          <w:vertAlign w:val="baseline"/>
        </w:rPr>
        <w:t>përketë PM</w:t>
      </w:r>
      <w:r>
        <w:rPr>
          <w:sz w:val="16"/>
          <w:vertAlign w:val="baseline"/>
        </w:rPr>
        <w:t>2.5</w:t>
      </w:r>
      <w:r>
        <w:rPr>
          <w:spacing w:val="1"/>
          <w:sz w:val="16"/>
          <w:vertAlign w:val="baseline"/>
        </w:rPr>
        <w:t> </w:t>
      </w:r>
      <w:r>
        <w:rPr>
          <w:position w:val="2"/>
          <w:vertAlign w:val="baseline"/>
        </w:rPr>
        <w:t>vlerat më të larta janë shënuar në muajt Nëntor, Dhjetor, Janar dhe Shkurt (vlera</w:t>
      </w:r>
      <w:r>
        <w:rPr>
          <w:spacing w:val="1"/>
          <w:position w:val="2"/>
          <w:vertAlign w:val="baseline"/>
        </w:rPr>
        <w:t> </w:t>
      </w:r>
      <w:r>
        <w:rPr>
          <w:vertAlign w:val="baseline"/>
        </w:rPr>
        <w:t>maksimale për një orë është shënuar me dt. 23.12.2022 dhe ka arritur në 94.4µg/m</w:t>
      </w:r>
      <w:r>
        <w:rPr>
          <w:vertAlign w:val="superscript"/>
        </w:rPr>
        <w:t>3</w:t>
      </w:r>
      <w:r>
        <w:rPr>
          <w:vertAlign w:val="baseline"/>
        </w:rPr>
        <w:t>). Vlerat e</w:t>
      </w:r>
      <w:r>
        <w:rPr>
          <w:spacing w:val="1"/>
          <w:vertAlign w:val="baseline"/>
        </w:rPr>
        <w:t> </w:t>
      </w:r>
      <w:r>
        <w:rPr>
          <w:vertAlign w:val="baseline"/>
        </w:rPr>
        <w:t>shënuara pothuajse janë dyfishi i vlerave limite të përcaktuar me U/A 02/2011 dhe bazuar në</w:t>
      </w:r>
      <w:r>
        <w:rPr>
          <w:spacing w:val="1"/>
          <w:vertAlign w:val="baseline"/>
        </w:rPr>
        <w:t> </w:t>
      </w:r>
      <w:r>
        <w:rPr>
          <w:vertAlign w:val="baseline"/>
        </w:rPr>
        <w:t>indexin e cilësisë së ajrit, këto vlera kategorizohen si të pashëndetshme.</w:t>
      </w:r>
      <w:r>
        <w:rPr>
          <w:spacing w:val="1"/>
          <w:vertAlign w:val="baseline"/>
        </w:rPr>
        <w:t> </w:t>
      </w:r>
      <w:r>
        <w:rPr>
          <w:vertAlign w:val="baseline"/>
        </w:rPr>
        <w:t>Këto vlera pak sa më të</w:t>
      </w:r>
      <w:r>
        <w:rPr>
          <w:spacing w:val="1"/>
          <w:vertAlign w:val="baseline"/>
        </w:rPr>
        <w:t> </w:t>
      </w:r>
      <w:r>
        <w:rPr>
          <w:vertAlign w:val="baseline"/>
        </w:rPr>
        <w:t>larta të përqëndrimit të këtyre ndotësve në ajrë kryesishtë i atribohen</w:t>
      </w:r>
      <w:r>
        <w:rPr>
          <w:spacing w:val="1"/>
          <w:vertAlign w:val="baseline"/>
        </w:rPr>
        <w:t> </w:t>
      </w:r>
      <w:r>
        <w:rPr>
          <w:vertAlign w:val="baseline"/>
        </w:rPr>
        <w:t>ndotjes nga SharrCem-i,</w:t>
      </w:r>
      <w:r>
        <w:rPr>
          <w:spacing w:val="1"/>
          <w:vertAlign w:val="baseline"/>
        </w:rPr>
        <w:t> </w:t>
      </w:r>
      <w:r>
        <w:rPr>
          <w:vertAlign w:val="baseline"/>
        </w:rPr>
        <w:t>ngrohjes me masë drusore, qarkullimit të dendur të automjeteve si dhe kushteve të pafavorshme</w:t>
      </w:r>
      <w:r>
        <w:rPr>
          <w:spacing w:val="1"/>
          <w:vertAlign w:val="baseline"/>
        </w:rPr>
        <w:t> </w:t>
      </w:r>
      <w:r>
        <w:rPr>
          <w:position w:val="2"/>
          <w:vertAlign w:val="baseline"/>
        </w:rPr>
        <w:t>meteorologjike. Përndryshe vlerat mesatare vjetore të SO</w:t>
      </w:r>
      <w:r>
        <w:rPr>
          <w:sz w:val="16"/>
          <w:vertAlign w:val="baseline"/>
        </w:rPr>
        <w:t>2,</w:t>
      </w:r>
      <w:r>
        <w:rPr>
          <w:spacing w:val="40"/>
          <w:sz w:val="16"/>
          <w:vertAlign w:val="baseline"/>
        </w:rPr>
        <w:t> </w:t>
      </w:r>
      <w:r>
        <w:rPr>
          <w:position w:val="2"/>
          <w:vertAlign w:val="baseline"/>
        </w:rPr>
        <w:t>CO, NO</w:t>
      </w:r>
      <w:r>
        <w:rPr>
          <w:sz w:val="16"/>
          <w:vertAlign w:val="baseline"/>
        </w:rPr>
        <w:t>2 ,</w:t>
      </w:r>
      <w:r>
        <w:rPr>
          <w:spacing w:val="40"/>
          <w:sz w:val="16"/>
          <w:vertAlign w:val="baseline"/>
        </w:rPr>
        <w:t> </w:t>
      </w:r>
      <w:r>
        <w:rPr>
          <w:position w:val="2"/>
          <w:vertAlign w:val="baseline"/>
        </w:rPr>
        <w:t>O</w:t>
      </w:r>
      <w:r>
        <w:rPr>
          <w:sz w:val="16"/>
          <w:vertAlign w:val="baseline"/>
        </w:rPr>
        <w:t>3, </w:t>
      </w:r>
      <w:r>
        <w:rPr>
          <w:position w:val="2"/>
          <w:vertAlign w:val="baseline"/>
        </w:rPr>
        <w:t>PM</w:t>
      </w:r>
      <w:r>
        <w:rPr>
          <w:sz w:val="16"/>
          <w:vertAlign w:val="baseline"/>
        </w:rPr>
        <w:t>2.5 </w:t>
      </w:r>
      <w:r>
        <w:rPr>
          <w:position w:val="2"/>
          <w:vertAlign w:val="baseline"/>
        </w:rPr>
        <w:t>dhe PM</w:t>
      </w:r>
      <w:r>
        <w:rPr>
          <w:sz w:val="16"/>
          <w:vertAlign w:val="baseline"/>
        </w:rPr>
        <w:t>10</w:t>
      </w:r>
      <w:r>
        <w:rPr>
          <w:spacing w:val="41"/>
          <w:sz w:val="16"/>
          <w:vertAlign w:val="baseline"/>
        </w:rPr>
        <w:t> </w:t>
      </w:r>
      <w:r>
        <w:rPr>
          <w:position w:val="2"/>
          <w:vertAlign w:val="baseline"/>
        </w:rPr>
        <w:t>për</w:t>
      </w:r>
      <w:r>
        <w:rPr>
          <w:spacing w:val="1"/>
          <w:position w:val="2"/>
          <w:vertAlign w:val="baseline"/>
        </w:rPr>
        <w:t> </w:t>
      </w:r>
      <w:r>
        <w:rPr>
          <w:vertAlign w:val="baseline"/>
        </w:rPr>
        <w:t>vitin</w:t>
      </w:r>
      <w:r>
        <w:rPr>
          <w:spacing w:val="-1"/>
          <w:vertAlign w:val="baseline"/>
        </w:rPr>
        <w:t> </w:t>
      </w:r>
      <w:r>
        <w:rPr>
          <w:vertAlign w:val="baseline"/>
        </w:rPr>
        <w:t>2022 kanë</w:t>
      </w:r>
      <w:r>
        <w:rPr>
          <w:spacing w:val="-1"/>
          <w:vertAlign w:val="baseline"/>
        </w:rPr>
        <w:t> </w:t>
      </w:r>
      <w:r>
        <w:rPr>
          <w:vertAlign w:val="baseline"/>
        </w:rPr>
        <w:t>qenë</w:t>
      </w:r>
      <w:r>
        <w:rPr>
          <w:spacing w:val="-1"/>
          <w:vertAlign w:val="baseline"/>
        </w:rPr>
        <w:t> </w:t>
      </w:r>
      <w:r>
        <w:rPr>
          <w:vertAlign w:val="baseline"/>
        </w:rPr>
        <w:t>në</w:t>
      </w:r>
      <w:r>
        <w:rPr>
          <w:spacing w:val="1"/>
          <w:vertAlign w:val="baseline"/>
        </w:rPr>
        <w:t> </w:t>
      </w:r>
      <w:r>
        <w:rPr>
          <w:vertAlign w:val="baseline"/>
        </w:rPr>
        <w:t>vlerat normale kufitare</w:t>
      </w:r>
      <w:r>
        <w:rPr>
          <w:spacing w:val="-2"/>
          <w:vertAlign w:val="baseline"/>
        </w:rPr>
        <w:t> </w:t>
      </w:r>
      <w:r>
        <w:rPr>
          <w:vertAlign w:val="baseline"/>
        </w:rPr>
        <w:t>të</w:t>
      </w:r>
      <w:r>
        <w:rPr>
          <w:spacing w:val="1"/>
          <w:vertAlign w:val="baseline"/>
        </w:rPr>
        <w:t> </w:t>
      </w:r>
      <w:r>
        <w:rPr>
          <w:vertAlign w:val="baseline"/>
        </w:rPr>
        <w:t>lejuara</w:t>
      </w:r>
      <w:r>
        <w:rPr>
          <w:spacing w:val="-2"/>
          <w:vertAlign w:val="baseline"/>
        </w:rPr>
        <w:t> </w:t>
      </w:r>
      <w:r>
        <w:rPr>
          <w:vertAlign w:val="baseline"/>
        </w:rPr>
        <w:t>me</w:t>
      </w:r>
      <w:r>
        <w:rPr>
          <w:spacing w:val="-1"/>
          <w:vertAlign w:val="baseline"/>
        </w:rPr>
        <w:t> </w:t>
      </w:r>
      <w:r>
        <w:rPr>
          <w:vertAlign w:val="baseline"/>
        </w:rPr>
        <w:t>U/A nr.02/2011.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pStyle w:val="BodyText"/>
        <w:spacing w:before="56"/>
        <w:ind w:right="1296"/>
        <w:jc w:val="right"/>
      </w:pPr>
      <w:r>
        <w:rPr>
          <w:w w:val="100"/>
        </w:rPr>
        <w:t>4</w:t>
      </w:r>
    </w:p>
    <w:p>
      <w:pPr>
        <w:spacing w:after="0"/>
        <w:jc w:val="right"/>
        <w:sectPr>
          <w:pgSz w:w="12240" w:h="15840"/>
          <w:pgMar w:top="1360" w:bottom="280" w:left="200" w:right="140"/>
        </w:sectPr>
      </w:pPr>
    </w:p>
    <w:p>
      <w:pPr>
        <w:pStyle w:val="Heading5"/>
        <w:spacing w:before="79"/>
        <w:ind w:left="4915"/>
      </w:pPr>
      <w:r>
        <w:rPr>
          <w:u w:val="thick" w:color="00AF50"/>
        </w:rPr>
        <w:t>NDOTJA</w:t>
      </w:r>
      <w:r>
        <w:rPr>
          <w:spacing w:val="-1"/>
          <w:u w:val="thick" w:color="00AF50"/>
        </w:rPr>
        <w:t> </w:t>
      </w:r>
      <w:r>
        <w:rPr>
          <w:u w:val="thick" w:color="00AF50"/>
        </w:rPr>
        <w:t>E</w:t>
      </w:r>
      <w:r>
        <w:rPr>
          <w:spacing w:val="-1"/>
          <w:u w:val="thick" w:color="00AF50"/>
        </w:rPr>
        <w:t> </w:t>
      </w:r>
      <w:r>
        <w:rPr>
          <w:u w:val="thick" w:color="00AF50"/>
        </w:rPr>
        <w:t>TOKËS</w:t>
      </w:r>
      <w:r>
        <w:rPr>
          <w:spacing w:val="-1"/>
          <w:u w:val="thick" w:color="00AF50"/>
        </w:rPr>
        <w:t> </w:t>
      </w:r>
      <w:r>
        <w:rPr>
          <w:u w:val="thick" w:color="00AF50"/>
        </w:rPr>
        <w:t>dhe</w:t>
      </w:r>
      <w:r>
        <w:rPr>
          <w:spacing w:val="-2"/>
          <w:u w:val="thick" w:color="00AF50"/>
        </w:rPr>
        <w:t> </w:t>
      </w:r>
      <w:r>
        <w:rPr>
          <w:u w:val="thick" w:color="00AF50"/>
        </w:rPr>
        <w:t>UJIT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8"/>
        <w:rPr>
          <w:rFonts w:ascii="Times New Roman"/>
          <w:b/>
          <w:sz w:val="17"/>
        </w:rPr>
      </w:pPr>
    </w:p>
    <w:p>
      <w:pPr>
        <w:pStyle w:val="Heading6"/>
        <w:spacing w:line="276" w:lineRule="auto" w:before="90"/>
        <w:ind w:right="1297" w:firstLine="719"/>
        <w:jc w:val="both"/>
      </w:pPr>
      <w:r>
        <w:rPr/>
        <w:t>Për sa i përket ndotjes së tokës dhe ujit, nuk ka ndryshime thelbësore në raport me vitin</w:t>
      </w:r>
      <w:r>
        <w:rPr>
          <w:spacing w:val="1"/>
        </w:rPr>
        <w:t> </w:t>
      </w:r>
      <w:r>
        <w:rPr/>
        <w:t>2021. Edhe më tutje teritori i Hanit të Elezit (toka) është e kontaminuar nga ndotja afatgjate si</w:t>
      </w:r>
      <w:r>
        <w:rPr>
          <w:spacing w:val="1"/>
        </w:rPr>
        <w:t> </w:t>
      </w:r>
      <w:r>
        <w:rPr/>
        <w:t>rezultat i emetimit të pluhurit dhe substancave tjera të dëmshme nga fabrika e çimentos për më</w:t>
      </w:r>
      <w:r>
        <w:rPr>
          <w:spacing w:val="1"/>
        </w:rPr>
        <w:t> </w:t>
      </w:r>
      <w:r>
        <w:rPr/>
        <w:t>shumë</w:t>
      </w:r>
      <w:r>
        <w:rPr>
          <w:spacing w:val="10"/>
        </w:rPr>
        <w:t> </w:t>
      </w:r>
      <w:r>
        <w:rPr/>
        <w:t>se</w:t>
      </w:r>
      <w:r>
        <w:rPr>
          <w:spacing w:val="11"/>
        </w:rPr>
        <w:t> </w:t>
      </w:r>
      <w:r>
        <w:rPr/>
        <w:t>tetë</w:t>
      </w:r>
      <w:r>
        <w:rPr>
          <w:spacing w:val="11"/>
        </w:rPr>
        <w:t> </w:t>
      </w:r>
      <w:r>
        <w:rPr/>
        <w:t>dekada</w:t>
      </w:r>
      <w:r>
        <w:rPr>
          <w:spacing w:val="9"/>
        </w:rPr>
        <w:t> </w:t>
      </w:r>
      <w:r>
        <w:rPr/>
        <w:t>të</w:t>
      </w:r>
      <w:r>
        <w:rPr>
          <w:spacing w:val="13"/>
        </w:rPr>
        <w:t> </w:t>
      </w:r>
      <w:r>
        <w:rPr/>
        <w:t>funksionimit</w:t>
      </w:r>
      <w:r>
        <w:rPr>
          <w:spacing w:val="12"/>
        </w:rPr>
        <w:t> </w:t>
      </w:r>
      <w:r>
        <w:rPr/>
        <w:t>të</w:t>
      </w:r>
      <w:r>
        <w:rPr>
          <w:spacing w:val="10"/>
        </w:rPr>
        <w:t> </w:t>
      </w:r>
      <w:r>
        <w:rPr/>
        <w:t>saj.</w:t>
      </w:r>
      <w:r>
        <w:rPr>
          <w:spacing w:val="12"/>
        </w:rPr>
        <w:t> </w:t>
      </w:r>
      <w:r>
        <w:rPr/>
        <w:t>Edhe</w:t>
      </w:r>
      <w:r>
        <w:rPr>
          <w:spacing w:val="8"/>
        </w:rPr>
        <w:t> </w:t>
      </w:r>
      <w:r>
        <w:rPr/>
        <w:t>më</w:t>
      </w:r>
      <w:r>
        <w:rPr>
          <w:spacing w:val="10"/>
        </w:rPr>
        <w:t> </w:t>
      </w:r>
      <w:r>
        <w:rPr/>
        <w:t>shumë</w:t>
      </w:r>
      <w:r>
        <w:rPr>
          <w:spacing w:val="11"/>
        </w:rPr>
        <w:t> </w:t>
      </w:r>
      <w:r>
        <w:rPr/>
        <w:t>të</w:t>
      </w:r>
      <w:r>
        <w:rPr>
          <w:spacing w:val="11"/>
        </w:rPr>
        <w:t> </w:t>
      </w:r>
      <w:r>
        <w:rPr/>
        <w:t>dëmshme</w:t>
      </w:r>
      <w:r>
        <w:rPr>
          <w:spacing w:val="9"/>
        </w:rPr>
        <w:t> </w:t>
      </w:r>
      <w:r>
        <w:rPr/>
        <w:t>janë</w:t>
      </w:r>
      <w:r>
        <w:rPr>
          <w:spacing w:val="11"/>
        </w:rPr>
        <w:t> </w:t>
      </w:r>
      <w:r>
        <w:rPr/>
        <w:t>mbetjet</w:t>
      </w:r>
      <w:r>
        <w:rPr>
          <w:spacing w:val="11"/>
        </w:rPr>
        <w:t> </w:t>
      </w:r>
      <w:r>
        <w:rPr/>
        <w:t>e</w:t>
      </w:r>
      <w:r>
        <w:rPr>
          <w:spacing w:val="9"/>
        </w:rPr>
        <w:t> </w:t>
      </w:r>
      <w:r>
        <w:rPr/>
        <w:t>azbestit</w:t>
      </w:r>
      <w:r>
        <w:rPr>
          <w:spacing w:val="-57"/>
        </w:rPr>
        <w:t> </w:t>
      </w:r>
      <w:r>
        <w:rPr/>
        <w:t>të përhapura gjithëandej Hanit të Elezit e më së shumti në brigjet e lumit Lepenc, si rezultat i</w:t>
      </w:r>
      <w:r>
        <w:rPr>
          <w:spacing w:val="1"/>
        </w:rPr>
        <w:t> </w:t>
      </w:r>
      <w:r>
        <w:rPr/>
        <w:t>operimit</w:t>
      </w:r>
      <w:r>
        <w:rPr>
          <w:spacing w:val="-1"/>
        </w:rPr>
        <w:t> </w:t>
      </w:r>
      <w:r>
        <w:rPr/>
        <w:t>të</w:t>
      </w:r>
      <w:r>
        <w:rPr>
          <w:spacing w:val="-1"/>
        </w:rPr>
        <w:t> </w:t>
      </w:r>
      <w:r>
        <w:rPr/>
        <w:t>Sharr-Sallonitit në</w:t>
      </w:r>
      <w:r>
        <w:rPr>
          <w:spacing w:val="-1"/>
        </w:rPr>
        <w:t> </w:t>
      </w:r>
      <w:r>
        <w:rPr/>
        <w:t>vitet e tetëdhjeta</w:t>
      </w:r>
      <w:r>
        <w:rPr>
          <w:spacing w:val="-1"/>
        </w:rPr>
        <w:t> </w:t>
      </w:r>
      <w:r>
        <w:rPr/>
        <w:t>dhe</w:t>
      </w:r>
      <w:r>
        <w:rPr>
          <w:spacing w:val="-2"/>
        </w:rPr>
        <w:t> </w:t>
      </w:r>
      <w:r>
        <w:rPr/>
        <w:t>nëntëdhjeta.</w:t>
      </w:r>
    </w:p>
    <w:p>
      <w:pPr>
        <w:spacing w:line="276" w:lineRule="auto" w:before="201"/>
        <w:ind w:left="1240" w:right="1297" w:firstLine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Për sa i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përket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ndotjes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së ujit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edhe më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tutje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shqetësuese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është ndotja 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lumit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Lepenc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nga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mbeturinat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patrajtuara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të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sistemit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të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ujrave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të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zeza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kombinuar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me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ndotjen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kimike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nga</w:t>
      </w:r>
      <w:r>
        <w:rPr>
          <w:rFonts w:ascii="Times New Roman" w:hAnsi="Times New Roman"/>
          <w:spacing w:val="-57"/>
          <w:sz w:val="24"/>
        </w:rPr>
        <w:t> </w:t>
      </w:r>
      <w:r>
        <w:rPr>
          <w:rFonts w:ascii="Times New Roman" w:hAnsi="Times New Roman"/>
          <w:sz w:val="24"/>
        </w:rPr>
        <w:t>industritë   në këtë regjion. Përndryshe ndotja e lumit Lepenc renditet në kategorinë dy dhe tre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nga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katër kategoritë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klasifikimit.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10"/>
        <w:rPr>
          <w:rFonts w:ascii="Times New Roman"/>
          <w:sz w:val="36"/>
        </w:rPr>
      </w:pPr>
    </w:p>
    <w:p>
      <w:pPr>
        <w:pStyle w:val="Heading5"/>
        <w:ind w:right="135"/>
        <w:jc w:val="center"/>
      </w:pPr>
      <w:r>
        <w:rPr>
          <w:u w:val="thick" w:color="C00000"/>
        </w:rPr>
        <w:t>SEKTORI</w:t>
      </w:r>
      <w:r>
        <w:rPr>
          <w:spacing w:val="-2"/>
          <w:u w:val="thick" w:color="C00000"/>
        </w:rPr>
        <w:t> </w:t>
      </w:r>
      <w:r>
        <w:rPr>
          <w:u w:val="thick" w:color="C00000"/>
        </w:rPr>
        <w:t>I</w:t>
      </w:r>
      <w:r>
        <w:rPr>
          <w:spacing w:val="-2"/>
          <w:u w:val="thick" w:color="C00000"/>
        </w:rPr>
        <w:t> </w:t>
      </w:r>
      <w:r>
        <w:rPr>
          <w:u w:val="thick" w:color="C00000"/>
        </w:rPr>
        <w:t>MJEDISIT</w:t>
      </w:r>
    </w:p>
    <w:p>
      <w:pPr>
        <w:pStyle w:val="BodyText"/>
        <w:spacing w:before="5"/>
        <w:rPr>
          <w:rFonts w:ascii="Times New Roman"/>
          <w:b/>
          <w:sz w:val="16"/>
        </w:rPr>
      </w:pPr>
    </w:p>
    <w:p>
      <w:pPr>
        <w:pStyle w:val="Heading6"/>
        <w:spacing w:line="276" w:lineRule="auto" w:before="52"/>
        <w:ind w:right="1294"/>
        <w:jc w:val="both"/>
      </w:pPr>
      <w:r>
        <w:rPr>
          <w:rFonts w:ascii="Calibri" w:hAnsi="Calibri"/>
        </w:rPr>
        <w:t>Në fushën e mbrojtjes së mjedisit janë bërë inspektime të rregullta nga inspektorja e mjedisit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dhe aty ku është parë e arsyeshme janë bërë vërejtje me gojë si dhe një gjobë mandatore.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Sektori i Mjedisit në vazhdimësi ka monitoruar ndotjen nga “Sharrcem” ku me shkresë zyrtare i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jemi drejtuar “Sharrcem”-it me ç’rast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kemi shprehë paknaqësitë tona dhe të qytetarëve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lidhur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me ndotjen e ajrit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ku kemi kërkuar që të marrin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masa për parandalimin e ndotjes së ajrit si dhe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kemi njoftuar Inspektorët</w:t>
      </w:r>
      <w:r>
        <w:rPr>
          <w:rFonts w:ascii="Calibri" w:hAnsi="Calibri"/>
          <w:spacing w:val="54"/>
        </w:rPr>
        <w:t> </w:t>
      </w:r>
      <w:r>
        <w:rPr>
          <w:rFonts w:ascii="Calibri" w:hAnsi="Calibri"/>
        </w:rPr>
        <w:t>e MMPHI-së dhe kemi inspektuar së bashku .</w:t>
      </w:r>
      <w:r>
        <w:rPr/>
        <w:t>Sektori i Mjedisit ka</w:t>
      </w:r>
      <w:r>
        <w:rPr>
          <w:spacing w:val="1"/>
        </w:rPr>
        <w:t> </w:t>
      </w:r>
      <w:r>
        <w:rPr/>
        <w:t>bërë identifikimin</w:t>
      </w:r>
      <w:r>
        <w:rPr>
          <w:spacing w:val="1"/>
        </w:rPr>
        <w:t> </w:t>
      </w:r>
      <w:r>
        <w:rPr/>
        <w:t>e deponive ilegale dhe në bashkëpunim me kompaninë “Pastrimi” është bërë</w:t>
      </w:r>
      <w:r>
        <w:rPr>
          <w:spacing w:val="1"/>
        </w:rPr>
        <w:t> </w:t>
      </w:r>
      <w:r>
        <w:rPr/>
        <w:t>pastrimi dhe eleminimi i tyre.Po ashtu me një aksion për pastrim të organizuar nga Komuna kemi</w:t>
      </w:r>
      <w:r>
        <w:rPr>
          <w:spacing w:val="-57"/>
        </w:rPr>
        <w:t> </w:t>
      </w:r>
      <w:r>
        <w:rPr/>
        <w:t>shënuar dhe Ditën Ndërkombtare të Tokës.Në periudhën raportuese sektori i mjedisit ka lëshuar</w:t>
      </w:r>
      <w:r>
        <w:rPr>
          <w:spacing w:val="1"/>
        </w:rPr>
        <w:t> </w:t>
      </w:r>
      <w:r>
        <w:rPr/>
        <w:t>dy</w:t>
      </w:r>
      <w:r>
        <w:rPr>
          <w:spacing w:val="-4"/>
        </w:rPr>
        <w:t> </w:t>
      </w:r>
      <w:r>
        <w:rPr/>
        <w:t>Leje</w:t>
      </w:r>
      <w:r>
        <w:rPr>
          <w:spacing w:val="-1"/>
        </w:rPr>
        <w:t> </w:t>
      </w:r>
      <w:r>
        <w:rPr/>
        <w:t>Mjedisore</w:t>
      </w:r>
      <w:r>
        <w:rPr>
          <w:spacing w:val="-3"/>
        </w:rPr>
        <w:t> </w:t>
      </w:r>
      <w:r>
        <w:rPr/>
        <w:t>Komunale, prej të cilave</w:t>
      </w:r>
      <w:r>
        <w:rPr>
          <w:spacing w:val="-1"/>
        </w:rPr>
        <w:t> </w:t>
      </w:r>
      <w:r>
        <w:rPr/>
        <w:t>njera</w:t>
      </w:r>
      <w:r>
        <w:rPr>
          <w:spacing w:val="4"/>
        </w:rPr>
        <w:t> </w:t>
      </w:r>
      <w:r>
        <w:rPr/>
        <w:t>ndërlidhet</w:t>
      </w:r>
      <w:r>
        <w:rPr>
          <w:spacing w:val="-1"/>
        </w:rPr>
        <w:t> </w:t>
      </w:r>
      <w:r>
        <w:rPr/>
        <w:t>me</w:t>
      </w:r>
      <w:r>
        <w:rPr>
          <w:spacing w:val="-1"/>
        </w:rPr>
        <w:t> </w:t>
      </w:r>
      <w:r>
        <w:rPr/>
        <w:t>një</w:t>
      </w:r>
      <w:r>
        <w:rPr>
          <w:spacing w:val="-1"/>
        </w:rPr>
        <w:t> </w:t>
      </w:r>
      <w:r>
        <w:rPr/>
        <w:t>ndërtim të</w:t>
      </w:r>
      <w:r>
        <w:rPr>
          <w:spacing w:val="-1"/>
        </w:rPr>
        <w:t> </w:t>
      </w:r>
      <w:r>
        <w:rPr/>
        <w:t>kategorisë I.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10"/>
        <w:rPr>
          <w:rFonts w:ascii="Times New Roman"/>
          <w:sz w:val="35"/>
        </w:rPr>
      </w:pPr>
    </w:p>
    <w:p>
      <w:pPr>
        <w:spacing w:before="0"/>
        <w:ind w:left="1240" w:right="0" w:firstLine="0"/>
        <w:jc w:val="lef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>Pjesë</w:t>
      </w:r>
      <w:r>
        <w:rPr>
          <w:rFonts w:ascii="Times New Roman" w:hAnsi="Times New Roman"/>
          <w:i/>
          <w:spacing w:val="-1"/>
          <w:sz w:val="24"/>
        </w:rPr>
        <w:t> </w:t>
      </w:r>
      <w:r>
        <w:rPr>
          <w:rFonts w:ascii="Times New Roman" w:hAnsi="Times New Roman"/>
          <w:i/>
          <w:sz w:val="24"/>
        </w:rPr>
        <w:t>e</w:t>
      </w:r>
      <w:r>
        <w:rPr>
          <w:rFonts w:ascii="Times New Roman" w:hAnsi="Times New Roman"/>
          <w:i/>
          <w:spacing w:val="-1"/>
          <w:sz w:val="24"/>
        </w:rPr>
        <w:t> </w:t>
      </w:r>
      <w:r>
        <w:rPr>
          <w:rFonts w:ascii="Times New Roman" w:hAnsi="Times New Roman"/>
          <w:i/>
          <w:sz w:val="24"/>
        </w:rPr>
        <w:t>kësaj informate</w:t>
      </w:r>
      <w:r>
        <w:rPr>
          <w:rFonts w:ascii="Times New Roman" w:hAnsi="Times New Roman"/>
          <w:i/>
          <w:spacing w:val="-1"/>
          <w:sz w:val="24"/>
        </w:rPr>
        <w:t> </w:t>
      </w:r>
      <w:r>
        <w:rPr>
          <w:rFonts w:ascii="Times New Roman" w:hAnsi="Times New Roman"/>
          <w:i/>
          <w:sz w:val="24"/>
        </w:rPr>
        <w:t>është dhe</w:t>
      </w:r>
      <w:r>
        <w:rPr>
          <w:rFonts w:ascii="Times New Roman" w:hAnsi="Times New Roman"/>
          <w:i/>
          <w:spacing w:val="-2"/>
          <w:sz w:val="24"/>
        </w:rPr>
        <w:t> </w:t>
      </w:r>
      <w:r>
        <w:rPr>
          <w:rFonts w:ascii="Times New Roman" w:hAnsi="Times New Roman"/>
          <w:i/>
          <w:sz w:val="24"/>
        </w:rPr>
        <w:t>raprti i SharrCem.</w:t>
      </w:r>
    </w:p>
    <w:p>
      <w:pPr>
        <w:pStyle w:val="BodyText"/>
        <w:spacing w:before="1"/>
        <w:rPr>
          <w:rFonts w:ascii="Times New Roman"/>
          <w:i/>
          <w:sz w:val="21"/>
        </w:rPr>
      </w:pPr>
    </w:p>
    <w:p>
      <w:pPr>
        <w:spacing w:line="276" w:lineRule="auto" w:before="0"/>
        <w:ind w:left="1240" w:right="1299" w:firstLine="6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sz w:val="22"/>
        </w:rPr>
        <w:t>Kjo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informatë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është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përpiluar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nga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drejtori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i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Drejtorisë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së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Urbanizmit,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Kadastrit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dhe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Mbrojtjes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së</w:t>
      </w:r>
      <w:r>
        <w:rPr>
          <w:rFonts w:ascii="Times New Roman" w:hAnsi="Times New Roman"/>
          <w:i/>
          <w:spacing w:val="-52"/>
          <w:sz w:val="22"/>
        </w:rPr>
        <w:t> </w:t>
      </w:r>
      <w:r>
        <w:rPr>
          <w:rFonts w:ascii="Times New Roman" w:hAnsi="Times New Roman"/>
          <w:i/>
          <w:sz w:val="22"/>
        </w:rPr>
        <w:t>Mjedisit,</w:t>
      </w:r>
      <w:r>
        <w:rPr>
          <w:rFonts w:ascii="Times New Roman" w:hAnsi="Times New Roman"/>
          <w:i/>
          <w:spacing w:val="-1"/>
          <w:sz w:val="22"/>
        </w:rPr>
        <w:t> </w:t>
      </w:r>
      <w:r>
        <w:rPr>
          <w:rFonts w:ascii="Times New Roman" w:hAnsi="Times New Roman"/>
          <w:i/>
          <w:sz w:val="22"/>
        </w:rPr>
        <w:t>i</w:t>
      </w:r>
      <w:r>
        <w:rPr>
          <w:rFonts w:ascii="Times New Roman" w:hAnsi="Times New Roman"/>
          <w:i/>
          <w:spacing w:val="1"/>
          <w:sz w:val="22"/>
        </w:rPr>
        <w:t> </w:t>
      </w:r>
      <w:r>
        <w:rPr>
          <w:rFonts w:ascii="Times New Roman" w:hAnsi="Times New Roman"/>
          <w:i/>
          <w:sz w:val="22"/>
        </w:rPr>
        <w:t>ndihmuar nga</w:t>
      </w:r>
      <w:r>
        <w:rPr>
          <w:rFonts w:ascii="Times New Roman" w:hAnsi="Times New Roman"/>
          <w:i/>
          <w:spacing w:val="-2"/>
          <w:sz w:val="22"/>
        </w:rPr>
        <w:t> </w:t>
      </w:r>
      <w:r>
        <w:rPr>
          <w:rFonts w:ascii="Times New Roman" w:hAnsi="Times New Roman"/>
          <w:i/>
          <w:sz w:val="22"/>
        </w:rPr>
        <w:t>zyrtarja për</w:t>
      </w:r>
      <w:r>
        <w:rPr>
          <w:rFonts w:ascii="Times New Roman" w:hAnsi="Times New Roman"/>
          <w:i/>
          <w:spacing w:val="-2"/>
          <w:sz w:val="22"/>
        </w:rPr>
        <w:t> </w:t>
      </w:r>
      <w:r>
        <w:rPr>
          <w:rFonts w:ascii="Times New Roman" w:hAnsi="Times New Roman"/>
          <w:i/>
          <w:sz w:val="22"/>
        </w:rPr>
        <w:t>Mjedis</w:t>
      </w:r>
      <w:r>
        <w:rPr>
          <w:rFonts w:ascii="Times New Roman" w:hAnsi="Times New Roman"/>
          <w:i/>
          <w:spacing w:val="-2"/>
          <w:sz w:val="22"/>
        </w:rPr>
        <w:t> </w:t>
      </w:r>
      <w:r>
        <w:rPr>
          <w:rFonts w:ascii="Times New Roman" w:hAnsi="Times New Roman"/>
          <w:i/>
          <w:sz w:val="22"/>
        </w:rPr>
        <w:t>Fatbardha Bushi.</w:t>
      </w:r>
    </w:p>
    <w:p>
      <w:pPr>
        <w:pStyle w:val="BodyText"/>
        <w:rPr>
          <w:rFonts w:ascii="Times New Roman"/>
          <w:i/>
          <w:sz w:val="24"/>
        </w:rPr>
      </w:pPr>
    </w:p>
    <w:p>
      <w:pPr>
        <w:pStyle w:val="BodyText"/>
        <w:rPr>
          <w:rFonts w:ascii="Times New Roman"/>
          <w:i/>
          <w:sz w:val="24"/>
        </w:rPr>
      </w:pPr>
    </w:p>
    <w:p>
      <w:pPr>
        <w:pStyle w:val="BodyText"/>
        <w:spacing w:before="7"/>
        <w:rPr>
          <w:rFonts w:ascii="Times New Roman"/>
          <w:i/>
          <w:sz w:val="24"/>
        </w:rPr>
      </w:pPr>
    </w:p>
    <w:p>
      <w:pPr>
        <w:pStyle w:val="Heading6"/>
        <w:tabs>
          <w:tab w:pos="7733" w:val="left" w:leader="none"/>
        </w:tabs>
        <w:ind w:left="1300"/>
      </w:pPr>
      <w:r>
        <w:rPr/>
        <w:t>Hani</w:t>
      </w:r>
      <w:r>
        <w:rPr>
          <w:spacing w:val="-1"/>
        </w:rPr>
        <w:t> </w:t>
      </w:r>
      <w:r>
        <w:rPr/>
        <w:t>i Elezit</w:t>
        <w:tab/>
        <w:t>Drejtori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DUKMM</w:t>
      </w:r>
    </w:p>
    <w:p>
      <w:pPr>
        <w:tabs>
          <w:tab w:pos="7868" w:val="left" w:leader="none"/>
        </w:tabs>
        <w:spacing w:before="43"/>
        <w:ind w:left="1360" w:right="0" w:firstLine="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Maj,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2023</w:t>
        <w:tab/>
        <w:t>Nexhmedin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Daci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9"/>
        </w:rPr>
      </w:pPr>
    </w:p>
    <w:p>
      <w:pPr>
        <w:pStyle w:val="BodyText"/>
        <w:spacing w:before="56"/>
        <w:ind w:right="1296"/>
        <w:jc w:val="right"/>
      </w:pPr>
      <w:r>
        <w:rPr>
          <w:w w:val="100"/>
        </w:rPr>
        <w:t>5</w:t>
      </w:r>
    </w:p>
    <w:p>
      <w:pPr>
        <w:spacing w:after="0"/>
        <w:jc w:val="right"/>
        <w:sectPr>
          <w:pgSz w:w="12240" w:h="15840"/>
          <w:pgMar w:top="1360" w:bottom="280" w:left="200" w:right="14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596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85248"/>
            <wp:effectExtent l="0" t="0" r="0" b="0"/>
            <wp:wrapNone/>
            <wp:docPr id="41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2240" w:h="15840"/>
          <w:pgMar w:top="1500" w:bottom="280" w:left="200" w:right="1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20" w:bottom="280" w:left="200" w:right="140"/>
        </w:sectPr>
      </w:pPr>
    </w:p>
    <w:p>
      <w:pPr>
        <w:spacing w:before="262"/>
        <w:ind w:left="856" w:right="0" w:firstLine="0"/>
        <w:jc w:val="left"/>
        <w:rPr>
          <w:sz w:val="96"/>
        </w:rPr>
      </w:pPr>
      <w:r>
        <w:rPr>
          <w:sz w:val="96"/>
        </w:rPr>
        <w:t>2022</w:t>
      </w:r>
    </w:p>
    <w:p>
      <w:pPr>
        <w:spacing w:line="259" w:lineRule="auto" w:before="158"/>
        <w:ind w:left="856" w:right="1198" w:firstLine="0"/>
        <w:jc w:val="left"/>
        <w:rPr>
          <w:b/>
          <w:sz w:val="60"/>
        </w:rPr>
      </w:pPr>
      <w:r>
        <w:rPr/>
        <w:br w:type="column"/>
      </w:r>
      <w:r>
        <w:rPr>
          <w:b/>
          <w:sz w:val="60"/>
        </w:rPr>
        <w:t>RAPORTI VJETOR PËR</w:t>
      </w:r>
      <w:r>
        <w:rPr>
          <w:b/>
          <w:spacing w:val="-133"/>
          <w:sz w:val="60"/>
        </w:rPr>
        <w:t> </w:t>
      </w:r>
      <w:r>
        <w:rPr>
          <w:b/>
          <w:sz w:val="60"/>
        </w:rPr>
        <w:t>MJEDISIN</w:t>
      </w:r>
    </w:p>
    <w:p>
      <w:pPr>
        <w:spacing w:after="0" w:line="259" w:lineRule="auto"/>
        <w:jc w:val="left"/>
        <w:rPr>
          <w:sz w:val="60"/>
        </w:rPr>
        <w:sectPr>
          <w:type w:val="continuous"/>
          <w:pgSz w:w="12240" w:h="15840"/>
          <w:pgMar w:top="1500" w:bottom="280" w:left="200" w:right="140"/>
          <w:cols w:num="2" w:equalWidth="0">
            <w:col w:w="2845" w:space="1651"/>
            <w:col w:w="7404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-.440048pt;margin-top:.732632pt;width:558.450pt;height:452.05pt;mso-position-horizontal-relative:page;mso-position-vertical-relative:page;z-index:-17352192" coordorigin="-9,15" coordsize="11169,9041">
            <v:shape style="position:absolute;left:0;top:14;width:11160;height:6111" type="#_x0000_t75" stroked="false">
              <v:imagedata r:id="rId109" o:title=""/>
            </v:shape>
            <v:shape style="position:absolute;left:0;top:6164;width:4965;height:2881" type="#_x0000_t75" stroked="false">
              <v:imagedata r:id="rId110" o:title=""/>
            </v:shape>
            <v:shape style="position:absolute;left:1;top:6164;width:4964;height:2881" coordorigin="1,6164" coordsize="4964,2881" path="m1,6164l4965,6164,4245,9045,1,9045e" filled="false" stroked="true" strokeweight="1pt" strokecolor="#787878">
              <v:path arrowok="t"/>
              <v:stroke dashstyle="solid"/>
            </v:shape>
            <v:shape style="position:absolute;left:4288;top:6168;width:5237;height:2877" type="#_x0000_t75" stroked="false">
              <v:imagedata r:id="rId111" o:title=""/>
            </v:shape>
            <v:shape style="position:absolute;left:4288;top:6168;width:5237;height:2877" coordorigin="4288,6168" coordsize="5237,2877" path="m4288,9045l5007,6168,9525,6168,8806,9045,4288,9045xe" filled="false" stroked="true" strokeweight="1pt" strokecolor="#2e528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 w:after="1"/>
        <w:rPr>
          <w:b/>
        </w:rPr>
      </w:pPr>
    </w:p>
    <w:p>
      <w:pPr>
        <w:pStyle w:val="BodyText"/>
        <w:ind w:left="880"/>
        <w:rPr>
          <w:sz w:val="20"/>
        </w:rPr>
      </w:pPr>
      <w:r>
        <w:rPr>
          <w:sz w:val="20"/>
        </w:rPr>
        <w:drawing>
          <wp:inline distT="0" distB="0" distL="0" distR="0">
            <wp:extent cx="1748323" cy="440055"/>
            <wp:effectExtent l="0" t="0" r="0" b="0"/>
            <wp:docPr id="43" name="image108.png" descr="Shape, rectangle  Description automatically generate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323" cy="44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10"/>
        </w:rPr>
      </w:pPr>
    </w:p>
    <w:p>
      <w:pPr>
        <w:pStyle w:val="BodyText"/>
        <w:spacing w:before="56"/>
        <w:ind w:left="1240"/>
      </w:pPr>
      <w:r>
        <w:rPr>
          <w:w w:val="10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spacing w:before="1"/>
        <w:ind w:left="0" w:right="933" w:firstLine="0"/>
        <w:jc w:val="right"/>
        <w:rPr>
          <w:rFonts w:ascii="Lucida Sans Unicode"/>
          <w:sz w:val="14"/>
        </w:rPr>
      </w:pPr>
      <w:r>
        <w:rPr>
          <w:rFonts w:ascii="Lucida Sans Unicode"/>
          <w:color w:val="717A82"/>
          <w:sz w:val="14"/>
        </w:rPr>
        <w:t>Environmental</w:t>
      </w:r>
      <w:r>
        <w:rPr>
          <w:rFonts w:ascii="Lucida Sans Unicode"/>
          <w:color w:val="717A82"/>
          <w:spacing w:val="-1"/>
          <w:sz w:val="14"/>
        </w:rPr>
        <w:t> </w:t>
      </w:r>
      <w:r>
        <w:rPr>
          <w:rFonts w:ascii="Lucida Sans Unicode"/>
          <w:color w:val="717A82"/>
          <w:sz w:val="14"/>
        </w:rPr>
        <w:t>Annual Report</w:t>
      </w:r>
      <w:r>
        <w:rPr>
          <w:rFonts w:ascii="Lucida Sans Unicode"/>
          <w:color w:val="717A82"/>
          <w:spacing w:val="-3"/>
          <w:sz w:val="14"/>
        </w:rPr>
        <w:t> </w:t>
      </w:r>
      <w:r>
        <w:rPr>
          <w:rFonts w:ascii="Lucida Sans Unicode"/>
          <w:color w:val="717A82"/>
          <w:sz w:val="14"/>
        </w:rPr>
        <w:t>|</w:t>
      </w:r>
      <w:r>
        <w:rPr>
          <w:rFonts w:ascii="Lucida Sans Unicode"/>
          <w:color w:val="717A82"/>
          <w:spacing w:val="-2"/>
          <w:sz w:val="14"/>
        </w:rPr>
        <w:t> </w:t>
      </w:r>
      <w:r>
        <w:rPr>
          <w:rFonts w:ascii="Lucida Sans Unicode"/>
          <w:color w:val="717A82"/>
          <w:sz w:val="14"/>
        </w:rPr>
        <w:t>2022</w:t>
      </w:r>
    </w:p>
    <w:p>
      <w:pPr>
        <w:pStyle w:val="BodyText"/>
        <w:spacing w:line="20" w:lineRule="exact"/>
        <w:ind w:left="851"/>
        <w:rPr>
          <w:rFonts w:ascii="Lucida Sans Unicode"/>
          <w:sz w:val="2"/>
        </w:rPr>
      </w:pPr>
      <w:r>
        <w:rPr>
          <w:rFonts w:ascii="Lucida Sans Unicode"/>
          <w:sz w:val="2"/>
        </w:rPr>
        <w:pict>
          <v:group style="width:507pt;height:.5pt;mso-position-horizontal-relative:char;mso-position-vertical-relative:line" coordorigin="0,0" coordsize="10140,10">
            <v:rect style="position:absolute;left:0;top:0;width:10140;height:10" filled="true" fillcolor="#000000" stroked="false">
              <v:fill type="solid"/>
            </v:rect>
          </v:group>
        </w:pict>
      </w:r>
      <w:r>
        <w:rPr>
          <w:rFonts w:ascii="Lucida Sans Unicode"/>
          <w:sz w:val="2"/>
        </w:rPr>
      </w:r>
    </w:p>
    <w:p>
      <w:pPr>
        <w:spacing w:after="0" w:line="20" w:lineRule="exact"/>
        <w:rPr>
          <w:rFonts w:ascii="Lucida Sans Unicode"/>
          <w:sz w:val="2"/>
        </w:rPr>
        <w:sectPr>
          <w:type w:val="continuous"/>
          <w:pgSz w:w="12240" w:h="15840"/>
          <w:pgMar w:top="1500" w:bottom="280" w:left="200" w:right="140"/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spacing w:before="178"/>
        <w:ind w:left="78" w:right="149" w:firstLine="0"/>
        <w:jc w:val="center"/>
        <w:rPr>
          <w:b/>
          <w:sz w:val="44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7.099976pt;margin-top:-30.75271pt;width:82.15pt;height:69.75pt;mso-position-horizontal-relative:page;mso-position-vertical-relative:paragraph;z-index:15753216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1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color w:val="212A35"/>
          <w:w w:val="115"/>
          <w:sz w:val="44"/>
        </w:rPr>
        <w:t>Përgjegjësitë</w:t>
      </w:r>
      <w:r>
        <w:rPr>
          <w:b/>
          <w:color w:val="212A35"/>
          <w:spacing w:val="-5"/>
          <w:w w:val="115"/>
          <w:sz w:val="44"/>
        </w:rPr>
        <w:t> </w:t>
      </w:r>
      <w:r>
        <w:rPr>
          <w:b/>
          <w:color w:val="212A35"/>
          <w:w w:val="115"/>
          <w:sz w:val="44"/>
        </w:rPr>
        <w:t>Mjedisore</w:t>
      </w:r>
      <w:r>
        <w:rPr>
          <w:b/>
          <w:color w:val="212A35"/>
          <w:spacing w:val="-6"/>
          <w:w w:val="115"/>
          <w:sz w:val="44"/>
        </w:rPr>
        <w:t> </w:t>
      </w:r>
      <w:r>
        <w:rPr>
          <w:b/>
          <w:color w:val="212A35"/>
          <w:w w:val="115"/>
          <w:sz w:val="44"/>
        </w:rPr>
        <w:t>në</w:t>
      </w:r>
      <w:r>
        <w:rPr>
          <w:b/>
          <w:color w:val="212A35"/>
          <w:spacing w:val="-10"/>
          <w:w w:val="115"/>
          <w:sz w:val="44"/>
        </w:rPr>
        <w:t> </w:t>
      </w:r>
      <w:r>
        <w:rPr>
          <w:b/>
          <w:color w:val="212A35"/>
          <w:w w:val="115"/>
          <w:sz w:val="44"/>
        </w:rPr>
        <w:t>Sharrcem</w:t>
      </w:r>
    </w:p>
    <w:p>
      <w:pPr>
        <w:pStyle w:val="BodyText"/>
        <w:spacing w:line="276" w:lineRule="auto" w:before="201"/>
        <w:ind w:left="880" w:right="934"/>
        <w:jc w:val="both"/>
        <w:rPr>
          <w:sz w:val="20"/>
        </w:rPr>
      </w:pPr>
      <w:r>
        <w:rPr>
          <w:w w:val="115"/>
        </w:rPr>
        <w:t>Sharrcem-i</w:t>
      </w:r>
      <w:r>
        <w:rPr>
          <w:spacing w:val="-3"/>
          <w:w w:val="115"/>
        </w:rPr>
        <w:t> </w:t>
      </w:r>
      <w:r>
        <w:rPr>
          <w:w w:val="115"/>
        </w:rPr>
        <w:t>kujdeset</w:t>
      </w:r>
      <w:r>
        <w:rPr>
          <w:spacing w:val="-1"/>
          <w:w w:val="115"/>
        </w:rPr>
        <w:t> </w:t>
      </w:r>
      <w:r>
        <w:rPr>
          <w:w w:val="115"/>
        </w:rPr>
        <w:t>për</w:t>
      </w:r>
      <w:r>
        <w:rPr>
          <w:spacing w:val="-5"/>
          <w:w w:val="115"/>
        </w:rPr>
        <w:t> </w:t>
      </w:r>
      <w:r>
        <w:rPr>
          <w:w w:val="115"/>
        </w:rPr>
        <w:t>një</w:t>
      </w:r>
      <w:r>
        <w:rPr>
          <w:spacing w:val="-3"/>
          <w:w w:val="115"/>
        </w:rPr>
        <w:t> </w:t>
      </w:r>
      <w:r>
        <w:rPr>
          <w:w w:val="115"/>
        </w:rPr>
        <w:t>mjedis</w:t>
      </w:r>
      <w:r>
        <w:rPr>
          <w:spacing w:val="-5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pastër</w:t>
      </w:r>
      <w:r>
        <w:rPr>
          <w:spacing w:val="-5"/>
          <w:w w:val="115"/>
        </w:rPr>
        <w:t> </w:t>
      </w:r>
      <w:r>
        <w:rPr>
          <w:w w:val="115"/>
        </w:rPr>
        <w:t>dhe</w:t>
      </w:r>
      <w:r>
        <w:rPr>
          <w:spacing w:val="-3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shëndetshëm.</w:t>
      </w:r>
      <w:r>
        <w:rPr>
          <w:spacing w:val="-6"/>
          <w:w w:val="115"/>
        </w:rPr>
        <w:t> </w:t>
      </w:r>
      <w:r>
        <w:rPr>
          <w:w w:val="115"/>
        </w:rPr>
        <w:t>Për</w:t>
      </w:r>
      <w:r>
        <w:rPr>
          <w:spacing w:val="-3"/>
          <w:w w:val="115"/>
        </w:rPr>
        <w:t> </w:t>
      </w:r>
      <w:r>
        <w:rPr>
          <w:w w:val="115"/>
        </w:rPr>
        <w:t>t'i</w:t>
      </w:r>
      <w:r>
        <w:rPr>
          <w:spacing w:val="-2"/>
          <w:w w:val="115"/>
        </w:rPr>
        <w:t> </w:t>
      </w:r>
      <w:r>
        <w:rPr>
          <w:w w:val="115"/>
        </w:rPr>
        <w:t>shërbyer</w:t>
      </w:r>
      <w:r>
        <w:rPr>
          <w:spacing w:val="-7"/>
          <w:w w:val="115"/>
        </w:rPr>
        <w:t> </w:t>
      </w:r>
      <w:r>
        <w:rPr>
          <w:w w:val="115"/>
        </w:rPr>
        <w:t>më</w:t>
      </w:r>
      <w:r>
        <w:rPr>
          <w:spacing w:val="-3"/>
          <w:w w:val="115"/>
        </w:rPr>
        <w:t> </w:t>
      </w:r>
      <w:r>
        <w:rPr>
          <w:w w:val="115"/>
        </w:rPr>
        <w:t>së</w:t>
      </w:r>
      <w:r>
        <w:rPr>
          <w:spacing w:val="-3"/>
          <w:w w:val="115"/>
        </w:rPr>
        <w:t> </w:t>
      </w:r>
      <w:r>
        <w:rPr>
          <w:w w:val="115"/>
        </w:rPr>
        <w:t>mirë</w:t>
      </w:r>
      <w:r>
        <w:rPr>
          <w:spacing w:val="-3"/>
          <w:w w:val="115"/>
        </w:rPr>
        <w:t> </w:t>
      </w:r>
      <w:r>
        <w:rPr>
          <w:w w:val="115"/>
        </w:rPr>
        <w:t>këtij</w:t>
      </w:r>
      <w:r>
        <w:rPr>
          <w:spacing w:val="-54"/>
          <w:w w:val="115"/>
        </w:rPr>
        <w:t> </w:t>
      </w:r>
      <w:r>
        <w:rPr>
          <w:w w:val="115"/>
        </w:rPr>
        <w:t>qëllimi, Sharrcem-i gjithashtu kujdeset dhe investon në edukimin si dhe ruajtjen e një mjedisi të</w:t>
      </w:r>
      <w:r>
        <w:rPr>
          <w:spacing w:val="1"/>
          <w:w w:val="115"/>
        </w:rPr>
        <w:t> </w:t>
      </w:r>
      <w:r>
        <w:rPr>
          <w:w w:val="115"/>
        </w:rPr>
        <w:t>pastër, të sigurt dhe të qëndrueshëm. Si pjesë e punës sonë të përditshme ne përpiqemi që të</w:t>
      </w:r>
      <w:r>
        <w:rPr>
          <w:spacing w:val="1"/>
          <w:w w:val="115"/>
        </w:rPr>
        <w:t> </w:t>
      </w:r>
      <w:r>
        <w:rPr>
          <w:w w:val="115"/>
        </w:rPr>
        <w:t>ofrojmë dhe sigurojmë një menaxhim sa më efektiv të mjedisit, duke vepruar në përputhje me</w:t>
      </w:r>
      <w:r>
        <w:rPr>
          <w:spacing w:val="1"/>
          <w:w w:val="115"/>
        </w:rPr>
        <w:t> </w:t>
      </w:r>
      <w:r>
        <w:rPr>
          <w:w w:val="115"/>
        </w:rPr>
        <w:t>standardet</w:t>
      </w:r>
      <w:r>
        <w:rPr>
          <w:spacing w:val="1"/>
          <w:w w:val="115"/>
        </w:rPr>
        <w:t> </w:t>
      </w:r>
      <w:r>
        <w:rPr>
          <w:w w:val="115"/>
        </w:rPr>
        <w:t>mjedisore,</w:t>
      </w:r>
      <w:r>
        <w:rPr>
          <w:spacing w:val="1"/>
          <w:w w:val="115"/>
        </w:rPr>
        <w:t> </w:t>
      </w:r>
      <w:r>
        <w:rPr>
          <w:w w:val="115"/>
        </w:rPr>
        <w:t>duke</w:t>
      </w:r>
      <w:r>
        <w:rPr>
          <w:spacing w:val="1"/>
          <w:w w:val="115"/>
        </w:rPr>
        <w:t> </w:t>
      </w:r>
      <w:r>
        <w:rPr>
          <w:w w:val="115"/>
        </w:rPr>
        <w:t>minimizuar</w:t>
      </w:r>
      <w:r>
        <w:rPr>
          <w:spacing w:val="1"/>
          <w:w w:val="115"/>
        </w:rPr>
        <w:t> </w:t>
      </w:r>
      <w:r>
        <w:rPr>
          <w:w w:val="115"/>
        </w:rPr>
        <w:t>ndotjen</w:t>
      </w:r>
      <w:r>
        <w:rPr>
          <w:spacing w:val="1"/>
          <w:w w:val="115"/>
        </w:rPr>
        <w:t> </w:t>
      </w:r>
      <w:r>
        <w:rPr>
          <w:w w:val="115"/>
        </w:rPr>
        <w:t>dhe</w:t>
      </w:r>
      <w:r>
        <w:rPr>
          <w:spacing w:val="1"/>
          <w:w w:val="115"/>
        </w:rPr>
        <w:t> </w:t>
      </w:r>
      <w:r>
        <w:rPr>
          <w:w w:val="115"/>
        </w:rPr>
        <w:t>duke</w:t>
      </w:r>
      <w:r>
        <w:rPr>
          <w:spacing w:val="1"/>
          <w:w w:val="115"/>
        </w:rPr>
        <w:t> </w:t>
      </w:r>
      <w:r>
        <w:rPr>
          <w:w w:val="115"/>
        </w:rPr>
        <w:t>marrë</w:t>
      </w:r>
      <w:r>
        <w:rPr>
          <w:spacing w:val="1"/>
          <w:w w:val="115"/>
        </w:rPr>
        <w:t> </w:t>
      </w:r>
      <w:r>
        <w:rPr>
          <w:w w:val="115"/>
        </w:rPr>
        <w:t>masat</w:t>
      </w:r>
      <w:r>
        <w:rPr>
          <w:spacing w:val="1"/>
          <w:w w:val="115"/>
        </w:rPr>
        <w:t> </w:t>
      </w:r>
      <w:r>
        <w:rPr>
          <w:w w:val="115"/>
        </w:rPr>
        <w:t>e</w:t>
      </w:r>
      <w:r>
        <w:rPr>
          <w:spacing w:val="1"/>
          <w:w w:val="115"/>
        </w:rPr>
        <w:t> </w:t>
      </w:r>
      <w:r>
        <w:rPr>
          <w:w w:val="115"/>
        </w:rPr>
        <w:t>nevojshme</w:t>
      </w:r>
      <w:r>
        <w:rPr>
          <w:spacing w:val="1"/>
          <w:w w:val="115"/>
        </w:rPr>
        <w:t> </w:t>
      </w:r>
      <w:r>
        <w:rPr>
          <w:w w:val="115"/>
        </w:rPr>
        <w:t>në</w:t>
      </w:r>
      <w:r>
        <w:rPr>
          <w:spacing w:val="1"/>
          <w:w w:val="115"/>
        </w:rPr>
        <w:t> </w:t>
      </w:r>
      <w:r>
        <w:rPr>
          <w:w w:val="115"/>
        </w:rPr>
        <w:t>parandalimin e dëmtimit të mjedisit. Si pjesë e angazhimit të TITAN Group, duke "për të bërë më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pak</w:t>
      </w:r>
      <w:r>
        <w:rPr>
          <w:spacing w:val="-14"/>
          <w:w w:val="115"/>
        </w:rPr>
        <w:t> </w:t>
      </w:r>
      <w:r>
        <w:rPr>
          <w:spacing w:val="-1"/>
          <w:w w:val="115"/>
        </w:rPr>
        <w:t>dëm</w:t>
      </w:r>
      <w:r>
        <w:rPr>
          <w:spacing w:val="31"/>
          <w:w w:val="115"/>
        </w:rPr>
        <w:t> </w:t>
      </w:r>
      <w:r>
        <w:rPr>
          <w:spacing w:val="-1"/>
          <w:w w:val="115"/>
        </w:rPr>
        <w:t>të</w:t>
      </w:r>
      <w:r>
        <w:rPr>
          <w:spacing w:val="-13"/>
          <w:w w:val="115"/>
        </w:rPr>
        <w:t> </w:t>
      </w:r>
      <w:r>
        <w:rPr>
          <w:spacing w:val="-1"/>
          <w:w w:val="115"/>
        </w:rPr>
        <w:t>bëjmë</w:t>
      </w:r>
      <w:r>
        <w:rPr>
          <w:spacing w:val="-15"/>
          <w:w w:val="115"/>
        </w:rPr>
        <w:t> </w:t>
      </w:r>
      <w:r>
        <w:rPr>
          <w:spacing w:val="-1"/>
          <w:w w:val="115"/>
        </w:rPr>
        <w:t>më</w:t>
      </w:r>
      <w:r>
        <w:rPr>
          <w:spacing w:val="-13"/>
          <w:w w:val="115"/>
        </w:rPr>
        <w:t> </w:t>
      </w:r>
      <w:r>
        <w:rPr>
          <w:spacing w:val="-1"/>
          <w:w w:val="115"/>
        </w:rPr>
        <w:t>të</w:t>
      </w:r>
      <w:r>
        <w:rPr>
          <w:spacing w:val="-13"/>
          <w:w w:val="115"/>
        </w:rPr>
        <w:t> </w:t>
      </w:r>
      <w:r>
        <w:rPr>
          <w:spacing w:val="-1"/>
          <w:w w:val="115"/>
        </w:rPr>
        <w:t>mirën",</w:t>
      </w:r>
      <w:r>
        <w:rPr>
          <w:spacing w:val="-15"/>
          <w:w w:val="115"/>
        </w:rPr>
        <w:t> </w:t>
      </w:r>
      <w:r>
        <w:rPr>
          <w:spacing w:val="-1"/>
          <w:w w:val="115"/>
        </w:rPr>
        <w:t>menaxhimi</w:t>
      </w:r>
      <w:r>
        <w:rPr>
          <w:spacing w:val="-13"/>
          <w:w w:val="115"/>
        </w:rPr>
        <w:t> </w:t>
      </w:r>
      <w:r>
        <w:rPr>
          <w:w w:val="115"/>
        </w:rPr>
        <w:t>dhe</w:t>
      </w:r>
      <w:r>
        <w:rPr>
          <w:spacing w:val="-9"/>
          <w:w w:val="115"/>
        </w:rPr>
        <w:t> </w:t>
      </w:r>
      <w:r>
        <w:rPr>
          <w:w w:val="115"/>
        </w:rPr>
        <w:t>përmirësimi</w:t>
      </w:r>
      <w:r>
        <w:rPr>
          <w:spacing w:val="-14"/>
          <w:w w:val="115"/>
        </w:rPr>
        <w:t> </w:t>
      </w:r>
      <w:r>
        <w:rPr>
          <w:w w:val="115"/>
        </w:rPr>
        <w:t>i</w:t>
      </w:r>
      <w:r>
        <w:rPr>
          <w:spacing w:val="-14"/>
          <w:w w:val="115"/>
        </w:rPr>
        <w:t> </w:t>
      </w:r>
      <w:r>
        <w:rPr>
          <w:w w:val="115"/>
        </w:rPr>
        <w:t>performancës</w:t>
      </w:r>
      <w:r>
        <w:rPr>
          <w:spacing w:val="-15"/>
          <w:w w:val="115"/>
        </w:rPr>
        <w:t> </w:t>
      </w:r>
      <w:r>
        <w:rPr>
          <w:w w:val="115"/>
        </w:rPr>
        <w:t>mjedisore</w:t>
      </w:r>
      <w:r>
        <w:rPr>
          <w:spacing w:val="-15"/>
          <w:w w:val="115"/>
        </w:rPr>
        <w:t> </w:t>
      </w:r>
      <w:r>
        <w:rPr>
          <w:w w:val="115"/>
        </w:rPr>
        <w:t>është</w:t>
      </w:r>
      <w:r>
        <w:rPr>
          <w:spacing w:val="-15"/>
          <w:w w:val="115"/>
        </w:rPr>
        <w:t> </w:t>
      </w:r>
      <w:r>
        <w:rPr>
          <w:w w:val="115"/>
        </w:rPr>
        <w:t>çelësi</w:t>
      </w:r>
      <w:r>
        <w:rPr>
          <w:spacing w:val="-55"/>
          <w:w w:val="115"/>
        </w:rPr>
        <w:t> </w:t>
      </w:r>
      <w:r>
        <w:rPr>
          <w:w w:val="115"/>
        </w:rPr>
        <w:t>kryesorë për të nxitur qëndrueshmërinë, edhe përgjatë rrethanave jashtëzakonisht të vështira</w:t>
      </w:r>
      <w:r>
        <w:rPr>
          <w:spacing w:val="1"/>
          <w:w w:val="115"/>
        </w:rPr>
        <w:t> </w:t>
      </w:r>
      <w:r>
        <w:rPr>
          <w:w w:val="115"/>
        </w:rPr>
        <w:t>ekonomike</w:t>
      </w:r>
      <w:r>
        <w:rPr>
          <w:w w:val="115"/>
          <w:sz w:val="20"/>
        </w:rPr>
        <w:t>.</w:t>
      </w:r>
    </w:p>
    <w:p>
      <w:pPr>
        <w:pStyle w:val="BodyText"/>
        <w:rPr>
          <w:sz w:val="23"/>
        </w:rPr>
      </w:pPr>
    </w:p>
    <w:p>
      <w:pPr>
        <w:pStyle w:val="BodyText"/>
        <w:spacing w:line="276" w:lineRule="auto"/>
        <w:ind w:left="880" w:right="933" w:firstLine="57"/>
        <w:jc w:val="both"/>
      </w:pPr>
      <w:r>
        <w:rPr>
          <w:w w:val="115"/>
        </w:rPr>
        <w:t>Ne kemi për qëllim që të përmirësojmë vazhdimisht punën tonë duke rritur vetdijen</w:t>
      </w:r>
      <w:r>
        <w:rPr>
          <w:spacing w:val="1"/>
          <w:w w:val="115"/>
        </w:rPr>
        <w:t> </w:t>
      </w:r>
      <w:r>
        <w:rPr>
          <w:w w:val="115"/>
        </w:rPr>
        <w:t>tonë ndaj</w:t>
      </w:r>
      <w:r>
        <w:rPr>
          <w:spacing w:val="1"/>
          <w:w w:val="115"/>
        </w:rPr>
        <w:t> </w:t>
      </w:r>
      <w:r>
        <w:rPr>
          <w:w w:val="115"/>
        </w:rPr>
        <w:t>sfidave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mëdha</w:t>
      </w:r>
      <w:r>
        <w:rPr>
          <w:spacing w:val="1"/>
          <w:w w:val="115"/>
        </w:rPr>
        <w:t> </w:t>
      </w:r>
      <w:r>
        <w:rPr>
          <w:w w:val="115"/>
        </w:rPr>
        <w:t>me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cilat</w:t>
      </w:r>
      <w:r>
        <w:rPr>
          <w:spacing w:val="1"/>
          <w:w w:val="115"/>
        </w:rPr>
        <w:t> </w:t>
      </w:r>
      <w:r>
        <w:rPr>
          <w:w w:val="115"/>
        </w:rPr>
        <w:t>përballet</w:t>
      </w:r>
      <w:r>
        <w:rPr>
          <w:spacing w:val="1"/>
          <w:w w:val="115"/>
        </w:rPr>
        <w:t> </w:t>
      </w:r>
      <w:r>
        <w:rPr>
          <w:w w:val="115"/>
        </w:rPr>
        <w:t>Sharrcem-i</w:t>
      </w:r>
      <w:r>
        <w:rPr>
          <w:spacing w:val="1"/>
          <w:w w:val="115"/>
        </w:rPr>
        <w:t> </w:t>
      </w:r>
      <w:r>
        <w:rPr>
          <w:w w:val="115"/>
        </w:rPr>
        <w:t>drejt</w:t>
      </w:r>
      <w:r>
        <w:rPr>
          <w:spacing w:val="1"/>
          <w:w w:val="115"/>
        </w:rPr>
        <w:t> </w:t>
      </w:r>
      <w:r>
        <w:rPr>
          <w:w w:val="115"/>
        </w:rPr>
        <w:t>qëndrueshmërisë</w:t>
      </w:r>
      <w:r>
        <w:rPr>
          <w:spacing w:val="1"/>
          <w:w w:val="115"/>
        </w:rPr>
        <w:t> </w:t>
      </w:r>
      <w:r>
        <w:rPr>
          <w:w w:val="115"/>
        </w:rPr>
        <w:t>mjedisore.</w:t>
      </w:r>
      <w:r>
        <w:rPr>
          <w:spacing w:val="1"/>
          <w:w w:val="115"/>
        </w:rPr>
        <w:t> </w:t>
      </w:r>
      <w:r>
        <w:rPr>
          <w:w w:val="115"/>
        </w:rPr>
        <w:t>Ne</w:t>
      </w:r>
      <w:r>
        <w:rPr>
          <w:spacing w:val="1"/>
          <w:w w:val="115"/>
        </w:rPr>
        <w:t> </w:t>
      </w:r>
      <w:r>
        <w:rPr>
          <w:w w:val="115"/>
        </w:rPr>
        <w:t>vazhdimisht përpiqemi që të krijojmë menaxhim efektiv mjedisor, duke matur dhe monitoruar</w:t>
      </w:r>
      <w:r>
        <w:rPr>
          <w:spacing w:val="1"/>
          <w:w w:val="115"/>
        </w:rPr>
        <w:t> </w:t>
      </w:r>
      <w:r>
        <w:rPr>
          <w:w w:val="115"/>
        </w:rPr>
        <w:t>performancën tonë, dhe vazhdimisht kërkojmë që të përmirësojmë dhe në të njejtën kohë të</w:t>
      </w:r>
      <w:r>
        <w:rPr>
          <w:spacing w:val="1"/>
          <w:w w:val="115"/>
        </w:rPr>
        <w:t> </w:t>
      </w:r>
      <w:r>
        <w:rPr>
          <w:w w:val="115"/>
        </w:rPr>
        <w:t>promovojmë</w:t>
      </w:r>
      <w:r>
        <w:rPr>
          <w:spacing w:val="1"/>
          <w:w w:val="115"/>
        </w:rPr>
        <w:t> </w:t>
      </w:r>
      <w:r>
        <w:rPr>
          <w:w w:val="115"/>
        </w:rPr>
        <w:t>praktikat</w:t>
      </w:r>
      <w:r>
        <w:rPr>
          <w:spacing w:val="1"/>
          <w:w w:val="115"/>
        </w:rPr>
        <w:t> </w:t>
      </w:r>
      <w:r>
        <w:rPr>
          <w:w w:val="115"/>
        </w:rPr>
        <w:t>më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mira</w:t>
      </w:r>
      <w:r>
        <w:rPr>
          <w:spacing w:val="1"/>
          <w:w w:val="115"/>
        </w:rPr>
        <w:t> </w:t>
      </w:r>
      <w:r>
        <w:rPr>
          <w:w w:val="115"/>
        </w:rPr>
        <w:t>në</w:t>
      </w:r>
      <w:r>
        <w:rPr>
          <w:spacing w:val="1"/>
          <w:w w:val="115"/>
        </w:rPr>
        <w:t> </w:t>
      </w:r>
      <w:r>
        <w:rPr>
          <w:w w:val="115"/>
        </w:rPr>
        <w:t>fabrikën</w:t>
      </w:r>
      <w:r>
        <w:rPr>
          <w:spacing w:val="1"/>
          <w:w w:val="115"/>
        </w:rPr>
        <w:t> </w:t>
      </w:r>
      <w:r>
        <w:rPr>
          <w:w w:val="115"/>
        </w:rPr>
        <w:t>tonë</w:t>
      </w:r>
      <w:r>
        <w:rPr>
          <w:spacing w:val="1"/>
          <w:w w:val="115"/>
        </w:rPr>
        <w:t> </w:t>
      </w:r>
      <w:r>
        <w:rPr>
          <w:w w:val="115"/>
        </w:rPr>
        <w:t>duke</w:t>
      </w:r>
      <w:r>
        <w:rPr>
          <w:spacing w:val="1"/>
          <w:w w:val="115"/>
        </w:rPr>
        <w:t> </w:t>
      </w:r>
      <w:r>
        <w:rPr>
          <w:w w:val="115"/>
        </w:rPr>
        <w:t>angazhuar</w:t>
      </w:r>
      <w:r>
        <w:rPr>
          <w:spacing w:val="1"/>
          <w:w w:val="115"/>
        </w:rPr>
        <w:t> </w:t>
      </w:r>
      <w:r>
        <w:rPr>
          <w:w w:val="115"/>
        </w:rPr>
        <w:t>palet</w:t>
      </w:r>
      <w:r>
        <w:rPr>
          <w:spacing w:val="1"/>
          <w:w w:val="115"/>
        </w:rPr>
        <w:t> </w:t>
      </w:r>
      <w:r>
        <w:rPr>
          <w:w w:val="115"/>
        </w:rPr>
        <w:t>e</w:t>
      </w:r>
      <w:r>
        <w:rPr>
          <w:spacing w:val="1"/>
          <w:w w:val="115"/>
        </w:rPr>
        <w:t> </w:t>
      </w:r>
      <w:r>
        <w:rPr>
          <w:w w:val="115"/>
        </w:rPr>
        <w:t>interesit,</w:t>
      </w:r>
      <w:r>
        <w:rPr>
          <w:spacing w:val="1"/>
          <w:w w:val="115"/>
        </w:rPr>
        <w:t> </w:t>
      </w:r>
      <w:r>
        <w:rPr>
          <w:w w:val="115"/>
        </w:rPr>
        <w:t>në</w:t>
      </w:r>
      <w:r>
        <w:rPr>
          <w:spacing w:val="1"/>
          <w:w w:val="115"/>
        </w:rPr>
        <w:t> </w:t>
      </w:r>
      <w:r>
        <w:rPr>
          <w:w w:val="115"/>
        </w:rPr>
        <w:t>transparence të plotë</w:t>
      </w:r>
      <w:r>
        <w:rPr>
          <w:spacing w:val="1"/>
          <w:w w:val="115"/>
        </w:rPr>
        <w:t> </w:t>
      </w:r>
      <w:r>
        <w:rPr>
          <w:w w:val="115"/>
        </w:rPr>
        <w:t>nëpërmjet raportimit publik të performancës dhe progresit. Ne gjithashtu</w:t>
      </w:r>
      <w:r>
        <w:rPr>
          <w:spacing w:val="1"/>
          <w:w w:val="115"/>
        </w:rPr>
        <w:t> </w:t>
      </w:r>
      <w:r>
        <w:rPr>
          <w:w w:val="115"/>
        </w:rPr>
        <w:t>angazhohemi</w:t>
      </w:r>
      <w:r>
        <w:rPr>
          <w:spacing w:val="-9"/>
          <w:w w:val="115"/>
        </w:rPr>
        <w:t> </w:t>
      </w:r>
      <w:r>
        <w:rPr>
          <w:w w:val="115"/>
        </w:rPr>
        <w:t>me</w:t>
      </w:r>
      <w:r>
        <w:rPr>
          <w:spacing w:val="-7"/>
          <w:w w:val="115"/>
        </w:rPr>
        <w:t> </w:t>
      </w:r>
      <w:r>
        <w:rPr>
          <w:w w:val="115"/>
        </w:rPr>
        <w:t>përkushtimin</w:t>
      </w:r>
      <w:r>
        <w:rPr>
          <w:spacing w:val="-9"/>
          <w:w w:val="115"/>
        </w:rPr>
        <w:t> </w:t>
      </w:r>
      <w:r>
        <w:rPr>
          <w:w w:val="115"/>
        </w:rPr>
        <w:t>tonë</w:t>
      </w:r>
      <w:r>
        <w:rPr>
          <w:spacing w:val="-7"/>
          <w:w w:val="115"/>
        </w:rPr>
        <w:t> </w:t>
      </w:r>
      <w:r>
        <w:rPr>
          <w:w w:val="115"/>
        </w:rPr>
        <w:t>që</w:t>
      </w:r>
      <w:r>
        <w:rPr>
          <w:spacing w:val="-8"/>
          <w:w w:val="115"/>
        </w:rPr>
        <w:t> </w:t>
      </w:r>
      <w:r>
        <w:rPr>
          <w:w w:val="115"/>
        </w:rPr>
        <w:t>në</w:t>
      </w:r>
      <w:r>
        <w:rPr>
          <w:spacing w:val="-7"/>
          <w:w w:val="115"/>
        </w:rPr>
        <w:t> </w:t>
      </w:r>
      <w:r>
        <w:rPr>
          <w:w w:val="115"/>
        </w:rPr>
        <w:t>vashdimësi</w:t>
      </w:r>
      <w:r>
        <w:rPr>
          <w:spacing w:val="-9"/>
          <w:w w:val="115"/>
        </w:rPr>
        <w:t> </w:t>
      </w:r>
      <w:r>
        <w:rPr>
          <w:w w:val="115"/>
        </w:rPr>
        <w:t>të</w:t>
      </w:r>
      <w:r>
        <w:rPr>
          <w:spacing w:val="-7"/>
          <w:w w:val="115"/>
        </w:rPr>
        <w:t> </w:t>
      </w:r>
      <w:r>
        <w:rPr>
          <w:w w:val="115"/>
        </w:rPr>
        <w:t>jemi</w:t>
      </w:r>
      <w:r>
        <w:rPr>
          <w:spacing w:val="-9"/>
          <w:w w:val="115"/>
        </w:rPr>
        <w:t> </w:t>
      </w:r>
      <w:r>
        <w:rPr>
          <w:w w:val="115"/>
        </w:rPr>
        <w:t>në</w:t>
      </w:r>
      <w:r>
        <w:rPr>
          <w:spacing w:val="-7"/>
          <w:w w:val="115"/>
        </w:rPr>
        <w:t> </w:t>
      </w:r>
      <w:r>
        <w:rPr>
          <w:w w:val="115"/>
        </w:rPr>
        <w:t>hap</w:t>
      </w:r>
      <w:r>
        <w:rPr>
          <w:spacing w:val="-9"/>
          <w:w w:val="115"/>
        </w:rPr>
        <w:t> </w:t>
      </w:r>
      <w:r>
        <w:rPr>
          <w:w w:val="115"/>
        </w:rPr>
        <w:t>me</w:t>
      </w:r>
      <w:r>
        <w:rPr>
          <w:spacing w:val="-7"/>
          <w:w w:val="115"/>
        </w:rPr>
        <w:t> </w:t>
      </w:r>
      <w:r>
        <w:rPr>
          <w:w w:val="115"/>
        </w:rPr>
        <w:t>kohen</w:t>
      </w:r>
      <w:r>
        <w:rPr>
          <w:spacing w:val="-9"/>
          <w:w w:val="115"/>
        </w:rPr>
        <w:t> </w:t>
      </w:r>
      <w:r>
        <w:rPr>
          <w:w w:val="115"/>
        </w:rPr>
        <w:t>përmes</w:t>
      </w:r>
      <w:r>
        <w:rPr>
          <w:spacing w:val="-9"/>
          <w:w w:val="115"/>
        </w:rPr>
        <w:t> </w:t>
      </w:r>
      <w:r>
        <w:rPr>
          <w:w w:val="115"/>
        </w:rPr>
        <w:t>trajnimeve</w:t>
      </w:r>
      <w:r>
        <w:rPr>
          <w:spacing w:val="-54"/>
          <w:w w:val="115"/>
        </w:rPr>
        <w:t> </w:t>
      </w:r>
      <w:r>
        <w:rPr>
          <w:w w:val="115"/>
        </w:rPr>
        <w:t>te shumta, duke i integruar ato në procesin e zhvillimit të biznesit. Sharrcemi operon nën kushtet</w:t>
      </w:r>
      <w:r>
        <w:rPr>
          <w:spacing w:val="1"/>
          <w:w w:val="115"/>
        </w:rPr>
        <w:t> </w:t>
      </w:r>
      <w:r>
        <w:rPr>
          <w:w w:val="115"/>
        </w:rPr>
        <w:t>e lejes së Integruar( IPPC ) qe nga viti 2014 dhe i ka të përmbushura të gjitha kërkesat sipas planit</w:t>
      </w:r>
      <w:r>
        <w:rPr>
          <w:spacing w:val="1"/>
          <w:w w:val="115"/>
        </w:rPr>
        <w:t> </w:t>
      </w:r>
      <w:r>
        <w:rPr>
          <w:w w:val="115"/>
        </w:rPr>
        <w:t>të përputhshmerive</w:t>
      </w:r>
      <w:r>
        <w:rPr>
          <w:spacing w:val="-2"/>
          <w:w w:val="115"/>
        </w:rPr>
        <w:t> </w:t>
      </w:r>
      <w:r>
        <w:rPr>
          <w:w w:val="115"/>
        </w:rPr>
        <w:t>të lejes</w:t>
      </w:r>
      <w:r>
        <w:rPr>
          <w:spacing w:val="-1"/>
          <w:w w:val="115"/>
        </w:rPr>
        <w:t> </w:t>
      </w:r>
      <w:r>
        <w:rPr>
          <w:w w:val="115"/>
        </w:rPr>
        <w:t>së</w:t>
      </w:r>
      <w:r>
        <w:rPr>
          <w:spacing w:val="4"/>
          <w:w w:val="115"/>
        </w:rPr>
        <w:t> </w:t>
      </w:r>
      <w:r>
        <w:rPr>
          <w:w w:val="115"/>
        </w:rPr>
        <w:t>Integruar.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before="92"/>
        <w:ind w:left="0" w:right="57" w:firstLine="0"/>
        <w:jc w:val="center"/>
        <w:rPr>
          <w:rFonts w:ascii="Times New Roman"/>
          <w:sz w:val="18"/>
        </w:rPr>
      </w:pPr>
      <w:r>
        <w:rPr>
          <w:rFonts w:ascii="Times New Roman"/>
          <w:sz w:val="18"/>
        </w:rPr>
        <w:t>1</w:t>
      </w:r>
    </w:p>
    <w:p>
      <w:pPr>
        <w:spacing w:after="0"/>
        <w:jc w:val="center"/>
        <w:rPr>
          <w:rFonts w:ascii="Times New Roman"/>
          <w:sz w:val="18"/>
        </w:rPr>
        <w:sectPr>
          <w:pgSz w:w="12240" w:h="15840"/>
          <w:pgMar w:top="36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7"/>
        </w:rPr>
      </w:pPr>
    </w:p>
    <w:p>
      <w:pPr>
        <w:pStyle w:val="Heading1"/>
        <w:tabs>
          <w:tab w:pos="2480" w:val="left" w:leader="none"/>
        </w:tabs>
      </w:pPr>
      <w:r>
        <w:rPr/>
        <w:pict>
          <v:shape style="position:absolute;margin-left:517.099976pt;margin-top:-38.637024pt;width:82.15pt;height:69.75pt;mso-position-horizontal-relative:page;mso-position-vertical-relative:paragraph;z-index:15754240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12A35"/>
        </w:rPr>
        <w:t>Përmbledhje</w:t>
        <w:tab/>
        <w:t>2022</w:t>
      </w:r>
    </w:p>
    <w:p>
      <w:pPr>
        <w:pStyle w:val="BodyText"/>
        <w:spacing w:before="1"/>
        <w:rPr>
          <w:b/>
          <w:sz w:val="53"/>
        </w:rPr>
      </w:pPr>
    </w:p>
    <w:p>
      <w:pPr>
        <w:pStyle w:val="Heading7"/>
      </w:pPr>
      <w:r>
        <w:rPr>
          <w:w w:val="120"/>
        </w:rPr>
        <w:t>Mbledhja</w:t>
      </w:r>
      <w:r>
        <w:rPr>
          <w:spacing w:val="-5"/>
          <w:w w:val="120"/>
        </w:rPr>
        <w:t> </w:t>
      </w:r>
      <w:r>
        <w:rPr>
          <w:w w:val="120"/>
        </w:rPr>
        <w:t>Vjetore</w:t>
      </w:r>
      <w:r>
        <w:rPr>
          <w:spacing w:val="-3"/>
          <w:w w:val="120"/>
        </w:rPr>
        <w:t> </w:t>
      </w:r>
      <w:r>
        <w:rPr>
          <w:w w:val="120"/>
        </w:rPr>
        <w:t>e</w:t>
      </w:r>
      <w:r>
        <w:rPr>
          <w:spacing w:val="-5"/>
          <w:w w:val="120"/>
        </w:rPr>
        <w:t> </w:t>
      </w:r>
      <w:r>
        <w:rPr>
          <w:w w:val="120"/>
        </w:rPr>
        <w:t>Komitetit</w:t>
      </w:r>
      <w:r>
        <w:rPr>
          <w:spacing w:val="-2"/>
          <w:w w:val="120"/>
        </w:rPr>
        <w:t> </w:t>
      </w:r>
      <w:r>
        <w:rPr>
          <w:w w:val="120"/>
        </w:rPr>
        <w:t>Mjedisor</w:t>
      </w:r>
      <w:r>
        <w:rPr>
          <w:spacing w:val="1"/>
          <w:w w:val="120"/>
        </w:rPr>
        <w:t> </w:t>
      </w:r>
      <w:r>
        <w:rPr>
          <w:w w:val="120"/>
        </w:rPr>
        <w:t>(CEC)</w:t>
      </w:r>
    </w:p>
    <w:p>
      <w:pPr>
        <w:pStyle w:val="BodyText"/>
        <w:spacing w:line="259" w:lineRule="auto" w:before="181"/>
        <w:ind w:left="880" w:right="1080" w:firstLine="60"/>
      </w:pPr>
      <w:r>
        <w:rPr>
          <w:w w:val="120"/>
        </w:rPr>
        <w:t>Komiteti mblidhet çdo vit për të analizuar, diskutuar dhe miratuar programet mjedisore,</w:t>
      </w:r>
      <w:r>
        <w:rPr>
          <w:spacing w:val="1"/>
          <w:w w:val="120"/>
        </w:rPr>
        <w:t> </w:t>
      </w:r>
      <w:r>
        <w:rPr>
          <w:w w:val="120"/>
        </w:rPr>
        <w:t>planet</w:t>
      </w:r>
      <w:r>
        <w:rPr>
          <w:spacing w:val="-4"/>
          <w:w w:val="120"/>
        </w:rPr>
        <w:t> </w:t>
      </w:r>
      <w:r>
        <w:rPr>
          <w:w w:val="120"/>
        </w:rPr>
        <w:t>e</w:t>
      </w:r>
      <w:r>
        <w:rPr>
          <w:spacing w:val="-3"/>
          <w:w w:val="120"/>
        </w:rPr>
        <w:t> </w:t>
      </w:r>
      <w:r>
        <w:rPr>
          <w:w w:val="120"/>
        </w:rPr>
        <w:t>veprimit,</w:t>
      </w:r>
      <w:r>
        <w:rPr>
          <w:spacing w:val="-5"/>
          <w:w w:val="120"/>
        </w:rPr>
        <w:t> </w:t>
      </w:r>
      <w:r>
        <w:rPr>
          <w:w w:val="120"/>
        </w:rPr>
        <w:t>raportin</w:t>
      </w:r>
      <w:r>
        <w:rPr>
          <w:spacing w:val="-5"/>
          <w:w w:val="120"/>
        </w:rPr>
        <w:t> </w:t>
      </w:r>
      <w:r>
        <w:rPr>
          <w:w w:val="120"/>
        </w:rPr>
        <w:t>vjetor</w:t>
      </w:r>
      <w:r>
        <w:rPr>
          <w:spacing w:val="-1"/>
          <w:w w:val="120"/>
        </w:rPr>
        <w:t> </w:t>
      </w:r>
      <w:r>
        <w:rPr>
          <w:w w:val="120"/>
        </w:rPr>
        <w:t>dhe</w:t>
      </w:r>
      <w:r>
        <w:rPr>
          <w:spacing w:val="-4"/>
          <w:w w:val="120"/>
        </w:rPr>
        <w:t> </w:t>
      </w:r>
      <w:r>
        <w:rPr>
          <w:w w:val="120"/>
        </w:rPr>
        <w:t>treguesit</w:t>
      </w:r>
      <w:r>
        <w:rPr>
          <w:spacing w:val="-4"/>
          <w:w w:val="120"/>
        </w:rPr>
        <w:t> </w:t>
      </w:r>
      <w:r>
        <w:rPr>
          <w:w w:val="120"/>
        </w:rPr>
        <w:t>e</w:t>
      </w:r>
      <w:r>
        <w:rPr>
          <w:spacing w:val="-3"/>
          <w:w w:val="120"/>
        </w:rPr>
        <w:t> </w:t>
      </w:r>
      <w:r>
        <w:rPr>
          <w:w w:val="120"/>
        </w:rPr>
        <w:t>performancës</w:t>
      </w:r>
      <w:r>
        <w:rPr>
          <w:spacing w:val="-4"/>
          <w:w w:val="120"/>
        </w:rPr>
        <w:t> </w:t>
      </w:r>
      <w:r>
        <w:rPr>
          <w:w w:val="120"/>
        </w:rPr>
        <w:t>mjedisore</w:t>
      </w:r>
      <w:r>
        <w:rPr>
          <w:spacing w:val="-3"/>
          <w:w w:val="120"/>
        </w:rPr>
        <w:t> </w:t>
      </w:r>
      <w:r>
        <w:rPr>
          <w:w w:val="120"/>
        </w:rPr>
        <w:t>për</w:t>
      </w:r>
      <w:r>
        <w:rPr>
          <w:spacing w:val="-5"/>
          <w:w w:val="120"/>
        </w:rPr>
        <w:t> </w:t>
      </w:r>
      <w:r>
        <w:rPr>
          <w:w w:val="120"/>
        </w:rPr>
        <w:t>vitin</w:t>
      </w:r>
      <w:r>
        <w:rPr>
          <w:spacing w:val="-2"/>
          <w:w w:val="120"/>
        </w:rPr>
        <w:t> </w:t>
      </w:r>
      <w:r>
        <w:rPr>
          <w:w w:val="120"/>
        </w:rPr>
        <w:t>përkatës.</w:t>
      </w:r>
    </w:p>
    <w:p>
      <w:pPr>
        <w:pStyle w:val="BodyText"/>
        <w:spacing w:before="159"/>
        <w:ind w:left="940"/>
      </w:pPr>
      <w:r>
        <w:rPr>
          <w:w w:val="120"/>
        </w:rPr>
        <w:t>Në</w:t>
      </w:r>
      <w:r>
        <w:rPr>
          <w:spacing w:val="-2"/>
          <w:w w:val="120"/>
        </w:rPr>
        <w:t> </w:t>
      </w:r>
      <w:r>
        <w:rPr>
          <w:w w:val="120"/>
        </w:rPr>
        <w:t>vazhdim</w:t>
      </w:r>
      <w:r>
        <w:rPr>
          <w:spacing w:val="-1"/>
          <w:w w:val="120"/>
        </w:rPr>
        <w:t> </w:t>
      </w:r>
      <w:r>
        <w:rPr>
          <w:w w:val="120"/>
        </w:rPr>
        <w:t>do</w:t>
      </w:r>
      <w:r>
        <w:rPr>
          <w:spacing w:val="-2"/>
          <w:w w:val="120"/>
        </w:rPr>
        <w:t> </w:t>
      </w:r>
      <w:r>
        <w:rPr>
          <w:w w:val="120"/>
        </w:rPr>
        <w:t>të</w:t>
      </w:r>
      <w:r>
        <w:rPr>
          <w:spacing w:val="-1"/>
          <w:w w:val="120"/>
        </w:rPr>
        <w:t> </w:t>
      </w:r>
      <w:r>
        <w:rPr>
          <w:w w:val="120"/>
        </w:rPr>
        <w:t>paraqiten</w:t>
      </w:r>
      <w:r>
        <w:rPr>
          <w:spacing w:val="-1"/>
          <w:w w:val="120"/>
        </w:rPr>
        <w:t> </w:t>
      </w:r>
      <w:r>
        <w:rPr>
          <w:w w:val="120"/>
        </w:rPr>
        <w:t>disa</w:t>
      </w:r>
      <w:r>
        <w:rPr>
          <w:spacing w:val="-3"/>
          <w:w w:val="120"/>
        </w:rPr>
        <w:t> </w:t>
      </w:r>
      <w:r>
        <w:rPr>
          <w:w w:val="120"/>
        </w:rPr>
        <w:t>nga</w:t>
      </w:r>
      <w:r>
        <w:rPr>
          <w:spacing w:val="-4"/>
          <w:w w:val="120"/>
        </w:rPr>
        <w:t> </w:t>
      </w:r>
      <w:r>
        <w:rPr>
          <w:w w:val="120"/>
        </w:rPr>
        <w:t>aktivitetet</w:t>
      </w:r>
      <w:r>
        <w:rPr>
          <w:spacing w:val="-1"/>
          <w:w w:val="120"/>
        </w:rPr>
        <w:t> </w:t>
      </w:r>
      <w:r>
        <w:rPr>
          <w:w w:val="120"/>
        </w:rPr>
        <w:t>tona</w:t>
      </w:r>
      <w:r>
        <w:rPr>
          <w:spacing w:val="-4"/>
          <w:w w:val="120"/>
        </w:rPr>
        <w:t> </w:t>
      </w:r>
      <w:r>
        <w:rPr>
          <w:w w:val="120"/>
        </w:rPr>
        <w:t>kryesore</w:t>
      </w:r>
      <w:r>
        <w:rPr>
          <w:spacing w:val="-1"/>
          <w:w w:val="120"/>
        </w:rPr>
        <w:t> </w:t>
      </w:r>
      <w:r>
        <w:rPr>
          <w:w w:val="120"/>
        </w:rPr>
        <w:t>për</w:t>
      </w:r>
      <w:r>
        <w:rPr>
          <w:spacing w:val="-1"/>
          <w:w w:val="120"/>
        </w:rPr>
        <w:t> </w:t>
      </w:r>
      <w:r>
        <w:rPr>
          <w:w w:val="120"/>
        </w:rPr>
        <w:t>vitin</w:t>
      </w:r>
      <w:r>
        <w:rPr>
          <w:spacing w:val="-2"/>
          <w:w w:val="120"/>
        </w:rPr>
        <w:t> </w:t>
      </w:r>
      <w:r>
        <w:rPr>
          <w:w w:val="120"/>
        </w:rPr>
        <w:t>2022.</w:t>
      </w: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880" w:right="1080"/>
      </w:pPr>
      <w:r>
        <w:rPr>
          <w:b/>
          <w:w w:val="115"/>
        </w:rPr>
        <w:t>Internal Audit - </w:t>
      </w:r>
      <w:r>
        <w:rPr>
          <w:w w:val="115"/>
        </w:rPr>
        <w:t>Sipas orarit të grupit për auditimet periodike të performancës mjedisore, fabrika</w:t>
      </w:r>
      <w:r>
        <w:rPr>
          <w:spacing w:val="-56"/>
          <w:w w:val="115"/>
        </w:rPr>
        <w:t> </w:t>
      </w:r>
      <w:r>
        <w:rPr>
          <w:w w:val="115"/>
        </w:rPr>
        <w:t>e Sharrcem-it u auditua nga</w:t>
      </w:r>
      <w:r>
        <w:rPr>
          <w:spacing w:val="-2"/>
          <w:w w:val="115"/>
        </w:rPr>
        <w:t> </w:t>
      </w:r>
      <w:r>
        <w:rPr>
          <w:w w:val="115"/>
        </w:rPr>
        <w:t>8</w:t>
      </w:r>
      <w:r>
        <w:rPr>
          <w:spacing w:val="2"/>
          <w:w w:val="115"/>
        </w:rPr>
        <w:t> </w:t>
      </w:r>
      <w:r>
        <w:rPr>
          <w:w w:val="115"/>
        </w:rPr>
        <w:t>deri</w:t>
      </w:r>
      <w:r>
        <w:rPr>
          <w:spacing w:val="-1"/>
          <w:w w:val="115"/>
        </w:rPr>
        <w:t> </w:t>
      </w:r>
      <w:r>
        <w:rPr>
          <w:w w:val="115"/>
        </w:rPr>
        <w:t>në 11</w:t>
      </w:r>
      <w:r>
        <w:rPr>
          <w:spacing w:val="-1"/>
          <w:w w:val="115"/>
        </w:rPr>
        <w:t> </w:t>
      </w:r>
      <w:r>
        <w:rPr>
          <w:w w:val="115"/>
        </w:rPr>
        <w:t>Nëntor 2022.</w:t>
      </w:r>
    </w:p>
    <w:p>
      <w:pPr>
        <w:pStyle w:val="BodyText"/>
        <w:spacing w:before="12"/>
        <w:rPr>
          <w:sz w:val="31"/>
        </w:rPr>
      </w:pPr>
    </w:p>
    <w:p>
      <w:pPr>
        <w:spacing w:before="0"/>
        <w:ind w:left="880" w:right="0" w:firstLine="0"/>
        <w:jc w:val="left"/>
        <w:rPr>
          <w:i/>
          <w:sz w:val="22"/>
        </w:rPr>
      </w:pPr>
      <w:r>
        <w:rPr>
          <w:i/>
          <w:w w:val="115"/>
          <w:sz w:val="22"/>
        </w:rPr>
        <w:t>Asnjë</w:t>
      </w:r>
      <w:r>
        <w:rPr>
          <w:i/>
          <w:spacing w:val="-3"/>
          <w:w w:val="115"/>
          <w:sz w:val="22"/>
        </w:rPr>
        <w:t> </w:t>
      </w:r>
      <w:r>
        <w:rPr>
          <w:i/>
          <w:w w:val="115"/>
          <w:sz w:val="22"/>
        </w:rPr>
        <w:t>jo</w:t>
      </w:r>
      <w:r>
        <w:rPr>
          <w:i/>
          <w:spacing w:val="-2"/>
          <w:w w:val="115"/>
          <w:sz w:val="22"/>
        </w:rPr>
        <w:t> </w:t>
      </w:r>
      <w:r>
        <w:rPr>
          <w:i/>
          <w:w w:val="115"/>
          <w:sz w:val="22"/>
        </w:rPr>
        <w:t>konformitet</w:t>
      </w:r>
      <w:r>
        <w:rPr>
          <w:i/>
          <w:spacing w:val="-1"/>
          <w:w w:val="115"/>
          <w:sz w:val="22"/>
        </w:rPr>
        <w:t> </w:t>
      </w:r>
      <w:r>
        <w:rPr>
          <w:i/>
          <w:w w:val="115"/>
          <w:sz w:val="22"/>
        </w:rPr>
        <w:t>nuk</w:t>
      </w:r>
      <w:r>
        <w:rPr>
          <w:i/>
          <w:spacing w:val="-2"/>
          <w:w w:val="115"/>
          <w:sz w:val="22"/>
        </w:rPr>
        <w:t> </w:t>
      </w:r>
      <w:r>
        <w:rPr>
          <w:i/>
          <w:w w:val="115"/>
          <w:sz w:val="22"/>
        </w:rPr>
        <w:t>është</w:t>
      </w:r>
      <w:r>
        <w:rPr>
          <w:i/>
          <w:spacing w:val="-3"/>
          <w:w w:val="115"/>
          <w:sz w:val="22"/>
        </w:rPr>
        <w:t> </w:t>
      </w:r>
      <w:r>
        <w:rPr>
          <w:i/>
          <w:w w:val="115"/>
          <w:sz w:val="22"/>
        </w:rPr>
        <w:t>gjetur.</w:t>
      </w:r>
    </w:p>
    <w:p>
      <w:pPr>
        <w:pStyle w:val="BodyText"/>
        <w:spacing w:line="259" w:lineRule="auto" w:before="182"/>
        <w:ind w:left="880" w:right="1080"/>
      </w:pPr>
      <w:r>
        <w:rPr>
          <w:b/>
          <w:w w:val="115"/>
        </w:rPr>
        <w:t>Auditimi</w:t>
      </w:r>
      <w:r>
        <w:rPr>
          <w:b/>
          <w:spacing w:val="-2"/>
          <w:w w:val="115"/>
        </w:rPr>
        <w:t> </w:t>
      </w:r>
      <w:r>
        <w:rPr>
          <w:b/>
          <w:w w:val="115"/>
        </w:rPr>
        <w:t>i</w:t>
      </w:r>
      <w:r>
        <w:rPr>
          <w:b/>
          <w:spacing w:val="-1"/>
          <w:w w:val="115"/>
        </w:rPr>
        <w:t> </w:t>
      </w:r>
      <w:r>
        <w:rPr>
          <w:b/>
          <w:w w:val="115"/>
        </w:rPr>
        <w:t>ricertifikimit</w:t>
      </w:r>
      <w:r>
        <w:rPr>
          <w:b/>
          <w:spacing w:val="55"/>
          <w:w w:val="115"/>
        </w:rPr>
        <w:t> </w:t>
      </w:r>
      <w:r>
        <w:rPr>
          <w:w w:val="115"/>
        </w:rPr>
        <w:t>-</w:t>
      </w:r>
      <w:r>
        <w:rPr>
          <w:spacing w:val="-3"/>
          <w:w w:val="115"/>
        </w:rPr>
        <w:t> </w:t>
      </w:r>
      <w:r>
        <w:rPr>
          <w:w w:val="115"/>
        </w:rPr>
        <w:t>Auditimi</w:t>
      </w:r>
      <w:r>
        <w:rPr>
          <w:spacing w:val="-2"/>
          <w:w w:val="115"/>
        </w:rPr>
        <w:t> </w:t>
      </w:r>
      <w:r>
        <w:rPr>
          <w:w w:val="115"/>
        </w:rPr>
        <w:t>i</w:t>
      </w:r>
      <w:r>
        <w:rPr>
          <w:spacing w:val="-2"/>
          <w:w w:val="115"/>
        </w:rPr>
        <w:t> </w:t>
      </w:r>
      <w:r>
        <w:rPr>
          <w:w w:val="115"/>
        </w:rPr>
        <w:t>ricertifikimit</w:t>
      </w:r>
      <w:r>
        <w:rPr>
          <w:spacing w:val="-3"/>
          <w:w w:val="115"/>
        </w:rPr>
        <w:t> </w:t>
      </w:r>
      <w:r>
        <w:rPr>
          <w:w w:val="115"/>
        </w:rPr>
        <w:t>të</w:t>
      </w:r>
      <w:r>
        <w:rPr>
          <w:spacing w:val="-2"/>
          <w:w w:val="115"/>
        </w:rPr>
        <w:t> </w:t>
      </w:r>
      <w:r>
        <w:rPr>
          <w:w w:val="115"/>
        </w:rPr>
        <w:t>Sistemit</w:t>
      </w:r>
      <w:r>
        <w:rPr>
          <w:spacing w:val="-3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Menaxhimit</w:t>
      </w:r>
      <w:r>
        <w:rPr>
          <w:spacing w:val="-3"/>
          <w:w w:val="115"/>
        </w:rPr>
        <w:t> </w:t>
      </w:r>
      <w:r>
        <w:rPr>
          <w:w w:val="115"/>
        </w:rPr>
        <w:t>Mjedisor</w:t>
      </w:r>
      <w:r>
        <w:rPr>
          <w:spacing w:val="-2"/>
          <w:w w:val="115"/>
        </w:rPr>
        <w:t> </w:t>
      </w:r>
      <w:r>
        <w:rPr>
          <w:w w:val="115"/>
        </w:rPr>
        <w:t>u</w:t>
      </w:r>
      <w:r>
        <w:rPr>
          <w:spacing w:val="-3"/>
          <w:w w:val="115"/>
        </w:rPr>
        <w:t> </w:t>
      </w:r>
      <w:r>
        <w:rPr>
          <w:w w:val="115"/>
        </w:rPr>
        <w:t>mbajt</w:t>
      </w:r>
      <w:r>
        <w:rPr>
          <w:spacing w:val="-1"/>
          <w:w w:val="115"/>
        </w:rPr>
        <w:t> </w:t>
      </w:r>
      <w:r>
        <w:rPr>
          <w:w w:val="115"/>
        </w:rPr>
        <w:t>në</w:t>
      </w:r>
      <w:r>
        <w:rPr>
          <w:spacing w:val="-54"/>
          <w:w w:val="115"/>
        </w:rPr>
        <w:t> </w:t>
      </w:r>
      <w:r>
        <w:rPr>
          <w:w w:val="115"/>
        </w:rPr>
        <w:t>Nëntor, 2022 sipas standardit EN ISO 14001:2015, nga kompania e jashtme certifikuese</w:t>
      </w:r>
      <w:r>
        <w:rPr>
          <w:spacing w:val="1"/>
          <w:w w:val="115"/>
        </w:rPr>
        <w:t> </w:t>
      </w:r>
      <w:r>
        <w:rPr>
          <w:w w:val="115"/>
        </w:rPr>
        <w:t>EUROCERT.</w:t>
      </w:r>
    </w:p>
    <w:p>
      <w:pPr>
        <w:pStyle w:val="BodyText"/>
        <w:spacing w:line="259" w:lineRule="auto" w:before="160"/>
        <w:ind w:left="880" w:right="945"/>
      </w:pPr>
      <w:r>
        <w:rPr>
          <w:w w:val="115"/>
        </w:rPr>
        <w:t>Gjatë auditimit, veprimet e ndërmarra për gjetjet e evidentuara gjatë auditimit të mëparshëm për</w:t>
      </w:r>
      <w:r>
        <w:rPr>
          <w:spacing w:val="-55"/>
          <w:w w:val="115"/>
        </w:rPr>
        <w:t> </w:t>
      </w:r>
      <w:r>
        <w:rPr>
          <w:w w:val="115"/>
        </w:rPr>
        <w:t>zbatimin</w:t>
      </w:r>
      <w:r>
        <w:rPr>
          <w:spacing w:val="1"/>
          <w:w w:val="115"/>
        </w:rPr>
        <w:t> </w:t>
      </w:r>
      <w:r>
        <w:rPr>
          <w:w w:val="115"/>
        </w:rPr>
        <w:t>e Sistemit të Menaxhimit Mjedisor,</w:t>
      </w:r>
      <w:r>
        <w:rPr>
          <w:spacing w:val="1"/>
          <w:w w:val="115"/>
        </w:rPr>
        <w:t> </w:t>
      </w:r>
      <w:r>
        <w:rPr>
          <w:w w:val="115"/>
        </w:rPr>
        <w:t>përmirësimi i vazhdueshëm i tij është vlerësuar</w:t>
      </w:r>
      <w:r>
        <w:rPr>
          <w:spacing w:val="1"/>
          <w:w w:val="115"/>
        </w:rPr>
        <w:t> </w:t>
      </w:r>
      <w:r>
        <w:rPr>
          <w:w w:val="115"/>
        </w:rPr>
        <w:t>shumë.</w:t>
      </w:r>
    </w:p>
    <w:p>
      <w:pPr>
        <w:spacing w:before="159"/>
        <w:ind w:left="880" w:right="0" w:firstLine="0"/>
        <w:jc w:val="left"/>
        <w:rPr>
          <w:i/>
          <w:sz w:val="22"/>
        </w:rPr>
      </w:pPr>
      <w:r>
        <w:rPr>
          <w:i/>
          <w:w w:val="115"/>
          <w:sz w:val="22"/>
        </w:rPr>
        <w:t>Asnjë</w:t>
      </w:r>
      <w:r>
        <w:rPr>
          <w:i/>
          <w:spacing w:val="-3"/>
          <w:w w:val="115"/>
          <w:sz w:val="22"/>
        </w:rPr>
        <w:t> </w:t>
      </w:r>
      <w:r>
        <w:rPr>
          <w:i/>
          <w:w w:val="115"/>
          <w:sz w:val="22"/>
        </w:rPr>
        <w:t>jo</w:t>
      </w:r>
      <w:r>
        <w:rPr>
          <w:i/>
          <w:spacing w:val="-2"/>
          <w:w w:val="115"/>
          <w:sz w:val="22"/>
        </w:rPr>
        <w:t> </w:t>
      </w:r>
      <w:r>
        <w:rPr>
          <w:i/>
          <w:w w:val="115"/>
          <w:sz w:val="22"/>
        </w:rPr>
        <w:t>konformitet nuk</w:t>
      </w:r>
      <w:r>
        <w:rPr>
          <w:i/>
          <w:spacing w:val="-2"/>
          <w:w w:val="115"/>
          <w:sz w:val="22"/>
        </w:rPr>
        <w:t> </w:t>
      </w:r>
      <w:r>
        <w:rPr>
          <w:i/>
          <w:w w:val="115"/>
          <w:sz w:val="22"/>
        </w:rPr>
        <w:t>është</w:t>
      </w:r>
      <w:r>
        <w:rPr>
          <w:i/>
          <w:spacing w:val="-2"/>
          <w:w w:val="115"/>
          <w:sz w:val="22"/>
        </w:rPr>
        <w:t> </w:t>
      </w:r>
      <w:r>
        <w:rPr>
          <w:i/>
          <w:w w:val="115"/>
          <w:sz w:val="22"/>
        </w:rPr>
        <w:t>gjetur.</w:t>
      </w:r>
    </w:p>
    <w:p>
      <w:pPr>
        <w:spacing w:before="181"/>
        <w:ind w:left="880" w:right="0" w:firstLine="0"/>
        <w:jc w:val="left"/>
        <w:rPr>
          <w:i/>
          <w:sz w:val="22"/>
        </w:rPr>
      </w:pPr>
      <w:r>
        <w:rPr>
          <w:i/>
          <w:w w:val="114"/>
          <w:sz w:val="22"/>
        </w:rPr>
        <w:t>.</w:t>
      </w:r>
    </w:p>
    <w:p>
      <w:pPr>
        <w:pStyle w:val="Heading7"/>
        <w:spacing w:before="180"/>
        <w:rPr>
          <w:b w:val="0"/>
        </w:rPr>
      </w:pPr>
      <w:r>
        <w:rPr>
          <w:w w:val="115"/>
        </w:rPr>
        <w:t>Përmirësimet</w:t>
      </w:r>
      <w:r>
        <w:rPr>
          <w:spacing w:val="-5"/>
          <w:w w:val="115"/>
        </w:rPr>
        <w:t> </w:t>
      </w:r>
      <w:r>
        <w:rPr>
          <w:w w:val="115"/>
        </w:rPr>
        <w:t>e</w:t>
      </w:r>
      <w:r>
        <w:rPr>
          <w:spacing w:val="-7"/>
          <w:w w:val="115"/>
        </w:rPr>
        <w:t> </w:t>
      </w:r>
      <w:r>
        <w:rPr>
          <w:w w:val="115"/>
        </w:rPr>
        <w:t>vazhdueshme</w:t>
      </w:r>
      <w:r>
        <w:rPr>
          <w:b w:val="0"/>
          <w:w w:val="115"/>
        </w:rPr>
        <w:t>:</w:t>
      </w:r>
    </w:p>
    <w:p>
      <w:pPr>
        <w:pStyle w:val="BodyText"/>
        <w:spacing w:line="259" w:lineRule="auto" w:before="183"/>
        <w:ind w:left="880" w:right="1029"/>
        <w:jc w:val="both"/>
      </w:pPr>
      <w:r>
        <w:rPr>
          <w:w w:val="115"/>
        </w:rPr>
        <w:t>Në kuadër te monitorimeve dhe raportimeve per vitin 2022 përveq monitorimit të vazhdueshem</w:t>
      </w:r>
      <w:r>
        <w:rPr>
          <w:spacing w:val="1"/>
          <w:w w:val="115"/>
        </w:rPr>
        <w:t> </w:t>
      </w:r>
      <w:r>
        <w:rPr>
          <w:w w:val="115"/>
        </w:rPr>
        <w:t>të emisioneve nga burimet kryesore, në baze periodike është bërë monitorimi i cilësis së ajrit dhe</w:t>
      </w:r>
      <w:r>
        <w:rPr>
          <w:spacing w:val="-56"/>
          <w:w w:val="115"/>
        </w:rPr>
        <w:t> </w:t>
      </w:r>
      <w:r>
        <w:rPr>
          <w:w w:val="115"/>
        </w:rPr>
        <w:t>zhurmave</w:t>
      </w:r>
      <w:r>
        <w:rPr>
          <w:spacing w:val="-1"/>
          <w:w w:val="115"/>
        </w:rPr>
        <w:t> </w:t>
      </w:r>
      <w:r>
        <w:rPr>
          <w:w w:val="115"/>
        </w:rPr>
        <w:t>në</w:t>
      </w:r>
      <w:r>
        <w:rPr>
          <w:spacing w:val="1"/>
          <w:w w:val="115"/>
        </w:rPr>
        <w:t> </w:t>
      </w:r>
      <w:r>
        <w:rPr>
          <w:w w:val="115"/>
        </w:rPr>
        <w:t>mjedis</w:t>
      </w:r>
      <w:r>
        <w:rPr>
          <w:spacing w:val="-2"/>
          <w:w w:val="115"/>
        </w:rPr>
        <w:t> </w:t>
      </w:r>
      <w:r>
        <w:rPr>
          <w:w w:val="115"/>
        </w:rPr>
        <w:t>në</w:t>
      </w:r>
      <w:r>
        <w:rPr>
          <w:spacing w:val="-2"/>
          <w:w w:val="115"/>
        </w:rPr>
        <w:t> </w:t>
      </w:r>
      <w:r>
        <w:rPr>
          <w:w w:val="115"/>
        </w:rPr>
        <w:t>perimetrin</w:t>
      </w:r>
      <w:r>
        <w:rPr>
          <w:spacing w:val="-2"/>
          <w:w w:val="115"/>
        </w:rPr>
        <w:t> </w:t>
      </w:r>
      <w:r>
        <w:rPr>
          <w:w w:val="115"/>
        </w:rPr>
        <w:t>e fabrikes</w:t>
      </w:r>
      <w:r>
        <w:rPr>
          <w:spacing w:val="-1"/>
          <w:w w:val="115"/>
        </w:rPr>
        <w:t> </w:t>
      </w:r>
      <w:r>
        <w:rPr>
          <w:w w:val="115"/>
        </w:rPr>
        <w:t>dhe minierat</w:t>
      </w:r>
      <w:r>
        <w:rPr>
          <w:spacing w:val="56"/>
          <w:w w:val="115"/>
        </w:rPr>
        <w:t> </w:t>
      </w:r>
      <w:r>
        <w:rPr>
          <w:w w:val="115"/>
        </w:rPr>
        <w:t>Dimce dhe</w:t>
      </w:r>
      <w:r>
        <w:rPr>
          <w:spacing w:val="-2"/>
          <w:w w:val="115"/>
        </w:rPr>
        <w:t> </w:t>
      </w:r>
      <w:r>
        <w:rPr>
          <w:w w:val="115"/>
        </w:rPr>
        <w:t>Seqishte</w:t>
      </w:r>
      <w:r>
        <w:rPr>
          <w:spacing w:val="-1"/>
          <w:w w:val="115"/>
        </w:rPr>
        <w:t> </w:t>
      </w:r>
      <w:r>
        <w:rPr>
          <w:w w:val="115"/>
        </w:rPr>
        <w:t>.</w:t>
      </w:r>
    </w:p>
    <w:p>
      <w:pPr>
        <w:pStyle w:val="BodyText"/>
        <w:spacing w:line="259" w:lineRule="auto" w:before="159"/>
        <w:ind w:left="880" w:right="1006"/>
        <w:jc w:val="both"/>
      </w:pPr>
      <w:r>
        <w:rPr>
          <w:w w:val="115"/>
        </w:rPr>
        <w:t>Në baza periodike është bërë edhe monitorimi i cilësise së ujrave nentoksor dhe ujrave shkarkues</w:t>
      </w:r>
      <w:r>
        <w:rPr>
          <w:spacing w:val="-56"/>
          <w:w w:val="115"/>
        </w:rPr>
        <w:t> </w:t>
      </w:r>
      <w:r>
        <w:rPr>
          <w:w w:val="115"/>
        </w:rPr>
        <w:t>nga</w:t>
      </w:r>
      <w:r>
        <w:rPr>
          <w:spacing w:val="-2"/>
          <w:w w:val="115"/>
        </w:rPr>
        <w:t> </w:t>
      </w:r>
      <w:r>
        <w:rPr>
          <w:w w:val="115"/>
        </w:rPr>
        <w:t>impianti</w:t>
      </w:r>
      <w:r>
        <w:rPr>
          <w:spacing w:val="-1"/>
          <w:w w:val="115"/>
        </w:rPr>
        <w:t> </w:t>
      </w:r>
      <w:r>
        <w:rPr>
          <w:w w:val="115"/>
        </w:rPr>
        <w:t>për</w:t>
      </w:r>
      <w:r>
        <w:rPr>
          <w:spacing w:val="1"/>
          <w:w w:val="115"/>
        </w:rPr>
        <w:t> </w:t>
      </w:r>
      <w:r>
        <w:rPr>
          <w:w w:val="115"/>
        </w:rPr>
        <w:t>trajtimin</w:t>
      </w:r>
      <w:r>
        <w:rPr>
          <w:spacing w:val="-2"/>
          <w:w w:val="115"/>
        </w:rPr>
        <w:t> </w:t>
      </w:r>
      <w:r>
        <w:rPr>
          <w:w w:val="115"/>
        </w:rPr>
        <w:t>e</w:t>
      </w:r>
      <w:r>
        <w:rPr>
          <w:spacing w:val="1"/>
          <w:w w:val="115"/>
        </w:rPr>
        <w:t> </w:t>
      </w:r>
      <w:r>
        <w:rPr>
          <w:w w:val="115"/>
        </w:rPr>
        <w:t>ujrave</w:t>
      </w:r>
      <w:r>
        <w:rPr>
          <w:spacing w:val="2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zeza.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line="220" w:lineRule="exact" w:before="0"/>
        <w:ind w:left="3203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685800</wp:posOffset>
            </wp:positionH>
            <wp:positionV relativeFrom="paragraph">
              <wp:posOffset>-148420</wp:posOffset>
            </wp:positionV>
            <wp:extent cx="1005839" cy="255447"/>
            <wp:effectExtent l="0" t="0" r="0" b="0"/>
            <wp:wrapNone/>
            <wp:docPr id="45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9" cy="25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Raport</w:t>
      </w:r>
      <w:r>
        <w:rPr>
          <w:spacing w:val="-3"/>
          <w:sz w:val="18"/>
        </w:rPr>
        <w:t> </w:t>
      </w:r>
      <w:r>
        <w:rPr>
          <w:sz w:val="18"/>
        </w:rPr>
        <w:t>vjetor</w:t>
      </w:r>
      <w:r>
        <w:rPr>
          <w:spacing w:val="-2"/>
          <w:sz w:val="18"/>
        </w:rPr>
        <w:t> </w:t>
      </w:r>
      <w:r>
        <w:rPr>
          <w:sz w:val="18"/>
        </w:rPr>
        <w:t>per</w:t>
      </w:r>
      <w:r>
        <w:rPr>
          <w:spacing w:val="-1"/>
          <w:sz w:val="18"/>
        </w:rPr>
        <w:t> </w:t>
      </w:r>
      <w:r>
        <w:rPr>
          <w:sz w:val="18"/>
        </w:rPr>
        <w:t>Mjedisin</w:t>
      </w:r>
      <w:r>
        <w:rPr>
          <w:spacing w:val="-3"/>
          <w:sz w:val="18"/>
        </w:rPr>
        <w:t> </w:t>
      </w:r>
      <w:r>
        <w:rPr>
          <w:sz w:val="18"/>
        </w:rPr>
        <w:t>2022</w:t>
      </w:r>
    </w:p>
    <w:p>
      <w:pPr>
        <w:spacing w:before="0"/>
        <w:ind w:left="880" w:right="0" w:firstLine="0"/>
        <w:jc w:val="left"/>
        <w:rPr>
          <w:rFonts w:ascii="Times New Roman"/>
          <w:sz w:val="18"/>
        </w:rPr>
      </w:pPr>
      <w:r>
        <w:rPr>
          <w:rFonts w:ascii="Times New Roman"/>
          <w:sz w:val="18"/>
        </w:rPr>
        <w:t>2</w:t>
      </w:r>
    </w:p>
    <w:p>
      <w:pPr>
        <w:spacing w:after="0"/>
        <w:jc w:val="left"/>
        <w:rPr>
          <w:rFonts w:ascii="Times New Roman"/>
          <w:sz w:val="18"/>
        </w:rPr>
        <w:sectPr>
          <w:pgSz w:w="12240" w:h="15840"/>
          <w:pgMar w:top="36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</w:p>
    <w:p>
      <w:pPr>
        <w:pStyle w:val="Heading1"/>
        <w:ind w:right="118"/>
      </w:pPr>
      <w:r>
        <w:rPr/>
        <w:pict>
          <v:shape style="position:absolute;margin-left:517.099976pt;margin-top:-35.757019pt;width:82.15pt;height:69.75pt;mso-position-horizontal-relative:page;mso-position-vertical-relative:paragraph;z-index:15758336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12A35"/>
          <w:spacing w:val="-13"/>
        </w:rPr>
        <w:t>Sistemi</w:t>
      </w:r>
      <w:r>
        <w:rPr>
          <w:color w:val="212A35"/>
          <w:spacing w:val="-33"/>
        </w:rPr>
        <w:t> </w:t>
      </w:r>
      <w:r>
        <w:rPr>
          <w:color w:val="212A35"/>
          <w:spacing w:val="-13"/>
        </w:rPr>
        <w:t>për</w:t>
      </w:r>
      <w:r>
        <w:rPr>
          <w:color w:val="212A35"/>
          <w:spacing w:val="-31"/>
        </w:rPr>
        <w:t> </w:t>
      </w:r>
      <w:r>
        <w:rPr>
          <w:color w:val="212A35"/>
          <w:spacing w:val="-13"/>
        </w:rPr>
        <w:t>monitorimin</w:t>
      </w:r>
      <w:r>
        <w:rPr>
          <w:color w:val="212A35"/>
          <w:spacing w:val="-29"/>
        </w:rPr>
        <w:t> </w:t>
      </w:r>
      <w:r>
        <w:rPr>
          <w:color w:val="212A35"/>
          <w:spacing w:val="-13"/>
        </w:rPr>
        <w:t>e</w:t>
      </w:r>
      <w:r>
        <w:rPr>
          <w:color w:val="212A35"/>
          <w:spacing w:val="-31"/>
        </w:rPr>
        <w:t> </w:t>
      </w:r>
      <w:r>
        <w:rPr>
          <w:color w:val="212A35"/>
          <w:spacing w:val="-13"/>
        </w:rPr>
        <w:t>vazhdueshem</w:t>
      </w:r>
      <w:r>
        <w:rPr>
          <w:color w:val="212A35"/>
          <w:spacing w:val="-30"/>
        </w:rPr>
        <w:t> </w:t>
      </w:r>
      <w:r>
        <w:rPr>
          <w:color w:val="212A35"/>
          <w:spacing w:val="-13"/>
        </w:rPr>
        <w:t>të</w:t>
      </w:r>
      <w:r>
        <w:rPr>
          <w:color w:val="212A35"/>
          <w:spacing w:val="-30"/>
        </w:rPr>
        <w:t> </w:t>
      </w:r>
      <w:r>
        <w:rPr>
          <w:color w:val="212A35"/>
          <w:spacing w:val="-13"/>
        </w:rPr>
        <w:t>emisioneve</w:t>
      </w:r>
    </w:p>
    <w:p>
      <w:pPr>
        <w:pStyle w:val="BodyText"/>
        <w:spacing w:before="10"/>
        <w:rPr>
          <w:b/>
          <w:sz w:val="43"/>
        </w:rPr>
      </w:pPr>
    </w:p>
    <w:p>
      <w:pPr>
        <w:pStyle w:val="BodyText"/>
        <w:spacing w:before="1"/>
        <w:ind w:left="1240" w:right="1299"/>
      </w:pPr>
      <w:r>
        <w:rPr>
          <w:w w:val="115"/>
        </w:rPr>
        <w:t>Përtej</w:t>
      </w:r>
      <w:r>
        <w:rPr>
          <w:spacing w:val="-6"/>
          <w:w w:val="115"/>
        </w:rPr>
        <w:t> </w:t>
      </w:r>
      <w:r>
        <w:rPr>
          <w:w w:val="115"/>
        </w:rPr>
        <w:t>kërkesave</w:t>
      </w:r>
      <w:r>
        <w:rPr>
          <w:spacing w:val="-3"/>
          <w:w w:val="115"/>
        </w:rPr>
        <w:t> </w:t>
      </w:r>
      <w:r>
        <w:rPr>
          <w:w w:val="115"/>
        </w:rPr>
        <w:t>ligjore,</w:t>
      </w:r>
      <w:r>
        <w:rPr>
          <w:spacing w:val="-6"/>
          <w:w w:val="115"/>
        </w:rPr>
        <w:t> </w:t>
      </w:r>
      <w:r>
        <w:rPr>
          <w:w w:val="115"/>
        </w:rPr>
        <w:t>kompania</w:t>
      </w:r>
      <w:r>
        <w:rPr>
          <w:spacing w:val="-7"/>
          <w:w w:val="115"/>
        </w:rPr>
        <w:t> </w:t>
      </w:r>
      <w:r>
        <w:rPr>
          <w:w w:val="115"/>
        </w:rPr>
        <w:t>vullnetarisht</w:t>
      </w:r>
      <w:r>
        <w:rPr>
          <w:spacing w:val="-4"/>
          <w:w w:val="115"/>
        </w:rPr>
        <w:t> </w:t>
      </w:r>
      <w:r>
        <w:rPr>
          <w:w w:val="115"/>
        </w:rPr>
        <w:t>vendosi</w:t>
      </w:r>
      <w:r>
        <w:rPr>
          <w:spacing w:val="-6"/>
          <w:w w:val="115"/>
        </w:rPr>
        <w:t> </w:t>
      </w:r>
      <w:r>
        <w:rPr>
          <w:w w:val="115"/>
        </w:rPr>
        <w:t>të</w:t>
      </w:r>
      <w:r>
        <w:rPr>
          <w:spacing w:val="-4"/>
          <w:w w:val="115"/>
        </w:rPr>
        <w:t> </w:t>
      </w:r>
      <w:r>
        <w:rPr>
          <w:w w:val="115"/>
        </w:rPr>
        <w:t>krijojë</w:t>
      </w:r>
      <w:r>
        <w:rPr>
          <w:spacing w:val="-4"/>
          <w:w w:val="115"/>
        </w:rPr>
        <w:t> </w:t>
      </w:r>
      <w:r>
        <w:rPr>
          <w:w w:val="115"/>
        </w:rPr>
        <w:t>dhe</w:t>
      </w:r>
      <w:r>
        <w:rPr>
          <w:spacing w:val="-6"/>
          <w:w w:val="115"/>
        </w:rPr>
        <w:t> </w:t>
      </w:r>
      <w:r>
        <w:rPr>
          <w:w w:val="115"/>
        </w:rPr>
        <w:t>operojë</w:t>
      </w:r>
      <w:r>
        <w:rPr>
          <w:spacing w:val="-4"/>
          <w:w w:val="115"/>
        </w:rPr>
        <w:t> </w:t>
      </w:r>
      <w:r>
        <w:rPr>
          <w:w w:val="115"/>
        </w:rPr>
        <w:t>një</w:t>
      </w:r>
      <w:r>
        <w:rPr>
          <w:spacing w:val="-4"/>
          <w:w w:val="115"/>
        </w:rPr>
        <w:t> </w:t>
      </w:r>
      <w:r>
        <w:rPr>
          <w:w w:val="115"/>
        </w:rPr>
        <w:t>sistem</w:t>
      </w:r>
      <w:r>
        <w:rPr>
          <w:spacing w:val="-7"/>
          <w:w w:val="115"/>
        </w:rPr>
        <w:t> </w:t>
      </w:r>
      <w:r>
        <w:rPr>
          <w:w w:val="115"/>
        </w:rPr>
        <w:t>të</w:t>
      </w:r>
      <w:r>
        <w:rPr>
          <w:spacing w:val="-54"/>
          <w:w w:val="115"/>
        </w:rPr>
        <w:t> </w:t>
      </w:r>
      <w:r>
        <w:rPr>
          <w:w w:val="115"/>
        </w:rPr>
        <w:t>monitorimit</w:t>
      </w:r>
      <w:r>
        <w:rPr>
          <w:spacing w:val="-3"/>
          <w:w w:val="115"/>
        </w:rPr>
        <w:t> </w:t>
      </w:r>
      <w:r>
        <w:rPr>
          <w:w w:val="115"/>
        </w:rPr>
        <w:t>të</w:t>
      </w:r>
      <w:r>
        <w:rPr>
          <w:spacing w:val="-1"/>
          <w:w w:val="115"/>
        </w:rPr>
        <w:t> </w:t>
      </w:r>
      <w:r>
        <w:rPr>
          <w:w w:val="115"/>
        </w:rPr>
        <w:t>vazhdueshëm</w:t>
      </w:r>
      <w:r>
        <w:rPr>
          <w:spacing w:val="-2"/>
          <w:w w:val="115"/>
        </w:rPr>
        <w:t> </w:t>
      </w:r>
      <w:r>
        <w:rPr>
          <w:w w:val="115"/>
        </w:rPr>
        <w:t>te</w:t>
      </w:r>
      <w:r>
        <w:rPr>
          <w:spacing w:val="53"/>
          <w:w w:val="115"/>
        </w:rPr>
        <w:t> </w:t>
      </w:r>
      <w:r>
        <w:rPr>
          <w:w w:val="115"/>
        </w:rPr>
        <w:t>Emisioneve (CEMS),</w:t>
      </w:r>
      <w:r>
        <w:rPr>
          <w:spacing w:val="-2"/>
          <w:w w:val="115"/>
        </w:rPr>
        <w:t> </w:t>
      </w:r>
      <w:r>
        <w:rPr>
          <w:w w:val="115"/>
        </w:rPr>
        <w:t>që nga</w:t>
      </w:r>
      <w:r>
        <w:rPr>
          <w:spacing w:val="-2"/>
          <w:w w:val="115"/>
        </w:rPr>
        <w:t> </w:t>
      </w:r>
      <w:r>
        <w:rPr>
          <w:w w:val="115"/>
        </w:rPr>
        <w:t>fillimi</w:t>
      </w:r>
      <w:r>
        <w:rPr>
          <w:spacing w:val="-2"/>
          <w:w w:val="115"/>
        </w:rPr>
        <w:t> </w:t>
      </w:r>
      <w:r>
        <w:rPr>
          <w:w w:val="115"/>
        </w:rPr>
        <w:t>i</w:t>
      </w:r>
      <w:r>
        <w:rPr>
          <w:spacing w:val="-1"/>
          <w:w w:val="115"/>
        </w:rPr>
        <w:t> </w:t>
      </w:r>
      <w:r>
        <w:rPr>
          <w:w w:val="115"/>
        </w:rPr>
        <w:t>vitit 2013.</w:t>
      </w:r>
    </w:p>
    <w:p>
      <w:pPr>
        <w:pStyle w:val="BodyText"/>
        <w:ind w:left="1240"/>
      </w:pPr>
      <w:r>
        <w:rPr>
          <w:w w:val="115"/>
        </w:rPr>
        <w:t>Nje</w:t>
      </w:r>
      <w:r>
        <w:rPr>
          <w:spacing w:val="-3"/>
          <w:w w:val="115"/>
        </w:rPr>
        <w:t> </w:t>
      </w:r>
      <w:r>
        <w:rPr>
          <w:w w:val="115"/>
        </w:rPr>
        <w:t>kerkese</w:t>
      </w:r>
      <w:r>
        <w:rPr>
          <w:spacing w:val="-5"/>
          <w:w w:val="115"/>
        </w:rPr>
        <w:t> </w:t>
      </w:r>
      <w:r>
        <w:rPr>
          <w:w w:val="115"/>
        </w:rPr>
        <w:t>e</w:t>
      </w:r>
      <w:r>
        <w:rPr>
          <w:spacing w:val="-5"/>
          <w:w w:val="115"/>
        </w:rPr>
        <w:t> </w:t>
      </w:r>
      <w:r>
        <w:rPr>
          <w:w w:val="115"/>
        </w:rPr>
        <w:t>tille</w:t>
      </w:r>
      <w:r>
        <w:rPr>
          <w:spacing w:val="-3"/>
          <w:w w:val="115"/>
        </w:rPr>
        <w:t> </w:t>
      </w:r>
      <w:r>
        <w:rPr>
          <w:w w:val="115"/>
        </w:rPr>
        <w:t>qe</w:t>
      </w:r>
      <w:r>
        <w:rPr>
          <w:spacing w:val="-5"/>
          <w:w w:val="115"/>
        </w:rPr>
        <w:t> </w:t>
      </w:r>
      <w:r>
        <w:rPr>
          <w:w w:val="115"/>
        </w:rPr>
        <w:t>nga</w:t>
      </w:r>
      <w:r>
        <w:rPr>
          <w:spacing w:val="-4"/>
          <w:w w:val="115"/>
        </w:rPr>
        <w:t> </w:t>
      </w:r>
      <w:r>
        <w:rPr>
          <w:w w:val="115"/>
        </w:rPr>
        <w:t>viti</w:t>
      </w:r>
      <w:r>
        <w:rPr>
          <w:spacing w:val="-7"/>
          <w:w w:val="115"/>
        </w:rPr>
        <w:t> </w:t>
      </w:r>
      <w:r>
        <w:rPr>
          <w:w w:val="115"/>
        </w:rPr>
        <w:t>2014</w:t>
      </w:r>
      <w:r>
        <w:rPr>
          <w:spacing w:val="-5"/>
          <w:w w:val="115"/>
        </w:rPr>
        <w:t> </w:t>
      </w:r>
      <w:r>
        <w:rPr>
          <w:w w:val="115"/>
        </w:rPr>
        <w:t>eshte</w:t>
      </w:r>
      <w:r>
        <w:rPr>
          <w:spacing w:val="-5"/>
          <w:w w:val="115"/>
        </w:rPr>
        <w:t> </w:t>
      </w:r>
      <w:r>
        <w:rPr>
          <w:w w:val="115"/>
        </w:rPr>
        <w:t>e</w:t>
      </w:r>
      <w:r>
        <w:rPr>
          <w:spacing w:val="-5"/>
          <w:w w:val="115"/>
        </w:rPr>
        <w:t> </w:t>
      </w:r>
      <w:r>
        <w:rPr>
          <w:w w:val="115"/>
        </w:rPr>
        <w:t>percaktuar</w:t>
      </w:r>
      <w:r>
        <w:rPr>
          <w:spacing w:val="-2"/>
          <w:w w:val="115"/>
        </w:rPr>
        <w:t> </w:t>
      </w:r>
      <w:r>
        <w:rPr>
          <w:w w:val="115"/>
        </w:rPr>
        <w:t>edhe</w:t>
      </w:r>
      <w:r>
        <w:rPr>
          <w:spacing w:val="-5"/>
          <w:w w:val="115"/>
        </w:rPr>
        <w:t> </w:t>
      </w:r>
      <w:r>
        <w:rPr>
          <w:w w:val="115"/>
        </w:rPr>
        <w:t>me</w:t>
      </w:r>
      <w:r>
        <w:rPr>
          <w:spacing w:val="-5"/>
          <w:w w:val="115"/>
        </w:rPr>
        <w:t> </w:t>
      </w:r>
      <w:r>
        <w:rPr>
          <w:w w:val="115"/>
        </w:rPr>
        <w:t>kushtet</w:t>
      </w:r>
      <w:r>
        <w:rPr>
          <w:spacing w:val="-5"/>
          <w:w w:val="115"/>
        </w:rPr>
        <w:t> </w:t>
      </w:r>
      <w:r>
        <w:rPr>
          <w:w w:val="115"/>
        </w:rPr>
        <w:t>e</w:t>
      </w:r>
      <w:r>
        <w:rPr>
          <w:spacing w:val="-5"/>
          <w:w w:val="115"/>
        </w:rPr>
        <w:t> </w:t>
      </w:r>
      <w:r>
        <w:rPr>
          <w:w w:val="115"/>
        </w:rPr>
        <w:t>lejes</w:t>
      </w:r>
      <w:r>
        <w:rPr>
          <w:spacing w:val="-6"/>
          <w:w w:val="115"/>
        </w:rPr>
        <w:t> </w:t>
      </w:r>
      <w:r>
        <w:rPr>
          <w:w w:val="115"/>
        </w:rPr>
        <w:t>se</w:t>
      </w:r>
      <w:r>
        <w:rPr>
          <w:spacing w:val="1"/>
          <w:w w:val="115"/>
        </w:rPr>
        <w:t> </w:t>
      </w:r>
      <w:r>
        <w:rPr>
          <w:w w:val="115"/>
        </w:rPr>
        <w:t>Integruar</w:t>
      </w:r>
      <w:r>
        <w:rPr>
          <w:spacing w:val="-3"/>
          <w:w w:val="115"/>
        </w:rPr>
        <w:t> </w:t>
      </w:r>
      <w:r>
        <w:rPr>
          <w:w w:val="115"/>
        </w:rPr>
        <w:t>.</w:t>
      </w:r>
    </w:p>
    <w:p>
      <w:pPr>
        <w:pStyle w:val="BodyText"/>
      </w:pPr>
    </w:p>
    <w:p>
      <w:pPr>
        <w:pStyle w:val="ListParagraph"/>
        <w:numPr>
          <w:ilvl w:val="0"/>
          <w:numId w:val="1"/>
        </w:numPr>
        <w:tabs>
          <w:tab w:pos="1961" w:val="left" w:leader="none"/>
        </w:tabs>
        <w:spacing w:line="240" w:lineRule="auto" w:before="183" w:after="0"/>
        <w:ind w:left="1960" w:right="1455" w:hanging="360"/>
        <w:jc w:val="left"/>
        <w:rPr>
          <w:sz w:val="22"/>
        </w:rPr>
      </w:pPr>
      <w:r>
        <w:rPr>
          <w:b/>
          <w:w w:val="115"/>
          <w:sz w:val="22"/>
        </w:rPr>
        <w:t>CEMS</w:t>
      </w:r>
      <w:r>
        <w:rPr>
          <w:b/>
          <w:spacing w:val="54"/>
          <w:w w:val="115"/>
          <w:sz w:val="22"/>
        </w:rPr>
        <w:t> </w:t>
      </w:r>
      <w:r>
        <w:rPr>
          <w:w w:val="115"/>
          <w:sz w:val="22"/>
        </w:rPr>
        <w:t>verifikohen</w:t>
      </w:r>
      <w:r>
        <w:rPr>
          <w:spacing w:val="52"/>
          <w:w w:val="115"/>
          <w:sz w:val="22"/>
        </w:rPr>
        <w:t> </w:t>
      </w:r>
      <w:r>
        <w:rPr>
          <w:w w:val="115"/>
          <w:sz w:val="22"/>
        </w:rPr>
        <w:t>në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mënyrë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periodike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për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sigurimin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e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cilësisë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së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-5"/>
          <w:w w:val="115"/>
          <w:sz w:val="22"/>
        </w:rPr>
        <w:t> </w:t>
      </w:r>
      <w:r>
        <w:rPr>
          <w:w w:val="115"/>
          <w:sz w:val="22"/>
        </w:rPr>
        <w:t>dhënave,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nga</w:t>
      </w:r>
      <w:r>
        <w:rPr>
          <w:spacing w:val="-54"/>
          <w:w w:val="115"/>
          <w:sz w:val="22"/>
        </w:rPr>
        <w:t> </w:t>
      </w:r>
      <w:r>
        <w:rPr>
          <w:w w:val="115"/>
          <w:sz w:val="22"/>
        </w:rPr>
        <w:t>palët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treta.</w:t>
      </w:r>
    </w:p>
    <w:p>
      <w:pPr>
        <w:pStyle w:val="BodyText"/>
      </w:pPr>
    </w:p>
    <w:p>
      <w:pPr>
        <w:pStyle w:val="ListParagraph"/>
        <w:numPr>
          <w:ilvl w:val="0"/>
          <w:numId w:val="1"/>
        </w:numPr>
        <w:tabs>
          <w:tab w:pos="1961" w:val="left" w:leader="none"/>
        </w:tabs>
        <w:spacing w:line="240" w:lineRule="auto" w:before="1" w:after="0"/>
        <w:ind w:left="1960" w:right="1823" w:hanging="360"/>
        <w:jc w:val="left"/>
        <w:rPr>
          <w:sz w:val="22"/>
        </w:rPr>
      </w:pPr>
      <w:r>
        <w:rPr>
          <w:b/>
          <w:w w:val="115"/>
          <w:sz w:val="22"/>
        </w:rPr>
        <w:t>Të</w:t>
      </w:r>
      <w:r>
        <w:rPr>
          <w:b/>
          <w:spacing w:val="-3"/>
          <w:w w:val="115"/>
          <w:sz w:val="22"/>
        </w:rPr>
        <w:t> </w:t>
      </w:r>
      <w:r>
        <w:rPr>
          <w:b/>
          <w:w w:val="115"/>
          <w:sz w:val="22"/>
        </w:rPr>
        <w:t>gjitha</w:t>
      </w:r>
      <w:r>
        <w:rPr>
          <w:b/>
          <w:spacing w:val="-3"/>
          <w:w w:val="115"/>
          <w:sz w:val="22"/>
        </w:rPr>
        <w:t> </w:t>
      </w:r>
      <w:r>
        <w:rPr>
          <w:w w:val="115"/>
          <w:sz w:val="22"/>
        </w:rPr>
        <w:t>instrumentet</w:t>
      </w:r>
      <w:r>
        <w:rPr>
          <w:spacing w:val="-4"/>
          <w:w w:val="115"/>
          <w:sz w:val="22"/>
        </w:rPr>
        <w:t> </w:t>
      </w:r>
      <w:r>
        <w:rPr>
          <w:w w:val="115"/>
          <w:sz w:val="22"/>
        </w:rPr>
        <w:t>për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CEMS</w:t>
      </w:r>
      <w:r>
        <w:rPr>
          <w:spacing w:val="-4"/>
          <w:w w:val="115"/>
          <w:sz w:val="22"/>
        </w:rPr>
        <w:t> </w:t>
      </w:r>
      <w:r>
        <w:rPr>
          <w:w w:val="115"/>
          <w:sz w:val="22"/>
        </w:rPr>
        <w:t>janë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-4"/>
          <w:w w:val="115"/>
          <w:sz w:val="22"/>
        </w:rPr>
        <w:t> </w:t>
      </w:r>
      <w:r>
        <w:rPr>
          <w:w w:val="115"/>
          <w:sz w:val="22"/>
        </w:rPr>
        <w:t>kalibruar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54"/>
          <w:w w:val="115"/>
          <w:sz w:val="22"/>
        </w:rPr>
        <w:t> </w:t>
      </w:r>
      <w:r>
        <w:rPr>
          <w:w w:val="115"/>
          <w:sz w:val="22"/>
        </w:rPr>
        <w:t>kontrollohen</w:t>
      </w:r>
      <w:r>
        <w:rPr>
          <w:spacing w:val="-4"/>
          <w:w w:val="115"/>
          <w:sz w:val="22"/>
        </w:rPr>
        <w:t> </w:t>
      </w:r>
      <w:r>
        <w:rPr>
          <w:w w:val="115"/>
          <w:sz w:val="22"/>
        </w:rPr>
        <w:t>në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bazë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-54"/>
          <w:w w:val="115"/>
          <w:sz w:val="22"/>
        </w:rPr>
        <w:t> </w:t>
      </w:r>
      <w:r>
        <w:rPr>
          <w:w w:val="115"/>
          <w:sz w:val="22"/>
        </w:rPr>
        <w:t>standarteve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EN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14181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BS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EN 13284-01.</w:t>
      </w:r>
    </w:p>
    <w:p>
      <w:pPr>
        <w:pStyle w:val="BodyText"/>
        <w:spacing w:before="1"/>
      </w:pPr>
    </w:p>
    <w:p>
      <w:pPr>
        <w:pStyle w:val="BodyText"/>
        <w:ind w:left="1240" w:right="1477"/>
        <w:rPr>
          <w:b/>
        </w:rPr>
      </w:pPr>
      <w:r>
        <w:rPr>
          <w:w w:val="115"/>
        </w:rPr>
        <w:t>Që nga viti 2019 është bërë</w:t>
      </w:r>
      <w:r>
        <w:rPr>
          <w:spacing w:val="1"/>
          <w:w w:val="115"/>
        </w:rPr>
        <w:t> </w:t>
      </w:r>
      <w:r>
        <w:rPr>
          <w:w w:val="115"/>
        </w:rPr>
        <w:t>zavendësimi i</w:t>
      </w:r>
      <w:r>
        <w:rPr>
          <w:spacing w:val="1"/>
          <w:w w:val="115"/>
        </w:rPr>
        <w:t> </w:t>
      </w:r>
      <w:r>
        <w:rPr>
          <w:w w:val="115"/>
        </w:rPr>
        <w:t>softwerit eksistues</w:t>
      </w:r>
      <w:r>
        <w:rPr>
          <w:spacing w:val="1"/>
          <w:w w:val="115"/>
        </w:rPr>
        <w:t> </w:t>
      </w:r>
      <w:r>
        <w:rPr>
          <w:w w:val="115"/>
        </w:rPr>
        <w:t>MEAC 2000 me softwer më</w:t>
      </w:r>
      <w:r>
        <w:rPr>
          <w:spacing w:val="-55"/>
          <w:w w:val="115"/>
        </w:rPr>
        <w:t> </w:t>
      </w:r>
      <w:r>
        <w:rPr>
          <w:w w:val="115"/>
        </w:rPr>
        <w:t>të avancuar</w:t>
      </w:r>
      <w:r>
        <w:rPr>
          <w:spacing w:val="1"/>
          <w:w w:val="115"/>
        </w:rPr>
        <w:t> </w:t>
      </w:r>
      <w:r>
        <w:rPr>
          <w:w w:val="115"/>
        </w:rPr>
        <w:t>(MEAC 300) për perpunimin e të dhënave të emisioneve, sistem që gjeneron</w:t>
      </w:r>
      <w:r>
        <w:rPr>
          <w:spacing w:val="1"/>
          <w:w w:val="115"/>
        </w:rPr>
        <w:t> </w:t>
      </w:r>
      <w:r>
        <w:rPr>
          <w:w w:val="115"/>
        </w:rPr>
        <w:t>çdo kohe automatikisht dhe në mënyrë të pavarur</w:t>
      </w:r>
      <w:r>
        <w:rPr>
          <w:spacing w:val="1"/>
          <w:w w:val="115"/>
        </w:rPr>
        <w:t> </w:t>
      </w:r>
      <w:r>
        <w:rPr>
          <w:w w:val="115"/>
        </w:rPr>
        <w:t>vlerat e emisioneve  dhe siguron</w:t>
      </w:r>
      <w:r>
        <w:rPr>
          <w:spacing w:val="1"/>
          <w:w w:val="115"/>
        </w:rPr>
        <w:t> </w:t>
      </w:r>
      <w:r>
        <w:rPr>
          <w:w w:val="115"/>
        </w:rPr>
        <w:t>cilësinë dhe pavarësinë. SHARRCEM vepron në përputhje me Teknikat më të mira të</w:t>
      </w:r>
      <w:r>
        <w:rPr>
          <w:spacing w:val="1"/>
          <w:w w:val="115"/>
        </w:rPr>
        <w:t> </w:t>
      </w:r>
      <w:r>
        <w:rPr>
          <w:w w:val="115"/>
        </w:rPr>
        <w:t>mundshme</w:t>
      </w:r>
      <w:r>
        <w:rPr>
          <w:spacing w:val="1"/>
          <w:w w:val="115"/>
        </w:rPr>
        <w:t> </w:t>
      </w:r>
      <w:r>
        <w:rPr>
          <w:w w:val="115"/>
        </w:rPr>
        <w:t>(BAT), per redukimin e</w:t>
      </w:r>
      <w:r>
        <w:rPr>
          <w:spacing w:val="1"/>
          <w:w w:val="115"/>
        </w:rPr>
        <w:t> </w:t>
      </w:r>
      <w:r>
        <w:rPr>
          <w:w w:val="115"/>
        </w:rPr>
        <w:t>emisioneve për  industri te cimentos , Direktiva</w:t>
      </w:r>
      <w:r>
        <w:rPr>
          <w:spacing w:val="1"/>
          <w:w w:val="115"/>
        </w:rPr>
        <w:t> </w:t>
      </w:r>
      <w:r>
        <w:rPr>
          <w:w w:val="115"/>
        </w:rPr>
        <w:t>2010/75 / BE,dhe</w:t>
      </w:r>
      <w:r>
        <w:rPr>
          <w:spacing w:val="1"/>
          <w:w w:val="115"/>
        </w:rPr>
        <w:t> </w:t>
      </w:r>
      <w:r>
        <w:rPr>
          <w:w w:val="115"/>
        </w:rPr>
        <w:t>ligjit</w:t>
      </w:r>
      <w:r>
        <w:rPr>
          <w:spacing w:val="-2"/>
          <w:w w:val="115"/>
        </w:rPr>
        <w:t> </w:t>
      </w:r>
      <w:r>
        <w:rPr>
          <w:w w:val="115"/>
        </w:rPr>
        <w:t>te</w:t>
      </w:r>
      <w:r>
        <w:rPr>
          <w:spacing w:val="1"/>
          <w:w w:val="115"/>
        </w:rPr>
        <w:t> </w:t>
      </w:r>
      <w:r>
        <w:rPr>
          <w:w w:val="115"/>
        </w:rPr>
        <w:t>IPPC</w:t>
      </w:r>
      <w:r>
        <w:rPr>
          <w:spacing w:val="2"/>
          <w:w w:val="115"/>
        </w:rPr>
        <w:t> </w:t>
      </w:r>
      <w:r>
        <w:rPr>
          <w:b/>
          <w:w w:val="115"/>
        </w:rPr>
        <w:t>–</w:t>
      </w:r>
      <w:r>
        <w:rPr>
          <w:b/>
          <w:spacing w:val="-2"/>
          <w:w w:val="115"/>
        </w:rPr>
        <w:t> </w:t>
      </w:r>
      <w:r>
        <w:rPr>
          <w:w w:val="115"/>
        </w:rPr>
        <w:t>Lejes</w:t>
      </w:r>
      <w:r>
        <w:rPr>
          <w:spacing w:val="-1"/>
          <w:w w:val="115"/>
        </w:rPr>
        <w:t> </w:t>
      </w:r>
      <w:r>
        <w:rPr>
          <w:w w:val="115"/>
        </w:rPr>
        <w:t>së</w:t>
      </w:r>
      <w:r>
        <w:rPr>
          <w:spacing w:val="-2"/>
          <w:w w:val="115"/>
        </w:rPr>
        <w:t> </w:t>
      </w:r>
      <w:r>
        <w:rPr>
          <w:w w:val="115"/>
        </w:rPr>
        <w:t>Integruar</w:t>
      </w:r>
      <w:r>
        <w:rPr>
          <w:spacing w:val="1"/>
          <w:w w:val="115"/>
        </w:rPr>
        <w:t> </w:t>
      </w:r>
      <w:r>
        <w:rPr>
          <w:b/>
          <w:w w:val="115"/>
        </w:rPr>
        <w:t>.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Heading7"/>
        <w:ind w:left="1240"/>
      </w:pPr>
      <w:r>
        <w:rPr>
          <w:w w:val="115"/>
        </w:rPr>
        <w:t>EMETIMET</w:t>
      </w:r>
      <w:r>
        <w:rPr>
          <w:spacing w:val="-2"/>
          <w:w w:val="115"/>
        </w:rPr>
        <w:t> </w:t>
      </w:r>
      <w:r>
        <w:rPr>
          <w:w w:val="115"/>
        </w:rPr>
        <w:t>NË</w:t>
      </w:r>
      <w:r>
        <w:rPr>
          <w:spacing w:val="-3"/>
          <w:w w:val="115"/>
        </w:rPr>
        <w:t> </w:t>
      </w:r>
      <w:r>
        <w:rPr>
          <w:w w:val="115"/>
        </w:rPr>
        <w:t>AJËR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1240" w:right="0" w:firstLine="0"/>
        <w:jc w:val="left"/>
        <w:rPr>
          <w:b/>
          <w:sz w:val="22"/>
        </w:rPr>
      </w:pPr>
      <w:r>
        <w:rPr>
          <w:b/>
          <w:w w:val="115"/>
          <w:sz w:val="22"/>
        </w:rPr>
        <w:t>Oxidet</w:t>
      </w:r>
      <w:r>
        <w:rPr>
          <w:b/>
          <w:spacing w:val="-4"/>
          <w:w w:val="115"/>
          <w:sz w:val="22"/>
        </w:rPr>
        <w:t> </w:t>
      </w:r>
      <w:r>
        <w:rPr>
          <w:b/>
          <w:w w:val="115"/>
          <w:sz w:val="22"/>
        </w:rPr>
        <w:t>e</w:t>
      </w:r>
      <w:r>
        <w:rPr>
          <w:b/>
          <w:spacing w:val="-4"/>
          <w:w w:val="115"/>
          <w:sz w:val="22"/>
        </w:rPr>
        <w:t> </w:t>
      </w:r>
      <w:r>
        <w:rPr>
          <w:b/>
          <w:w w:val="115"/>
          <w:sz w:val="22"/>
        </w:rPr>
        <w:t>Squfurit(SOx)</w:t>
      </w:r>
      <w:r>
        <w:rPr>
          <w:b/>
          <w:spacing w:val="-3"/>
          <w:w w:val="115"/>
          <w:sz w:val="22"/>
        </w:rPr>
        <w:t> </w:t>
      </w:r>
      <w:r>
        <w:rPr>
          <w:b/>
          <w:w w:val="115"/>
          <w:sz w:val="22"/>
        </w:rPr>
        <w:t>dhe</w:t>
      </w:r>
      <w:r>
        <w:rPr>
          <w:b/>
          <w:spacing w:val="-1"/>
          <w:w w:val="115"/>
          <w:sz w:val="22"/>
        </w:rPr>
        <w:t> </w:t>
      </w:r>
      <w:r>
        <w:rPr>
          <w:b/>
          <w:w w:val="115"/>
          <w:sz w:val="22"/>
        </w:rPr>
        <w:t>oksidet</w:t>
      </w:r>
      <w:r>
        <w:rPr>
          <w:b/>
          <w:spacing w:val="-4"/>
          <w:w w:val="115"/>
          <w:sz w:val="22"/>
        </w:rPr>
        <w:t> </w:t>
      </w:r>
      <w:r>
        <w:rPr>
          <w:b/>
          <w:w w:val="115"/>
          <w:sz w:val="22"/>
        </w:rPr>
        <w:t>e</w:t>
      </w:r>
      <w:r>
        <w:rPr>
          <w:b/>
          <w:spacing w:val="-4"/>
          <w:w w:val="115"/>
          <w:sz w:val="22"/>
        </w:rPr>
        <w:t> </w:t>
      </w:r>
      <w:r>
        <w:rPr>
          <w:b/>
          <w:w w:val="115"/>
          <w:sz w:val="22"/>
        </w:rPr>
        <w:t>azotit</w:t>
      </w:r>
      <w:r>
        <w:rPr>
          <w:b/>
          <w:spacing w:val="-3"/>
          <w:w w:val="115"/>
          <w:sz w:val="22"/>
        </w:rPr>
        <w:t> </w:t>
      </w:r>
      <w:r>
        <w:rPr>
          <w:b/>
          <w:w w:val="115"/>
          <w:sz w:val="22"/>
        </w:rPr>
        <w:t>(NOx)</w:t>
      </w:r>
    </w:p>
    <w:p>
      <w:pPr>
        <w:pStyle w:val="BodyText"/>
        <w:rPr>
          <w:b/>
        </w:rPr>
      </w:pPr>
    </w:p>
    <w:p>
      <w:pPr>
        <w:pStyle w:val="BodyText"/>
        <w:ind w:left="1240" w:right="1299"/>
      </w:pPr>
      <w:r>
        <w:rPr>
          <w:w w:val="115"/>
        </w:rPr>
        <w:t>Prania e squfurit (S), në lëndët e dhe në lëndën djegese janë burimet kryesore të</w:t>
      </w:r>
      <w:r>
        <w:rPr>
          <w:spacing w:val="1"/>
          <w:w w:val="115"/>
        </w:rPr>
        <w:t> </w:t>
      </w:r>
      <w:r>
        <w:rPr>
          <w:w w:val="115"/>
        </w:rPr>
        <w:t>emisioneve SOx . Emisionet e SOx janë shumë të ulëta, për shkak të përqendrimit të ulët të</w:t>
      </w:r>
      <w:r>
        <w:rPr>
          <w:spacing w:val="-55"/>
          <w:w w:val="115"/>
        </w:rPr>
        <w:t> </w:t>
      </w:r>
      <w:r>
        <w:rPr>
          <w:w w:val="115"/>
        </w:rPr>
        <w:t>Squfurit në lëndën djegëse</w:t>
      </w:r>
      <w:r>
        <w:rPr>
          <w:spacing w:val="1"/>
          <w:w w:val="115"/>
        </w:rPr>
        <w:t> </w:t>
      </w:r>
      <w:r>
        <w:rPr>
          <w:w w:val="115"/>
        </w:rPr>
        <w:t>dhe lëndët e para. Në bazë rezultateve të matjeve nga sistemi i</w:t>
      </w:r>
      <w:r>
        <w:rPr>
          <w:spacing w:val="-55"/>
          <w:w w:val="115"/>
        </w:rPr>
        <w:t> </w:t>
      </w:r>
      <w:r>
        <w:rPr>
          <w:w w:val="115"/>
        </w:rPr>
        <w:t>monitorimit t</w:t>
      </w:r>
      <w:r>
        <w:rPr>
          <w:rFonts w:ascii="Segoe UI Symbol" w:hAnsi="Segoe UI Symbol"/>
          <w:w w:val="115"/>
        </w:rPr>
        <w:t>ë </w:t>
      </w:r>
      <w:r>
        <w:rPr>
          <w:w w:val="115"/>
        </w:rPr>
        <w:t>vazhdueshëm të instaluar që nga viti 2012, është</w:t>
      </w:r>
      <w:r>
        <w:rPr>
          <w:spacing w:val="1"/>
          <w:w w:val="115"/>
        </w:rPr>
        <w:t> </w:t>
      </w:r>
      <w:r>
        <w:rPr>
          <w:w w:val="115"/>
        </w:rPr>
        <w:t>paraqitur përqendrimi</w:t>
      </w:r>
      <w:r>
        <w:rPr>
          <w:spacing w:val="1"/>
          <w:w w:val="115"/>
        </w:rPr>
        <w:t> </w:t>
      </w:r>
      <w:r>
        <w:rPr>
          <w:w w:val="115"/>
        </w:rPr>
        <w:t>mesatar</w:t>
      </w:r>
      <w:r>
        <w:rPr>
          <w:spacing w:val="-3"/>
          <w:w w:val="115"/>
        </w:rPr>
        <w:t> </w:t>
      </w:r>
      <w:r>
        <w:rPr>
          <w:w w:val="115"/>
        </w:rPr>
        <w:t>vjetor i</w:t>
      </w:r>
      <w:r>
        <w:rPr>
          <w:spacing w:val="-1"/>
          <w:w w:val="115"/>
        </w:rPr>
        <w:t> </w:t>
      </w:r>
      <w:r>
        <w:rPr>
          <w:w w:val="115"/>
        </w:rPr>
        <w:t>SOx</w:t>
      </w:r>
      <w:r>
        <w:rPr>
          <w:spacing w:val="55"/>
          <w:w w:val="115"/>
        </w:rPr>
        <w:t> </w:t>
      </w:r>
      <w:r>
        <w:rPr>
          <w:w w:val="115"/>
        </w:rPr>
        <w:t>dhe NOx nga</w:t>
      </w:r>
      <w:r>
        <w:rPr>
          <w:spacing w:val="54"/>
          <w:w w:val="115"/>
        </w:rPr>
        <w:t> </w:t>
      </w:r>
      <w:r>
        <w:rPr>
          <w:w w:val="115"/>
        </w:rPr>
        <w:t>furra</w:t>
      </w:r>
      <w:r>
        <w:rPr>
          <w:spacing w:val="-2"/>
          <w:w w:val="115"/>
        </w:rPr>
        <w:t> </w:t>
      </w:r>
      <w:r>
        <w:rPr>
          <w:w w:val="115"/>
        </w:rPr>
        <w:t>rotulluese</w:t>
      </w:r>
      <w:r>
        <w:rPr>
          <w:spacing w:val="5"/>
          <w:w w:val="115"/>
        </w:rPr>
        <w:t> </w:t>
      </w:r>
      <w:r>
        <w:rPr>
          <w:w w:val="115"/>
        </w:rPr>
        <w:t>për gjatë</w:t>
      </w:r>
      <w:r>
        <w:rPr>
          <w:spacing w:val="-3"/>
          <w:w w:val="115"/>
        </w:rPr>
        <w:t> </w:t>
      </w:r>
      <w:r>
        <w:rPr>
          <w:w w:val="115"/>
        </w:rPr>
        <w:t>tri</w:t>
      </w:r>
      <w:r>
        <w:rPr>
          <w:spacing w:val="-3"/>
          <w:w w:val="115"/>
        </w:rPr>
        <w:t> </w:t>
      </w:r>
      <w:r>
        <w:rPr>
          <w:w w:val="115"/>
        </w:rPr>
        <w:t>viteve</w:t>
      </w:r>
      <w:r>
        <w:rPr>
          <w:spacing w:val="-2"/>
          <w:w w:val="115"/>
        </w:rPr>
        <w:t> </w:t>
      </w:r>
      <w:r>
        <w:rPr>
          <w:w w:val="115"/>
        </w:rPr>
        <w:t>te</w:t>
      </w:r>
      <w:r>
        <w:rPr>
          <w:spacing w:val="-1"/>
          <w:w w:val="115"/>
        </w:rPr>
        <w:t> </w:t>
      </w:r>
      <w:r>
        <w:rPr>
          <w:w w:val="115"/>
        </w:rPr>
        <w:t>fundit.</w:t>
      </w:r>
    </w:p>
    <w:p>
      <w:pPr>
        <w:pStyle w:val="BodyText"/>
        <w:spacing w:before="1"/>
      </w:pPr>
    </w:p>
    <w:p>
      <w:pPr>
        <w:pStyle w:val="BodyText"/>
        <w:spacing w:line="276" w:lineRule="auto"/>
        <w:ind w:left="1240" w:right="1298"/>
        <w:jc w:val="both"/>
        <w:rPr>
          <w:rFonts w:ascii="Times New Roman" w:hAnsi="Times New Roman"/>
        </w:rPr>
      </w:pPr>
      <w:r>
        <w:rPr/>
        <w:pict>
          <v:group style="position:absolute;margin-left:296.519989pt;margin-top:131.004623pt;width:36.550pt;height:83.75pt;mso-position-horizontal-relative:page;mso-position-vertical-relative:paragraph;z-index:-17349120" coordorigin="5930,2620" coordsize="731,1675">
            <v:shape style="position:absolute;left:6165;top:4143;width:367;height:151" type="#_x0000_t75" stroked="false">
              <v:imagedata r:id="rId114" o:title=""/>
            </v:shape>
            <v:shape style="position:absolute;left:5930;top:3736;width:731;height:460" type="#_x0000_t75" stroked="false">
              <v:imagedata r:id="rId115" o:title=""/>
            </v:shape>
            <v:shape style="position:absolute;left:5930;top:3457;width:731;height:458" type="#_x0000_t75" stroked="false">
              <v:imagedata r:id="rId116" o:title=""/>
            </v:shape>
            <v:shape style="position:absolute;left:5930;top:3176;width:731;height:460" type="#_x0000_t75" stroked="false">
              <v:imagedata r:id="rId117" o:title=""/>
            </v:shape>
            <v:shape style="position:absolute;left:5930;top:2898;width:731;height:460" type="#_x0000_t75" stroked="false">
              <v:imagedata r:id="rId118" o:title=""/>
            </v:shape>
            <v:shape style="position:absolute;left:5930;top:2620;width:731;height:460" type="#_x0000_t75" stroked="false">
              <v:imagedata r:id="rId11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969408">
            <wp:simplePos x="0" y="0"/>
            <wp:positionH relativeFrom="page">
              <wp:posOffset>4478822</wp:posOffset>
            </wp:positionH>
            <wp:positionV relativeFrom="paragraph">
              <wp:posOffset>1519895</wp:posOffset>
            </wp:positionV>
            <wp:extent cx="1594029" cy="155448"/>
            <wp:effectExtent l="0" t="0" r="0" b="0"/>
            <wp:wrapNone/>
            <wp:docPr id="4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029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Djegia</w:t>
      </w:r>
      <w:r>
        <w:rPr>
          <w:spacing w:val="-11"/>
          <w:w w:val="115"/>
        </w:rPr>
        <w:t> </w:t>
      </w:r>
      <w:r>
        <w:rPr>
          <w:w w:val="115"/>
        </w:rPr>
        <w:t>në</w:t>
      </w:r>
      <w:r>
        <w:rPr>
          <w:spacing w:val="-8"/>
          <w:w w:val="115"/>
        </w:rPr>
        <w:t> </w:t>
      </w:r>
      <w:r>
        <w:rPr>
          <w:w w:val="115"/>
        </w:rPr>
        <w:t>temperatura</w:t>
      </w:r>
      <w:r>
        <w:rPr>
          <w:spacing w:val="-9"/>
          <w:w w:val="115"/>
        </w:rPr>
        <w:t> </w:t>
      </w:r>
      <w:r>
        <w:rPr>
          <w:w w:val="115"/>
        </w:rPr>
        <w:t>të</w:t>
      </w:r>
      <w:r>
        <w:rPr>
          <w:spacing w:val="-8"/>
          <w:w w:val="115"/>
        </w:rPr>
        <w:t> </w:t>
      </w:r>
      <w:r>
        <w:rPr>
          <w:w w:val="115"/>
        </w:rPr>
        <w:t>larta</w:t>
      </w:r>
      <w:r>
        <w:rPr>
          <w:spacing w:val="-10"/>
          <w:w w:val="115"/>
        </w:rPr>
        <w:t> </w:t>
      </w:r>
      <w:r>
        <w:rPr>
          <w:w w:val="115"/>
        </w:rPr>
        <w:t>është</w:t>
      </w:r>
      <w:r>
        <w:rPr>
          <w:spacing w:val="-8"/>
          <w:w w:val="115"/>
        </w:rPr>
        <w:t> </w:t>
      </w:r>
      <w:r>
        <w:rPr>
          <w:w w:val="115"/>
        </w:rPr>
        <w:t>si</w:t>
      </w:r>
      <w:r>
        <w:rPr>
          <w:spacing w:val="-10"/>
          <w:w w:val="115"/>
        </w:rPr>
        <w:t> </w:t>
      </w:r>
      <w:r>
        <w:rPr>
          <w:w w:val="115"/>
        </w:rPr>
        <w:t>rezultat</w:t>
      </w:r>
      <w:r>
        <w:rPr>
          <w:spacing w:val="-7"/>
          <w:w w:val="115"/>
        </w:rPr>
        <w:t> </w:t>
      </w:r>
      <w:r>
        <w:rPr>
          <w:w w:val="115"/>
        </w:rPr>
        <w:t>i</w:t>
      </w:r>
      <w:r>
        <w:rPr>
          <w:spacing w:val="-12"/>
          <w:w w:val="115"/>
        </w:rPr>
        <w:t> </w:t>
      </w:r>
      <w:r>
        <w:rPr>
          <w:w w:val="115"/>
        </w:rPr>
        <w:t>pranisë</w:t>
      </w:r>
      <w:r>
        <w:rPr>
          <w:spacing w:val="-8"/>
          <w:w w:val="115"/>
        </w:rPr>
        <w:t> </w:t>
      </w:r>
      <w:r>
        <w:rPr>
          <w:w w:val="115"/>
        </w:rPr>
        <w:t>së</w:t>
      </w:r>
      <w:r>
        <w:rPr>
          <w:spacing w:val="-8"/>
          <w:w w:val="115"/>
        </w:rPr>
        <w:t> </w:t>
      </w:r>
      <w:r>
        <w:rPr>
          <w:w w:val="115"/>
        </w:rPr>
        <w:t>dioksideve</w:t>
      </w:r>
      <w:r>
        <w:rPr>
          <w:spacing w:val="-8"/>
          <w:w w:val="115"/>
        </w:rPr>
        <w:t> </w:t>
      </w:r>
      <w:r>
        <w:rPr>
          <w:w w:val="115"/>
        </w:rPr>
        <w:t>te</w:t>
      </w:r>
      <w:r>
        <w:rPr>
          <w:spacing w:val="-8"/>
          <w:w w:val="115"/>
        </w:rPr>
        <w:t> </w:t>
      </w:r>
      <w:r>
        <w:rPr>
          <w:w w:val="115"/>
        </w:rPr>
        <w:t>azotit</w:t>
      </w:r>
      <w:r>
        <w:rPr>
          <w:spacing w:val="-8"/>
          <w:w w:val="115"/>
        </w:rPr>
        <w:t> </w:t>
      </w:r>
      <w:r>
        <w:rPr>
          <w:w w:val="115"/>
        </w:rPr>
        <w:t>në</w:t>
      </w:r>
      <w:r>
        <w:rPr>
          <w:spacing w:val="-8"/>
          <w:w w:val="115"/>
        </w:rPr>
        <w:t> </w:t>
      </w:r>
      <w:r>
        <w:rPr>
          <w:w w:val="115"/>
        </w:rPr>
        <w:t>emisione.</w:t>
      </w:r>
      <w:r>
        <w:rPr>
          <w:spacing w:val="-55"/>
          <w:w w:val="115"/>
        </w:rPr>
        <w:t> </w:t>
      </w:r>
      <w:r>
        <w:rPr>
          <w:w w:val="115"/>
        </w:rPr>
        <w:t>Në vitin 2022 emisionet e përgjithshme NOx ne SharrCem ishin</w:t>
      </w:r>
      <w:r>
        <w:rPr>
          <w:spacing w:val="1"/>
          <w:w w:val="115"/>
        </w:rPr>
        <w:t> </w:t>
      </w:r>
      <w:r>
        <w:rPr>
          <w:w w:val="115"/>
        </w:rPr>
        <w:t>nën pragun e kufirit</w:t>
      </w:r>
      <w:r>
        <w:rPr>
          <w:spacing w:val="1"/>
          <w:w w:val="115"/>
        </w:rPr>
        <w:t> </w:t>
      </w:r>
      <w:r>
        <w:rPr>
          <w:w w:val="115"/>
        </w:rPr>
        <w:t>(VKE)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-4"/>
          <w:w w:val="115"/>
        </w:rPr>
        <w:t> </w:t>
      </w:r>
      <w:r>
        <w:rPr>
          <w:w w:val="115"/>
        </w:rPr>
        <w:t>përcaktuara</w:t>
      </w:r>
      <w:r>
        <w:rPr>
          <w:spacing w:val="-6"/>
          <w:w w:val="115"/>
        </w:rPr>
        <w:t> </w:t>
      </w:r>
      <w:r>
        <w:rPr>
          <w:w w:val="115"/>
        </w:rPr>
        <w:t>nga</w:t>
      </w:r>
      <w:r>
        <w:rPr>
          <w:spacing w:val="-5"/>
          <w:w w:val="115"/>
        </w:rPr>
        <w:t> </w:t>
      </w:r>
      <w:r>
        <w:rPr>
          <w:w w:val="115"/>
        </w:rPr>
        <w:t>legjislacioni</w:t>
      </w:r>
      <w:r>
        <w:rPr>
          <w:spacing w:val="-6"/>
          <w:w w:val="115"/>
        </w:rPr>
        <w:t> </w:t>
      </w:r>
      <w:r>
        <w:rPr>
          <w:w w:val="115"/>
        </w:rPr>
        <w:t>vendor</w:t>
      </w:r>
      <w:r>
        <w:rPr>
          <w:spacing w:val="-3"/>
          <w:w w:val="115"/>
        </w:rPr>
        <w:t> </w:t>
      </w:r>
      <w:r>
        <w:rPr>
          <w:w w:val="115"/>
        </w:rPr>
        <w:t>dhe</w:t>
      </w:r>
      <w:r>
        <w:rPr>
          <w:spacing w:val="-4"/>
          <w:w w:val="115"/>
        </w:rPr>
        <w:t> </w:t>
      </w:r>
      <w:r>
        <w:rPr>
          <w:w w:val="115"/>
        </w:rPr>
        <w:t>të</w:t>
      </w:r>
      <w:r>
        <w:rPr>
          <w:spacing w:val="-5"/>
          <w:w w:val="115"/>
        </w:rPr>
        <w:t> </w:t>
      </w:r>
      <w:r>
        <w:rPr>
          <w:w w:val="115"/>
        </w:rPr>
        <w:t>kërkesave</w:t>
      </w:r>
      <w:r>
        <w:rPr>
          <w:spacing w:val="-4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IPPC.</w:t>
      </w:r>
      <w:r>
        <w:rPr>
          <w:spacing w:val="-7"/>
          <w:w w:val="115"/>
        </w:rPr>
        <w:t> </w:t>
      </w:r>
      <w:r>
        <w:rPr>
          <w:rFonts w:ascii="Times New Roman" w:hAnsi="Times New Roman"/>
          <w:w w:val="115"/>
        </w:rPr>
        <w:t>Për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shkak</w:t>
      </w:r>
      <w:r>
        <w:rPr>
          <w:rFonts w:ascii="Times New Roman" w:hAnsi="Times New Roman"/>
          <w:spacing w:val="-7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lëndës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së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parë</w:t>
      </w:r>
      <w:r>
        <w:rPr>
          <w:rFonts w:ascii="Times New Roman" w:hAnsi="Times New Roman"/>
          <w:spacing w:val="-61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-10"/>
          <w:w w:val="115"/>
        </w:rPr>
        <w:t> </w:t>
      </w:r>
      <w:r>
        <w:rPr>
          <w:rFonts w:ascii="Times New Roman" w:hAnsi="Times New Roman"/>
          <w:w w:val="115"/>
        </w:rPr>
        <w:t>kufizuar</w:t>
      </w:r>
      <w:r>
        <w:rPr>
          <w:rFonts w:ascii="Times New Roman" w:hAnsi="Times New Roman"/>
          <w:spacing w:val="-11"/>
          <w:w w:val="115"/>
        </w:rPr>
        <w:t> </w:t>
      </w:r>
      <w:r>
        <w:rPr>
          <w:rFonts w:ascii="Times New Roman" w:hAnsi="Times New Roman"/>
          <w:w w:val="115"/>
        </w:rPr>
        <w:t>(Mergele)</w:t>
      </w:r>
      <w:r>
        <w:rPr>
          <w:rFonts w:ascii="Times New Roman" w:hAnsi="Times New Roman"/>
          <w:spacing w:val="-10"/>
          <w:w w:val="115"/>
        </w:rPr>
        <w:t> </w:t>
      </w:r>
      <w:r>
        <w:rPr>
          <w:rFonts w:ascii="Times New Roman" w:hAnsi="Times New Roman"/>
          <w:w w:val="115"/>
        </w:rPr>
        <w:t>në</w:t>
      </w:r>
      <w:r>
        <w:rPr>
          <w:rFonts w:ascii="Times New Roman" w:hAnsi="Times New Roman"/>
          <w:spacing w:val="-8"/>
          <w:w w:val="115"/>
        </w:rPr>
        <w:t> </w:t>
      </w:r>
      <w:r>
        <w:rPr>
          <w:rFonts w:ascii="Times New Roman" w:hAnsi="Times New Roman"/>
          <w:w w:val="115"/>
        </w:rPr>
        <w:t>minieren</w:t>
      </w:r>
      <w:r>
        <w:rPr>
          <w:rFonts w:ascii="Times New Roman" w:hAnsi="Times New Roman"/>
          <w:spacing w:val="42"/>
          <w:w w:val="115"/>
        </w:rPr>
        <w:t> </w:t>
      </w:r>
      <w:r>
        <w:rPr>
          <w:rFonts w:ascii="Times New Roman" w:hAnsi="Times New Roman"/>
          <w:w w:val="115"/>
        </w:rPr>
        <w:t>e</w:t>
      </w:r>
      <w:r>
        <w:rPr>
          <w:rFonts w:ascii="Times New Roman" w:hAnsi="Times New Roman"/>
          <w:spacing w:val="-8"/>
          <w:w w:val="115"/>
        </w:rPr>
        <w:t> </w:t>
      </w:r>
      <w:r>
        <w:rPr>
          <w:rFonts w:ascii="Times New Roman" w:hAnsi="Times New Roman"/>
          <w:w w:val="115"/>
        </w:rPr>
        <w:t>Dimces,</w:t>
      </w:r>
      <w:r>
        <w:rPr>
          <w:rFonts w:ascii="Times New Roman" w:hAnsi="Times New Roman"/>
          <w:spacing w:val="-12"/>
          <w:w w:val="115"/>
        </w:rPr>
        <w:t> </w:t>
      </w:r>
      <w:r>
        <w:rPr>
          <w:rFonts w:ascii="Times New Roman" w:hAnsi="Times New Roman"/>
          <w:w w:val="115"/>
        </w:rPr>
        <w:t>cilësia</w:t>
      </w:r>
      <w:r>
        <w:rPr>
          <w:rFonts w:ascii="Times New Roman" w:hAnsi="Times New Roman"/>
          <w:spacing w:val="-9"/>
          <w:w w:val="115"/>
        </w:rPr>
        <w:t> </w:t>
      </w:r>
      <w:r>
        <w:rPr>
          <w:rFonts w:ascii="Times New Roman" w:hAnsi="Times New Roman"/>
          <w:w w:val="115"/>
        </w:rPr>
        <w:t>aktuale</w:t>
      </w:r>
      <w:r>
        <w:rPr>
          <w:rFonts w:ascii="Times New Roman" w:hAnsi="Times New Roman"/>
          <w:spacing w:val="-10"/>
          <w:w w:val="115"/>
        </w:rPr>
        <w:t> </w:t>
      </w:r>
      <w:r>
        <w:rPr>
          <w:rFonts w:ascii="Times New Roman" w:hAnsi="Times New Roman"/>
          <w:w w:val="115"/>
        </w:rPr>
        <w:t>e</w:t>
      </w:r>
      <w:r>
        <w:rPr>
          <w:rFonts w:ascii="Times New Roman" w:hAnsi="Times New Roman"/>
          <w:spacing w:val="-9"/>
          <w:w w:val="115"/>
        </w:rPr>
        <w:t> </w:t>
      </w:r>
      <w:r>
        <w:rPr>
          <w:rFonts w:ascii="Times New Roman" w:hAnsi="Times New Roman"/>
          <w:w w:val="115"/>
        </w:rPr>
        <w:t>këtij</w:t>
      </w:r>
      <w:r>
        <w:rPr>
          <w:rFonts w:ascii="Times New Roman" w:hAnsi="Times New Roman"/>
          <w:spacing w:val="-9"/>
          <w:w w:val="115"/>
        </w:rPr>
        <w:t> </w:t>
      </w:r>
      <w:r>
        <w:rPr>
          <w:rFonts w:ascii="Times New Roman" w:hAnsi="Times New Roman"/>
          <w:w w:val="115"/>
        </w:rPr>
        <w:t>materiali</w:t>
      </w:r>
      <w:r>
        <w:rPr>
          <w:rFonts w:ascii="Times New Roman" w:hAnsi="Times New Roman"/>
          <w:spacing w:val="-8"/>
          <w:w w:val="115"/>
        </w:rPr>
        <w:t> </w:t>
      </w:r>
      <w:r>
        <w:rPr>
          <w:rFonts w:ascii="Times New Roman" w:hAnsi="Times New Roman"/>
          <w:w w:val="115"/>
        </w:rPr>
        <w:t>ka</w:t>
      </w:r>
      <w:r>
        <w:rPr>
          <w:rFonts w:ascii="Times New Roman" w:hAnsi="Times New Roman"/>
          <w:spacing w:val="-11"/>
          <w:w w:val="115"/>
        </w:rPr>
        <w:t> </w:t>
      </w:r>
      <w:r>
        <w:rPr>
          <w:rFonts w:ascii="Times New Roman" w:hAnsi="Times New Roman"/>
          <w:w w:val="115"/>
        </w:rPr>
        <w:t>një</w:t>
      </w:r>
      <w:r>
        <w:rPr>
          <w:rFonts w:ascii="Times New Roman" w:hAnsi="Times New Roman"/>
          <w:spacing w:val="6"/>
          <w:w w:val="115"/>
        </w:rPr>
        <w:t> </w:t>
      </w:r>
      <w:r>
        <w:rPr>
          <w:rFonts w:ascii="Times New Roman" w:hAnsi="Times New Roman"/>
          <w:w w:val="115"/>
        </w:rPr>
        <w:t>modul</w:t>
      </w:r>
      <w:r>
        <w:rPr>
          <w:rFonts w:ascii="Times New Roman" w:hAnsi="Times New Roman"/>
          <w:spacing w:val="-10"/>
          <w:w w:val="115"/>
        </w:rPr>
        <w:t> </w:t>
      </w:r>
      <w:r>
        <w:rPr>
          <w:rFonts w:ascii="Times New Roman" w:hAnsi="Times New Roman"/>
          <w:w w:val="115"/>
        </w:rPr>
        <w:t>më</w:t>
      </w:r>
      <w:r>
        <w:rPr>
          <w:rFonts w:ascii="Times New Roman" w:hAnsi="Times New Roman"/>
          <w:spacing w:val="-60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lartë</w:t>
      </w:r>
      <w:r>
        <w:rPr>
          <w:rFonts w:ascii="Times New Roman" w:hAnsi="Times New Roman"/>
          <w:spacing w:val="-4"/>
          <w:w w:val="115"/>
        </w:rPr>
        <w:t> </w:t>
      </w:r>
      <w:r>
        <w:rPr>
          <w:rFonts w:ascii="Times New Roman" w:hAnsi="Times New Roman"/>
          <w:w w:val="115"/>
        </w:rPr>
        <w:t>silikat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i</w:t>
      </w:r>
      <w:r>
        <w:rPr>
          <w:rFonts w:ascii="Times New Roman" w:hAnsi="Times New Roman"/>
          <w:spacing w:val="-2"/>
          <w:w w:val="115"/>
        </w:rPr>
        <w:t> </w:t>
      </w:r>
      <w:r>
        <w:rPr>
          <w:rFonts w:ascii="Times New Roman" w:hAnsi="Times New Roman"/>
          <w:w w:val="115"/>
        </w:rPr>
        <w:t>cili</w:t>
      </w:r>
      <w:r>
        <w:rPr>
          <w:rFonts w:ascii="Times New Roman" w:hAnsi="Times New Roman"/>
          <w:spacing w:val="-2"/>
          <w:w w:val="115"/>
        </w:rPr>
        <w:t> </w:t>
      </w:r>
      <w:r>
        <w:rPr>
          <w:rFonts w:ascii="Times New Roman" w:hAnsi="Times New Roman"/>
          <w:w w:val="115"/>
        </w:rPr>
        <w:t>kërkon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temperatura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më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larta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për</w:t>
      </w:r>
      <w:r>
        <w:rPr>
          <w:rFonts w:ascii="Times New Roman" w:hAnsi="Times New Roman"/>
          <w:spacing w:val="-4"/>
          <w:w w:val="115"/>
        </w:rPr>
        <w:t> </w:t>
      </w:r>
      <w:r>
        <w:rPr>
          <w:rFonts w:ascii="Times New Roman" w:hAnsi="Times New Roman"/>
          <w:w w:val="115"/>
        </w:rPr>
        <w:t>krijimin</w:t>
      </w:r>
      <w:r>
        <w:rPr>
          <w:rFonts w:ascii="Times New Roman" w:hAnsi="Times New Roman"/>
          <w:spacing w:val="-5"/>
          <w:w w:val="115"/>
        </w:rPr>
        <w:t> </w:t>
      </w:r>
      <w:r>
        <w:rPr>
          <w:rFonts w:ascii="Times New Roman" w:hAnsi="Times New Roman"/>
          <w:w w:val="115"/>
        </w:rPr>
        <w:t>e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fazës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së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lëngshme</w:t>
      </w:r>
      <w:r>
        <w:rPr>
          <w:rFonts w:ascii="Times New Roman" w:hAnsi="Times New Roman"/>
          <w:spacing w:val="-4"/>
          <w:w w:val="115"/>
        </w:rPr>
        <w:t> </w:t>
      </w:r>
      <w:r>
        <w:rPr>
          <w:rFonts w:ascii="Times New Roman" w:hAnsi="Times New Roman"/>
          <w:w w:val="115"/>
        </w:rPr>
        <w:t>në</w:t>
      </w:r>
      <w:r>
        <w:rPr>
          <w:rFonts w:ascii="Times New Roman" w:hAnsi="Times New Roman"/>
          <w:spacing w:val="-3"/>
          <w:w w:val="115"/>
        </w:rPr>
        <w:t> </w:t>
      </w:r>
      <w:r>
        <w:rPr>
          <w:rFonts w:ascii="Times New Roman" w:hAnsi="Times New Roman"/>
          <w:w w:val="115"/>
        </w:rPr>
        <w:t>furrën</w:t>
      </w:r>
      <w:r>
        <w:rPr>
          <w:rFonts w:ascii="Times New Roman" w:hAnsi="Times New Roman"/>
          <w:spacing w:val="-61"/>
          <w:w w:val="115"/>
        </w:rPr>
        <w:t> </w:t>
      </w:r>
      <w:r>
        <w:rPr>
          <w:rFonts w:ascii="Times New Roman" w:hAnsi="Times New Roman"/>
          <w:w w:val="115"/>
        </w:rPr>
        <w:t>rrotulluese,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përkatësisht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sasi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më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larta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lendes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djegese,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duke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rezultuar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në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rritjen</w:t>
      </w:r>
      <w:r>
        <w:rPr>
          <w:rFonts w:ascii="Times New Roman" w:hAnsi="Times New Roman"/>
          <w:spacing w:val="1"/>
          <w:w w:val="115"/>
        </w:rPr>
        <w:t> </w:t>
      </w:r>
      <w:r>
        <w:rPr>
          <w:rFonts w:ascii="Times New Roman" w:hAnsi="Times New Roman"/>
          <w:w w:val="115"/>
        </w:rPr>
        <w:t>e</w:t>
      </w:r>
      <w:r>
        <w:rPr>
          <w:rFonts w:ascii="Times New Roman" w:hAnsi="Times New Roman"/>
          <w:spacing w:val="-61"/>
          <w:w w:val="115"/>
        </w:rPr>
        <w:t> </w:t>
      </w:r>
      <w:r>
        <w:rPr>
          <w:rFonts w:ascii="Times New Roman" w:hAnsi="Times New Roman"/>
          <w:w w:val="115"/>
        </w:rPr>
        <w:t>emisioneve</w:t>
      </w:r>
      <w:r>
        <w:rPr>
          <w:rFonts w:ascii="Times New Roman" w:hAnsi="Times New Roman"/>
          <w:spacing w:val="-1"/>
          <w:w w:val="115"/>
        </w:rPr>
        <w:t> </w:t>
      </w:r>
      <w:r>
        <w:rPr>
          <w:rFonts w:ascii="Times New Roman" w:hAnsi="Times New Roman"/>
          <w:w w:val="115"/>
        </w:rPr>
        <w:t>të</w:t>
      </w:r>
      <w:r>
        <w:rPr>
          <w:rFonts w:ascii="Times New Roman" w:hAnsi="Times New Roman"/>
          <w:spacing w:val="2"/>
          <w:w w:val="115"/>
        </w:rPr>
        <w:t> </w:t>
      </w:r>
      <w:r>
        <w:rPr>
          <w:rFonts w:ascii="Times New Roman" w:hAnsi="Times New Roman"/>
          <w:w w:val="115"/>
        </w:rPr>
        <w:t>NOx .</w:t>
      </w:r>
    </w:p>
    <w:p>
      <w:pPr>
        <w:spacing w:line="240" w:lineRule="auto"/>
        <w:ind w:left="12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18.45pt;height:127.6pt;mso-position-horizontal-relative:char;mso-position-vertical-relative:line" coordorigin="0,0" coordsize="4369,2552">
            <v:line style="position:absolute" from="932,1446" to="4328,1446" stroked="true" strokeweight=".75pt" strokecolor="#d9d9d9">
              <v:stroke dashstyle="solid"/>
            </v:line>
            <v:shape style="position:absolute;left:1497;top:1411;width:2264;height:106" coordorigin="1498,1412" coordsize="2264,106" path="m1498,1412l2631,1511,3762,1517e" filled="false" stroked="true" strokeweight="2.25pt" strokecolor="#4f81bc">
              <v:path arrowok="t"/>
              <v:stroke dashstyle="solid"/>
            </v:shape>
            <v:shape style="position:absolute;left:1437;top:1352;width:116;height:116" type="#_x0000_t75" stroked="false">
              <v:imagedata r:id="rId121" o:title=""/>
            </v:shape>
            <v:shape style="position:absolute;left:2570;top:1453;width:116;height:116" type="#_x0000_t75" stroked="false">
              <v:imagedata r:id="rId122" o:title=""/>
            </v:shape>
            <v:shape style="position:absolute;left:3703;top:1457;width:116;height:116" type="#_x0000_t75" stroked="false">
              <v:imagedata r:id="rId121" o:title=""/>
            </v:shape>
            <v:shape style="position:absolute;left:1497;top:1411;width:2264;height:106" coordorigin="1498,1412" coordsize="2264,106" path="m1498,1412l2631,1511,3762,1517e" filled="false" stroked="true" strokeweight="2.25pt" strokecolor="#548ed4">
              <v:path arrowok="t"/>
              <v:stroke dashstyle="solid"/>
            </v:shape>
            <v:shape style="position:absolute;left:1440;top:1353;width:116;height:116" type="#_x0000_t75" stroked="false">
              <v:imagedata r:id="rId123" o:title=""/>
            </v:shape>
            <v:shape style="position:absolute;left:2572;top:1452;width:116;height:116" type="#_x0000_t75" stroked="false">
              <v:imagedata r:id="rId123" o:title=""/>
            </v:shape>
            <v:shape style="position:absolute;left:3703;top:1459;width:116;height:116" type="#_x0000_t75" stroked="false">
              <v:imagedata r:id="rId123" o:title=""/>
            </v:shape>
            <v:shape style="position:absolute;left:1051;top:1424;width:832;height:460" type="#_x0000_t75" stroked="false">
              <v:imagedata r:id="rId124" o:title=""/>
            </v:shape>
            <v:shape style="position:absolute;left:2411;top:1772;width:567;height:151" type="#_x0000_t75" stroked="false">
              <v:imagedata r:id="rId125" o:title=""/>
            </v:shape>
            <v:shape style="position:absolute;left:3504;top:1474;width:824;height:458" type="#_x0000_t75" stroked="false">
              <v:imagedata r:id="rId126" o:title=""/>
            </v:shape>
            <v:shape style="position:absolute;left:931;top:746;width:3396;height:1397" coordorigin="932,747" coordsize="3396,1397" path="m932,747l4328,747m932,2144l4328,2144e" filled="false" stroked="true" strokeweight=".75pt" strokecolor="#d9d9d9">
              <v:path arrowok="t"/>
              <v:stroke dashstyle="solid"/>
            </v:shape>
            <v:shape style="position:absolute;left:393;top:2065;width:367;height:151" type="#_x0000_t75" stroked="false">
              <v:imagedata r:id="rId127" o:title=""/>
            </v:shape>
            <v:shape style="position:absolute;left:189;top:1366;width:568;height:158" type="#_x0000_t75" stroked="false">
              <v:imagedata r:id="rId128" o:title=""/>
            </v:shape>
            <v:shape style="position:absolute;left:57;top:668;width:703;height:180" type="#_x0000_t75" stroked="false">
              <v:imagedata r:id="rId129" o:title=""/>
            </v:shape>
            <v:shape style="position:absolute;left:1296;top:2326;width:417;height:152" type="#_x0000_t75" stroked="false">
              <v:imagedata r:id="rId130" o:title=""/>
            </v:shape>
            <v:shape style="position:absolute;left:2428;top:2326;width:410;height:152" type="#_x0000_t75" stroked="false">
              <v:imagedata r:id="rId131" o:title=""/>
            </v:shape>
            <v:shape style="position:absolute;left:3561;top:2326;width:410;height:152" type="#_x0000_t75" stroked="false">
              <v:imagedata r:id="rId132" o:title=""/>
            </v:shape>
            <v:shape style="position:absolute;left:947;top:197;width:2450;height:252" type="#_x0000_t75" stroked="false">
              <v:imagedata r:id="rId133" o:title=""/>
            </v:shape>
            <v:rect style="position:absolute;left:7;top:7;width:4320;height:2537" filled="false" stroked="true" strokeweight=".75pt" strokecolor="#000000">
              <v:stroke dashstyle="solid"/>
            </v:rect>
            <v:shape style="position:absolute;left:37;top:207;width:4331;height:1347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898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NOx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Emissions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[mg/Nm³]</w:t>
                    </w:r>
                  </w:p>
                  <w:p>
                    <w:pPr>
                      <w:spacing w:before="16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1,000.00</w:t>
                    </w:r>
                  </w:p>
                  <w:p>
                    <w:pPr>
                      <w:tabs>
                        <w:tab w:pos="2389" w:val="left" w:leader="none"/>
                      </w:tabs>
                      <w:spacing w:before="146"/>
                      <w:ind w:left="671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0000"/>
                        <w:w w:val="99"/>
                        <w:sz w:val="20"/>
                        <w:u w:val="thick" w:color="FF000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  <w:u w:val="thick" w:color="FF0000"/>
                      </w:rPr>
                      <w:tab/>
                    </w:r>
                    <w:r>
                      <w:rPr>
                        <w:b/>
                        <w:color w:val="FF0000"/>
                        <w:sz w:val="20"/>
                        <w:u w:val="thick" w:color="FF0000"/>
                      </w:rPr>
                      <w:t>IPPC ELV -</w:t>
                    </w:r>
                    <w:r>
                      <w:rPr>
                        <w:b/>
                        <w:color w:val="FF0000"/>
                        <w:spacing w:val="-4"/>
                        <w:sz w:val="20"/>
                        <w:u w:val="thick" w:color="FF000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  <w:u w:val="thick" w:color="FF0000"/>
                      </w:rPr>
                      <w:t>600 [mg/</w:t>
                    </w:r>
                    <w:r>
                      <w:rPr>
                        <w:b/>
                        <w:color w:val="FF0000"/>
                        <w:sz w:val="20"/>
                      </w:rPr>
                      <w:t>Nm</w:t>
                    </w:r>
                  </w:p>
                  <w:p>
                    <w:pPr>
                      <w:spacing w:line="240" w:lineRule="exact" w:before="65"/>
                      <w:ind w:left="15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500.00</w:t>
                    </w:r>
                  </w:p>
                </w:txbxContent>
              </v:textbox>
              <w10:wrap type="none"/>
            </v:shape>
            <v:shape style="position:absolute;left:1187;top:1541;width:57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523.73</w:t>
                    </w:r>
                  </w:p>
                </w:txbxContent>
              </v:textbox>
              <w10:wrap type="none"/>
            </v:shape>
            <v:shape style="position:absolute;left:3640;top:1590;width:57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448.24</w:t>
                    </w:r>
                  </w:p>
                </w:txbxContent>
              </v:textbox>
              <w10:wrap type="none"/>
            </v:shape>
            <v:shape style="position:absolute;left:2418;top:1758;width:57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452.51</w:t>
                    </w:r>
                  </w:p>
                </w:txbxContent>
              </v:textbox>
              <w10:wrap type="none"/>
            </v:shape>
            <v:shape style="position:absolute;left:391;top:2052;width:37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0.00</w:t>
                    </w:r>
                  </w:p>
                </w:txbxContent>
              </v:textbox>
              <w10:wrap type="none"/>
            </v:shape>
            <v:shape style="position:absolute;left:1295;top:2312;width:42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2427;top:2312;width:42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3559;top:2312;width:42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2022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56"/>
          <w:sz w:val="20"/>
        </w:rPr>
        <w:t> </w:t>
      </w:r>
      <w:r>
        <w:rPr>
          <w:rFonts w:ascii="Times New Roman"/>
          <w:spacing w:val="56"/>
          <w:sz w:val="20"/>
        </w:rPr>
        <w:pict>
          <v:shape style="width:217.15pt;height:127.4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73"/>
                    <w:gridCol w:w="1275"/>
                    <w:gridCol w:w="1174"/>
                    <w:gridCol w:w="1098"/>
                  </w:tblGrid>
                  <w:tr>
                    <w:trPr>
                      <w:trHeight w:val="729" w:hRule="atLeast"/>
                    </w:trPr>
                    <w:tc>
                      <w:tcPr>
                        <w:tcW w:w="773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37"/>
                          <w:ind w:left="3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500.00</w:t>
                        </w:r>
                      </w:p>
                    </w:tc>
                    <w:tc>
                      <w:tcPr>
                        <w:tcW w:w="3547" w:type="dxa"/>
                        <w:gridSpan w:val="3"/>
                        <w:tcBorders>
                          <w:top w:val="nil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35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SOx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Emissions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[mg/Nm³]</w:t>
                        </w:r>
                      </w:p>
                    </w:tc>
                  </w:tr>
                  <w:tr>
                    <w:trPr>
                      <w:trHeight w:val="133" w:hRule="atLeast"/>
                    </w:trPr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47" w:type="dxa"/>
                        <w:gridSpan w:val="3"/>
                        <w:vMerge w:val="restart"/>
                        <w:tcBorders>
                          <w:top w:val="single" w:sz="6" w:space="0" w:color="D9D9D9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14" w:hRule="atLeast"/>
                    </w:trPr>
                    <w:tc>
                      <w:tcPr>
                        <w:tcW w:w="773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1" w:lineRule="exact"/>
                          <w:ind w:left="3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400.00</w:t>
                        </w:r>
                      </w:p>
                    </w:tc>
                    <w:tc>
                      <w:tcPr>
                        <w:tcW w:w="3547" w:type="dxa"/>
                        <w:gridSpan w:val="3"/>
                        <w:vMerge/>
                        <w:tcBorders>
                          <w:top w:val="nil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47" w:type="dxa"/>
                        <w:gridSpan w:val="3"/>
                        <w:vMerge w:val="restart"/>
                        <w:tcBorders>
                          <w:top w:val="single" w:sz="6" w:space="0" w:color="D9D9D9"/>
                          <w:left w:val="nil"/>
                          <w:bottom w:val="single" w:sz="24" w:space="0" w:color="FF000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494" w:right="-15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IPPC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ELV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300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[mg/Nm³]</w:t>
                        </w:r>
                      </w:p>
                    </w:tc>
                  </w:tr>
                  <w:tr>
                    <w:trPr>
                      <w:trHeight w:val="66" w:hRule="atLeast"/>
                    </w:trPr>
                    <w:tc>
                      <w:tcPr>
                        <w:tcW w:w="773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/>
                          <w:ind w:left="3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300.00</w:t>
                        </w:r>
                      </w:p>
                    </w:tc>
                    <w:tc>
                      <w:tcPr>
                        <w:tcW w:w="3547" w:type="dxa"/>
                        <w:gridSpan w:val="3"/>
                        <w:vMerge/>
                        <w:tcBorders>
                          <w:top w:val="nil"/>
                          <w:left w:val="nil"/>
                          <w:bottom w:val="single" w:sz="24" w:space="0" w:color="FF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14" w:hRule="atLeast"/>
                    </w:trPr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47" w:type="dxa"/>
                        <w:gridSpan w:val="3"/>
                        <w:vMerge w:val="restart"/>
                        <w:tcBorders>
                          <w:top w:val="single" w:sz="24" w:space="0" w:color="FF0000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16" w:hRule="atLeast"/>
                    </w:trPr>
                    <w:tc>
                      <w:tcPr>
                        <w:tcW w:w="773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7" w:lineRule="exact"/>
                          <w:ind w:left="3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200.00</w:t>
                        </w:r>
                      </w:p>
                    </w:tc>
                    <w:tc>
                      <w:tcPr>
                        <w:tcW w:w="3547" w:type="dxa"/>
                        <w:gridSpan w:val="3"/>
                        <w:vMerge/>
                        <w:tcBorders>
                          <w:top w:val="nil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32" w:hRule="atLeast"/>
                    </w:trPr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75" w:type="dxa"/>
                        <w:vMerge w:val="restart"/>
                        <w:tcBorders>
                          <w:top w:val="single" w:sz="6" w:space="0" w:color="D9D9D9"/>
                          <w:left w:val="nil"/>
                          <w:bottom w:val="single" w:sz="6" w:space="0" w:color="D9D9D9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7" w:lineRule="exact" w:before="76"/>
                          <w:ind w:left="53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37.14</w:t>
                        </w:r>
                      </w:p>
                    </w:tc>
                    <w:tc>
                      <w:tcPr>
                        <w:tcW w:w="1174" w:type="dxa"/>
                        <w:vMerge w:val="restart"/>
                        <w:tcBorders>
                          <w:top w:val="single" w:sz="6" w:space="0" w:color="D9D9D9"/>
                          <w:left w:val="nil"/>
                          <w:bottom w:val="single" w:sz="6" w:space="0" w:color="D9D9D9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104"/>
                          <w:ind w:left="42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15.53</w:t>
                        </w:r>
                      </w:p>
                    </w:tc>
                    <w:tc>
                      <w:tcPr>
                        <w:tcW w:w="1098" w:type="dxa"/>
                        <w:vMerge w:val="restart"/>
                        <w:tcBorders>
                          <w:top w:val="single" w:sz="6" w:space="0" w:color="D9D9D9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163" w:lineRule="exact" w:before="80"/>
                          <w:ind w:left="31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35.71</w:t>
                        </w:r>
                      </w:p>
                    </w:tc>
                  </w:tr>
                  <w:tr>
                    <w:trPr>
                      <w:trHeight w:val="115" w:hRule="atLeast"/>
                    </w:trPr>
                    <w:tc>
                      <w:tcPr>
                        <w:tcW w:w="773" w:type="dxa"/>
                        <w:vMerge w:val="restart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8" w:lineRule="exact"/>
                          <w:ind w:left="3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100.00</w:t>
                        </w:r>
                      </w:p>
                    </w:tc>
                    <w:tc>
                      <w:tcPr>
                        <w:tcW w:w="1275" w:type="dxa"/>
                        <w:vMerge/>
                        <w:tcBorders>
                          <w:top w:val="nil"/>
                          <w:left w:val="nil"/>
                          <w:bottom w:val="single" w:sz="6" w:space="0" w:color="D9D9D9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74" w:type="dxa"/>
                        <w:vMerge/>
                        <w:tcBorders>
                          <w:top w:val="nil"/>
                          <w:left w:val="nil"/>
                          <w:bottom w:val="single" w:sz="6" w:space="0" w:color="D9D9D9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98" w:type="dxa"/>
                        <w:vMerge/>
                        <w:tcBorders>
                          <w:top w:val="nil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33" w:hRule="atLeast"/>
                    </w:trPr>
                    <w:tc>
                      <w:tcPr>
                        <w:tcW w:w="773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47" w:type="dxa"/>
                        <w:gridSpan w:val="3"/>
                        <w:vMerge w:val="restart"/>
                        <w:tcBorders>
                          <w:top w:val="single" w:sz="6" w:space="0" w:color="D9D9D9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15" w:hRule="atLeast"/>
                    </w:trPr>
                    <w:tc>
                      <w:tcPr>
                        <w:tcW w:w="773" w:type="dxa"/>
                        <w:vMerge w:val="restart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7" w:lineRule="exact"/>
                          <w:ind w:left="23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0.00</w:t>
                        </w:r>
                      </w:p>
                    </w:tc>
                    <w:tc>
                      <w:tcPr>
                        <w:tcW w:w="3547" w:type="dxa"/>
                        <w:gridSpan w:val="3"/>
                        <w:vMerge/>
                        <w:tcBorders>
                          <w:top w:val="nil"/>
                          <w:left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85" w:hRule="atLeast"/>
                    </w:trPr>
                    <w:tc>
                      <w:tcPr>
                        <w:tcW w:w="77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75" w:type="dxa"/>
                        <w:tcBorders>
                          <w:top w:val="single" w:sz="6" w:space="0" w:color="D9D9D9"/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2"/>
                          <w:ind w:left="39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2020</w:t>
                        </w:r>
                      </w:p>
                    </w:tc>
                    <w:tc>
                      <w:tcPr>
                        <w:tcW w:w="1174" w:type="dxa"/>
                        <w:tcBorders>
                          <w:top w:val="single" w:sz="6" w:space="0" w:color="D9D9D9"/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2"/>
                          <w:ind w:left="30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2021</w:t>
                        </w:r>
                      </w:p>
                    </w:tc>
                    <w:tc>
                      <w:tcPr>
                        <w:tcW w:w="1098" w:type="dxa"/>
                        <w:tcBorders>
                          <w:top w:val="single" w:sz="6" w:space="0" w:color="D9D9D9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12"/>
                          <w:ind w:left="31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2022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pacing w:val="56"/>
          <w:sz w:val="20"/>
        </w:rPr>
      </w: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spacing w:before="7"/>
        <w:rPr>
          <w:rFonts w:ascii="Times New Roman"/>
          <w:sz w:val="25"/>
        </w:rPr>
      </w:pPr>
    </w:p>
    <w:p>
      <w:pPr>
        <w:spacing w:before="0"/>
        <w:ind w:left="880" w:right="0" w:firstLine="0"/>
        <w:jc w:val="left"/>
        <w:rPr>
          <w:rFonts w:ascii="Times New Roman" w:hAnsi="Times New Roman"/>
          <w:sz w:val="20"/>
        </w:rPr>
      </w:pPr>
      <w:r>
        <w:rPr/>
        <w:pict>
          <v:group style="position:absolute;margin-left:354.600006pt;margin-top:-78.239067pt;width:147.9pt;height:27.75pt;mso-position-horizontal-relative:page;mso-position-vertical-relative:paragraph;z-index:-17349632" coordorigin="7092,-1565" coordsize="2958,555">
            <v:shape style="position:absolute;left:7295;top:-1128;width:2365;height:61" coordorigin="7296,-1128" coordsize="2365,61" path="m7296,-1128l8478,-1067m8478,-1067l9660,-1124e" filled="false" stroked="true" strokeweight="2.25pt" strokecolor="#4f81bc">
              <v:path arrowok="t"/>
              <v:stroke dashstyle="solid"/>
            </v:shape>
            <v:shape style="position:absolute;left:7235;top:-1186;width:116;height:116" type="#_x0000_t75" stroked="false">
              <v:imagedata r:id="rId134" o:title=""/>
            </v:shape>
            <v:shape style="position:absolute;left:8418;top:-1126;width:116;height:116" type="#_x0000_t75" stroked="false">
              <v:imagedata r:id="rId134" o:title=""/>
            </v:shape>
            <v:shape style="position:absolute;left:9602;top:-1184;width:116;height:116" type="#_x0000_t75" stroked="false">
              <v:imagedata r:id="rId135" o:title=""/>
            </v:shape>
            <v:shape style="position:absolute;left:7092;top:-1565;width:731;height:460" type="#_x0000_t75" stroked="false">
              <v:imagedata r:id="rId136" o:title=""/>
            </v:shape>
            <v:shape style="position:absolute;left:8260;top:-1536;width:731;height:458" type="#_x0000_t75" stroked="false">
              <v:imagedata r:id="rId137" o:title=""/>
            </v:shape>
            <v:shape style="position:absolute;left:9319;top:-1560;width:731;height:458" type="#_x0000_t75" stroked="false">
              <v:imagedata r:id="rId13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967872">
            <wp:simplePos x="0" y="0"/>
            <wp:positionH relativeFrom="page">
              <wp:posOffset>4504788</wp:posOffset>
            </wp:positionH>
            <wp:positionV relativeFrom="paragraph">
              <wp:posOffset>-536044</wp:posOffset>
            </wp:positionV>
            <wp:extent cx="262763" cy="98488"/>
            <wp:effectExtent l="0" t="0" r="0" b="0"/>
            <wp:wrapNone/>
            <wp:docPr id="4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63" cy="9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968384">
            <wp:simplePos x="0" y="0"/>
            <wp:positionH relativeFrom="page">
              <wp:posOffset>5256121</wp:posOffset>
            </wp:positionH>
            <wp:positionV relativeFrom="paragraph">
              <wp:posOffset>-536044</wp:posOffset>
            </wp:positionV>
            <wp:extent cx="258232" cy="98488"/>
            <wp:effectExtent l="0" t="0" r="0" b="0"/>
            <wp:wrapNone/>
            <wp:docPr id="5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32" cy="9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968896">
            <wp:simplePos x="0" y="0"/>
            <wp:positionH relativeFrom="page">
              <wp:posOffset>6005929</wp:posOffset>
            </wp:positionH>
            <wp:positionV relativeFrom="paragraph">
              <wp:posOffset>-536044</wp:posOffset>
            </wp:positionV>
            <wp:extent cx="258232" cy="98488"/>
            <wp:effectExtent l="0" t="0" r="0" b="0"/>
            <wp:wrapNone/>
            <wp:docPr id="5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32" cy="9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pgSz w:w="12240" w:h="15840"/>
          <w:pgMar w:top="360" w:bottom="280" w:left="200" w:right="140"/>
        </w:sectPr>
      </w:pPr>
    </w:p>
    <w:p>
      <w:pPr>
        <w:pStyle w:val="BodyText"/>
        <w:spacing w:before="1"/>
        <w:rPr>
          <w:rFonts w:ascii="Times New Roman"/>
          <w:sz w:val="25"/>
        </w:rPr>
      </w:pPr>
    </w:p>
    <w:p>
      <w:pPr>
        <w:spacing w:before="90"/>
        <w:ind w:left="0" w:right="628" w:firstLine="0"/>
        <w:jc w:val="right"/>
        <w:rPr>
          <w:rFonts w:ascii="Times New Roman"/>
          <w:sz w:val="24"/>
        </w:rPr>
      </w:pPr>
      <w:r>
        <w:rPr/>
        <w:pict>
          <v:rect style="position:absolute;margin-left:517.099976pt;margin-top:-14.41687pt;width:82.145pt;height:69.75pt;mso-position-horizontal-relative:page;mso-position-vertical-relative:paragraph;z-index:-17342464" filled="true" fillcolor="#92d050" stroked="false">
            <v:fill type="solid"/>
            <w10:wrap type="none"/>
          </v:rect>
        </w:pict>
      </w:r>
      <w:r>
        <w:rPr>
          <w:rFonts w:ascii="Times New Roman"/>
          <w:color w:val="FFFFFF"/>
          <w:sz w:val="24"/>
        </w:rPr>
        <w:t>4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p>
      <w:pPr>
        <w:spacing w:before="0"/>
        <w:ind w:left="6281" w:right="0" w:firstLine="0"/>
        <w:jc w:val="left"/>
        <w:rPr>
          <w:i/>
          <w:sz w:val="18"/>
        </w:rPr>
      </w:pPr>
      <w:r>
        <w:rPr/>
        <w:pict>
          <v:shape style="position:absolute;margin-left:323pt;margin-top:19.929321pt;width:219pt;height:118.7pt;mso-position-horizontal-relative:page;mso-position-vertical-relative:paragraph;z-index:157629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7"/>
                    <w:gridCol w:w="3713"/>
                  </w:tblGrid>
                  <w:tr>
                    <w:trPr>
                      <w:trHeight w:val="482" w:hRule="atLeast"/>
                    </w:trPr>
                    <w:tc>
                      <w:tcPr>
                        <w:tcW w:w="607" w:type="dxa"/>
                        <w:vMerge w:val="restart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2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50.00</w:t>
                        </w:r>
                      </w:p>
                      <w:p>
                        <w:pPr>
                          <w:pStyle w:val="TableParagraph"/>
                          <w:spacing w:before="77"/>
                          <w:ind w:left="2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40.00</w:t>
                        </w:r>
                      </w:p>
                      <w:p>
                        <w:pPr>
                          <w:pStyle w:val="TableParagraph"/>
                          <w:spacing w:before="76"/>
                          <w:ind w:left="2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30.00</w:t>
                        </w:r>
                      </w:p>
                    </w:tc>
                    <w:tc>
                      <w:tcPr>
                        <w:tcW w:w="3713" w:type="dxa"/>
                        <w:tcBorders>
                          <w:bottom w:val="single" w:sz="6" w:space="0" w:color="D9D9D9"/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45"/>
                          <w:ind w:left="293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z w:val="28"/>
                          </w:rPr>
                          <w:t>Emisionet</w:t>
                        </w:r>
                        <w:r>
                          <w:rPr>
                            <w:rFonts w:ascii="Calibri"/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rFonts w:ascii="Calibri"/>
                            <w:sz w:val="28"/>
                          </w:rPr>
                          <w:t>e</w:t>
                        </w:r>
                        <w:r>
                          <w:rPr>
                            <w:rFonts w:ascii="Calibri"/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rFonts w:ascii="Calibri"/>
                            <w:sz w:val="28"/>
                          </w:rPr>
                          <w:t>pluhurit</w:t>
                        </w:r>
                        <w:r>
                          <w:rPr>
                            <w:rFonts w:ascii="Calibri"/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rFonts w:ascii="Calibri"/>
                            <w:sz w:val="28"/>
                          </w:rPr>
                          <w:t>nga</w:t>
                        </w:r>
                      </w:p>
                    </w:tc>
                  </w:tr>
                  <w:tr>
                    <w:trPr>
                      <w:trHeight w:val="738" w:hRule="atLeast"/>
                    </w:trPr>
                    <w:tc>
                      <w:tcPr>
                        <w:tcW w:w="607" w:type="dxa"/>
                        <w:vMerge/>
                        <w:tcBorders>
                          <w:top w:val="nil"/>
                          <w:left w:val="single" w:sz="18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713" w:type="dxa"/>
                        <w:tcBorders>
                          <w:top w:val="single" w:sz="6" w:space="0" w:color="D9D9D9"/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line="233" w:lineRule="exact"/>
                          <w:ind w:left="522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Furra-Kiln</w:t>
                        </w:r>
                        <w:r>
                          <w:rPr>
                            <w:rFonts w:ascii="Calibri" w:hAnsi="Calibri"/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[mg/Nm³]</w:t>
                        </w:r>
                      </w:p>
                      <w:p>
                        <w:pPr>
                          <w:pStyle w:val="TableParagraph"/>
                          <w:spacing w:before="75"/>
                          <w:ind w:left="1418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IPPC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ELV-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30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0000"/>
                            <w:sz w:val="20"/>
                          </w:rPr>
                          <w:t>[mg/Nm³]</w:t>
                        </w:r>
                      </w:p>
                    </w:tc>
                  </w:tr>
                  <w:tr>
                    <w:trPr>
                      <w:trHeight w:val="295" w:hRule="atLeast"/>
                    </w:trPr>
                    <w:tc>
                      <w:tcPr>
                        <w:tcW w:w="607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0" w:right="143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20.00</w:t>
                        </w:r>
                      </w:p>
                    </w:tc>
                    <w:tc>
                      <w:tcPr>
                        <w:tcW w:w="3713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607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0" w:right="143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10.00</w:t>
                        </w:r>
                      </w:p>
                    </w:tc>
                    <w:tc>
                      <w:tcPr>
                        <w:tcW w:w="3713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759" w:val="left" w:leader="none"/>
                            <w:tab w:pos="2883" w:val="left" w:leader="none"/>
                          </w:tabs>
                          <w:spacing w:line="124" w:lineRule="auto" w:before="97"/>
                          <w:ind w:left="60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4.19</w:t>
                          <w:tab/>
                        </w:r>
                        <w:r>
                          <w:rPr>
                            <w:rFonts w:ascii="Calibri"/>
                            <w:position w:val="-1"/>
                            <w:sz w:val="18"/>
                          </w:rPr>
                          <w:t>1.62</w:t>
                          <w:tab/>
                        </w:r>
                        <w:r>
                          <w:rPr>
                            <w:rFonts w:ascii="Calibri"/>
                            <w:position w:val="-7"/>
                            <w:sz w:val="18"/>
                          </w:rPr>
                          <w:t>1.06</w:t>
                        </w:r>
                      </w:p>
                    </w:tc>
                  </w:tr>
                  <w:tr>
                    <w:trPr>
                      <w:trHeight w:val="248" w:hRule="atLeast"/>
                    </w:trPr>
                    <w:tc>
                      <w:tcPr>
                        <w:tcW w:w="607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0" w:right="143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0.00</w:t>
                        </w:r>
                      </w:p>
                    </w:tc>
                    <w:tc>
                      <w:tcPr>
                        <w:tcW w:w="3713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3015" w:val="left" w:leader="none"/>
                          </w:tabs>
                          <w:spacing w:line="131" w:lineRule="exact"/>
                          <w:ind w:left="1793"/>
                          <w:rPr>
                            <w:sz w:val="11"/>
                          </w:rPr>
                        </w:pPr>
                        <w:r>
                          <w:rPr>
                            <w:position w:val="0"/>
                            <w:sz w:val="11"/>
                          </w:rPr>
                          <w:drawing>
                            <wp:inline distT="0" distB="0" distL="0" distR="0">
                              <wp:extent cx="72866" cy="72866"/>
                              <wp:effectExtent l="0" t="0" r="0" b="0"/>
                              <wp:docPr id="55" name="image1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6" name="image138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866" cy="728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0"/>
                            <w:sz w:val="11"/>
                          </w:rPr>
                        </w:r>
                        <w:r>
                          <w:rPr>
                            <w:position w:val="0"/>
                            <w:sz w:val="11"/>
                          </w:rPr>
                          <w:tab/>
                        </w:r>
                        <w:r>
                          <w:rPr>
                            <w:position w:val="-2"/>
                            <w:sz w:val="11"/>
                          </w:rPr>
                          <w:drawing>
                            <wp:inline distT="0" distB="0" distL="0" distR="0">
                              <wp:extent cx="72866" cy="72866"/>
                              <wp:effectExtent l="0" t="0" r="0" b="0"/>
                              <wp:docPr id="57" name="image1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8" name="image138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866" cy="728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2"/>
                            <w:sz w:val="11"/>
                          </w:rPr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607" w:type="dxa"/>
                        <w:tcBorders>
                          <w:left w:val="single" w:sz="18" w:space="0" w:color="000000"/>
                          <w:bottom w:val="single" w:sz="18" w:space="0" w:color="00000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713" w:type="dxa"/>
                        <w:tcBorders>
                          <w:bottom w:val="single" w:sz="18" w:space="0" w:color="000000"/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671" w:val="left" w:leader="none"/>
                            <w:tab w:pos="2893" w:val="left" w:leader="none"/>
                          </w:tabs>
                          <w:spacing w:line="198" w:lineRule="exact"/>
                          <w:ind w:left="44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2020</w:t>
                          <w:tab/>
                          <w:t>2021</w:t>
                          <w:tab/>
                          <w:t>2022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color w:val="44536A"/>
          <w:sz w:val="18"/>
        </w:rPr>
        <w:t>Figure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1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Emisionet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pluhurit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nga</w:t>
      </w:r>
      <w:r>
        <w:rPr>
          <w:i/>
          <w:color w:val="44536A"/>
          <w:spacing w:val="-4"/>
          <w:sz w:val="18"/>
        </w:rPr>
        <w:t> </w:t>
      </w:r>
      <w:r>
        <w:rPr>
          <w:i/>
          <w:color w:val="44536A"/>
          <w:sz w:val="18"/>
        </w:rPr>
        <w:t>Furra –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Kiln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[mg/Nm3]</w:t>
      </w:r>
    </w:p>
    <w:p>
      <w:pPr>
        <w:pStyle w:val="BodyText"/>
        <w:spacing w:before="4"/>
        <w:rPr>
          <w:i/>
          <w:sz w:val="21"/>
        </w:rPr>
      </w:pPr>
    </w:p>
    <w:p>
      <w:pPr>
        <w:spacing w:after="0"/>
        <w:rPr>
          <w:sz w:val="21"/>
        </w:rPr>
        <w:sectPr>
          <w:pgSz w:w="12240" w:h="15840"/>
          <w:pgMar w:top="360" w:bottom="280" w:left="200" w:right="140"/>
        </w:sectPr>
      </w:pPr>
    </w:p>
    <w:p>
      <w:pPr>
        <w:pStyle w:val="Heading7"/>
        <w:spacing w:before="56"/>
        <w:ind w:left="1240"/>
      </w:pPr>
      <w:r>
        <w:rPr>
          <w:w w:val="115"/>
        </w:rPr>
        <w:t>PLUHURI</w:t>
      </w:r>
    </w:p>
    <w:p>
      <w:pPr>
        <w:pStyle w:val="BodyText"/>
        <w:spacing w:line="273" w:lineRule="auto"/>
        <w:ind w:left="1240"/>
        <w:jc w:val="both"/>
      </w:pPr>
      <w:r>
        <w:rPr>
          <w:w w:val="115"/>
        </w:rPr>
        <w:t>Kemi dy burime të emisioneve të pluhurit</w:t>
      </w:r>
      <w:r>
        <w:rPr>
          <w:spacing w:val="1"/>
          <w:w w:val="115"/>
        </w:rPr>
        <w:t> </w:t>
      </w:r>
      <w:r>
        <w:rPr>
          <w:w w:val="115"/>
        </w:rPr>
        <w:t>në</w:t>
      </w:r>
      <w:r>
        <w:rPr>
          <w:spacing w:val="-1"/>
          <w:w w:val="115"/>
        </w:rPr>
        <w:t> </w:t>
      </w:r>
      <w:r>
        <w:rPr>
          <w:w w:val="115"/>
        </w:rPr>
        <w:t>fabrikën</w:t>
      </w:r>
      <w:r>
        <w:rPr>
          <w:spacing w:val="-2"/>
          <w:w w:val="115"/>
        </w:rPr>
        <w:t> </w:t>
      </w:r>
      <w:r>
        <w:rPr>
          <w:w w:val="115"/>
        </w:rPr>
        <w:t>e çimentos,</w:t>
      </w:r>
      <w:r>
        <w:rPr>
          <w:spacing w:val="-3"/>
          <w:w w:val="115"/>
        </w:rPr>
        <w:t> </w:t>
      </w:r>
      <w:r>
        <w:rPr>
          <w:w w:val="115"/>
        </w:rPr>
        <w:t>përkatësisht:</w:t>
      </w:r>
    </w:p>
    <w:p>
      <w:pPr>
        <w:pStyle w:val="BodyText"/>
        <w:spacing w:before="9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560" w:val="left" w:leader="none"/>
        </w:tabs>
        <w:spacing w:line="276" w:lineRule="auto" w:before="0" w:after="0"/>
        <w:ind w:left="1240" w:right="0" w:firstLine="0"/>
        <w:jc w:val="both"/>
        <w:rPr>
          <w:sz w:val="22"/>
        </w:rPr>
      </w:pPr>
      <w:r>
        <w:rPr>
          <w:w w:val="115"/>
          <w:sz w:val="22"/>
        </w:rPr>
        <w:t>Burimet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emisioneve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pluhurit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emituara nga oxhaqet e furrës, ftohësi 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klinkerit dhe mullijte e çimentos. Vlerat 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matura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tregojnë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se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emitimet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nga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keto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burime janë dukshem nën vlerat kufitare.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Masat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për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reduktimin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emisioneve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pluhurit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nga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burimet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kryesore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janë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paraqitur si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më poshtë:</w:t>
      </w:r>
    </w:p>
    <w:p>
      <w:pPr>
        <w:pStyle w:val="BodyText"/>
        <w:spacing w:before="4"/>
        <w:rPr>
          <w:sz w:val="25"/>
        </w:rPr>
      </w:pPr>
    </w:p>
    <w:p>
      <w:pPr>
        <w:spacing w:line="276" w:lineRule="auto" w:before="0"/>
        <w:ind w:left="1240" w:right="0" w:firstLine="0"/>
        <w:jc w:val="both"/>
        <w:rPr>
          <w:sz w:val="22"/>
        </w:rPr>
      </w:pPr>
      <w:r>
        <w:rPr>
          <w:b/>
          <w:w w:val="115"/>
          <w:sz w:val="22"/>
        </w:rPr>
        <w:t>filterat</w:t>
      </w:r>
      <w:r>
        <w:rPr>
          <w:b/>
          <w:spacing w:val="1"/>
          <w:w w:val="115"/>
          <w:sz w:val="22"/>
        </w:rPr>
        <w:t> </w:t>
      </w:r>
      <w:r>
        <w:rPr>
          <w:b/>
          <w:w w:val="115"/>
          <w:sz w:val="22"/>
        </w:rPr>
        <w:t>me</w:t>
      </w:r>
      <w:r>
        <w:rPr>
          <w:b/>
          <w:spacing w:val="1"/>
          <w:w w:val="115"/>
          <w:sz w:val="22"/>
        </w:rPr>
        <w:t> </w:t>
      </w:r>
      <w:r>
        <w:rPr>
          <w:b/>
          <w:w w:val="115"/>
          <w:sz w:val="22"/>
        </w:rPr>
        <w:t>thasë</w:t>
      </w:r>
      <w:r>
        <w:rPr>
          <w:b/>
          <w:spacing w:val="1"/>
          <w:w w:val="115"/>
          <w:sz w:val="22"/>
        </w:rPr>
        <w:t> </w:t>
      </w:r>
      <w:r>
        <w:rPr>
          <w:b/>
          <w:w w:val="115"/>
          <w:sz w:val="22"/>
        </w:rPr>
        <w:t>-</w:t>
      </w:r>
      <w:r>
        <w:rPr>
          <w:b/>
          <w:spacing w:val="1"/>
          <w:w w:val="115"/>
          <w:sz w:val="22"/>
        </w:rPr>
        <w:t> </w:t>
      </w:r>
      <w:r>
        <w:rPr>
          <w:w w:val="115"/>
          <w:sz w:val="22"/>
        </w:rPr>
        <w:t>përdoren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mirëmbahen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siç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duhet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për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siguruar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nivele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të ulëta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pluhurit.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73" w:lineRule="auto"/>
        <w:ind w:left="1240"/>
        <w:jc w:val="both"/>
      </w:pPr>
      <w:r>
        <w:rPr>
          <w:w w:val="115"/>
        </w:rPr>
        <w:t>Transporti</w:t>
      </w:r>
      <w:r>
        <w:rPr>
          <w:spacing w:val="1"/>
          <w:w w:val="115"/>
        </w:rPr>
        <w:t> </w:t>
      </w:r>
      <w:r>
        <w:rPr>
          <w:w w:val="115"/>
        </w:rPr>
        <w:t>bëhet</w:t>
      </w:r>
      <w:r>
        <w:rPr>
          <w:spacing w:val="1"/>
          <w:w w:val="115"/>
        </w:rPr>
        <w:t> </w:t>
      </w:r>
      <w:r>
        <w:rPr>
          <w:w w:val="115"/>
        </w:rPr>
        <w:t>nëpërmjet</w:t>
      </w:r>
      <w:r>
        <w:rPr>
          <w:spacing w:val="1"/>
          <w:w w:val="115"/>
        </w:rPr>
        <w:t> </w:t>
      </w:r>
      <w:r>
        <w:rPr>
          <w:w w:val="115"/>
        </w:rPr>
        <w:t>shiritave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transportues</w:t>
      </w:r>
      <w:r>
        <w:rPr>
          <w:spacing w:val="-15"/>
          <w:w w:val="115"/>
        </w:rPr>
        <w:t> </w:t>
      </w:r>
      <w:r>
        <w:rPr>
          <w:w w:val="115"/>
        </w:rPr>
        <w:t>të</w:t>
      </w:r>
      <w:r>
        <w:rPr>
          <w:spacing w:val="-15"/>
          <w:w w:val="115"/>
        </w:rPr>
        <w:t> </w:t>
      </w:r>
      <w:r>
        <w:rPr>
          <w:w w:val="115"/>
        </w:rPr>
        <w:t>mbuluara</w:t>
      </w:r>
      <w:r>
        <w:rPr>
          <w:spacing w:val="-12"/>
          <w:w w:val="115"/>
        </w:rPr>
        <w:t> </w:t>
      </w:r>
      <w:r>
        <w:rPr>
          <w:w w:val="115"/>
        </w:rPr>
        <w:t>dhe</w:t>
      </w:r>
      <w:r>
        <w:rPr>
          <w:spacing w:val="-10"/>
          <w:w w:val="115"/>
        </w:rPr>
        <w:t> </w:t>
      </w:r>
      <w:r>
        <w:rPr>
          <w:w w:val="115"/>
        </w:rPr>
        <w:t>te</w:t>
      </w:r>
      <w:r>
        <w:rPr>
          <w:spacing w:val="-13"/>
          <w:w w:val="115"/>
        </w:rPr>
        <w:t> </w:t>
      </w:r>
      <w:r>
        <w:rPr>
          <w:w w:val="115"/>
        </w:rPr>
        <w:t>mbyllura.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76" w:lineRule="auto"/>
        <w:ind w:left="1240" w:right="280"/>
      </w:pPr>
      <w:r>
        <w:rPr>
          <w:w w:val="115"/>
        </w:rPr>
        <w:t>Statistikat tregojnë se nivelet janë të</w:t>
      </w:r>
      <w:r>
        <w:rPr>
          <w:spacing w:val="1"/>
          <w:w w:val="115"/>
        </w:rPr>
        <w:t> </w:t>
      </w:r>
      <w:r>
        <w:rPr>
          <w:w w:val="115"/>
        </w:rPr>
        <w:t>qëndrueshme dhe nuk tregojnë ndonjë</w:t>
      </w:r>
      <w:r>
        <w:rPr>
          <w:spacing w:val="-55"/>
          <w:w w:val="115"/>
        </w:rPr>
        <w:t> </w:t>
      </w:r>
      <w:r>
        <w:rPr>
          <w:w w:val="115"/>
        </w:rPr>
        <w:t>tendencë të tejkalimit të</w:t>
      </w:r>
      <w:r>
        <w:rPr>
          <w:spacing w:val="1"/>
          <w:w w:val="115"/>
        </w:rPr>
        <w:t> </w:t>
      </w:r>
      <w:r>
        <w:rPr>
          <w:w w:val="115"/>
        </w:rPr>
        <w:t>kufirit apo te</w:t>
      </w:r>
      <w:r>
        <w:rPr>
          <w:spacing w:val="-55"/>
          <w:w w:val="115"/>
        </w:rPr>
        <w:t> </w:t>
      </w:r>
      <w:r>
        <w:rPr>
          <w:w w:val="115"/>
        </w:rPr>
        <w:t>rritjes</w:t>
      </w:r>
      <w:r>
        <w:rPr>
          <w:spacing w:val="-1"/>
          <w:w w:val="115"/>
        </w:rPr>
        <w:t> </w:t>
      </w:r>
      <w:r>
        <w:rPr>
          <w:w w:val="115"/>
        </w:rPr>
        <w:t>së shkarkimeve.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1502" w:val="left" w:leader="none"/>
        </w:tabs>
        <w:spacing w:line="276" w:lineRule="auto" w:before="0" w:after="0"/>
        <w:ind w:left="1240" w:right="110" w:firstLine="0"/>
        <w:jc w:val="left"/>
        <w:rPr>
          <w:sz w:val="22"/>
        </w:rPr>
      </w:pPr>
      <w:r>
        <w:rPr>
          <w:b/>
          <w:w w:val="115"/>
          <w:sz w:val="22"/>
        </w:rPr>
        <w:t>Pluhuri transient </w:t>
      </w:r>
      <w:r>
        <w:rPr>
          <w:w w:val="115"/>
          <w:sz w:val="22"/>
        </w:rPr>
        <w:t>- është totali i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grimcave të emetuara nga burime jo të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përcaktuara dhe jo të vazhdueshme, por</w:t>
      </w:r>
      <w:r>
        <w:rPr>
          <w:spacing w:val="-55"/>
          <w:w w:val="115"/>
          <w:sz w:val="22"/>
        </w:rPr>
        <w:t> </w:t>
      </w:r>
      <w:r>
        <w:rPr>
          <w:w w:val="115"/>
          <w:sz w:val="22"/>
        </w:rPr>
        <w:t>është e lidhur me kushte të caktuara dhe</w:t>
      </w:r>
      <w:r>
        <w:rPr>
          <w:spacing w:val="-55"/>
          <w:w w:val="115"/>
          <w:sz w:val="22"/>
        </w:rPr>
        <w:t> </w:t>
      </w:r>
      <w:r>
        <w:rPr>
          <w:w w:val="115"/>
          <w:sz w:val="22"/>
        </w:rPr>
        <w:t>aktivitete si era, ngarkim, shkarkimit,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aktiviteteve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per</w:t>
      </w:r>
      <w:r>
        <w:rPr>
          <w:spacing w:val="54"/>
          <w:w w:val="115"/>
          <w:sz w:val="22"/>
        </w:rPr>
        <w:t> </w:t>
      </w:r>
      <w:r>
        <w:rPr>
          <w:w w:val="115"/>
          <w:sz w:val="22"/>
        </w:rPr>
        <w:t>mirembajtje.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shape style="position:absolute;margin-left:354.359985pt;margin-top:11.896426pt;width:183.25pt;height:.1pt;mso-position-horizontal-relative:page;mso-position-vertical-relative:paragraph;z-index:-15698432;mso-wrap-distance-left:0;mso-wrap-distance-right:0" coordorigin="7087,238" coordsize="3665,0" path="m7087,238l10752,238e" filled="false" stroked="true" strokeweight=".75pt" strokecolor="#d9d9d9">
            <v:path arrowok="t"/>
            <v:stroke dashstyle="solid"/>
            <w10:wrap type="topAndBottom"/>
          </v:shape>
        </w:pict>
      </w:r>
      <w:r>
        <w:rPr/>
        <w:pict>
          <v:shape style="position:absolute;margin-left:354.359985pt;margin-top:26.656425pt;width:183.25pt;height:.1pt;mso-position-horizontal-relative:page;mso-position-vertical-relative:paragraph;z-index:-15697920;mso-wrap-distance-left:0;mso-wrap-distance-right:0" coordorigin="7087,533" coordsize="3665,0" path="m7087,533l10752,533e" filled="false" stroked="true" strokeweight=".75pt" strokecolor="#d9d9d9">
            <v:path arrowok="t"/>
            <v:stroke dashstyle="solid"/>
            <w10:wrap type="topAndBottom"/>
          </v:shape>
        </w:pict>
      </w:r>
      <w:r>
        <w:rPr/>
        <w:pict>
          <v:shape style="position:absolute;margin-left:354.359985pt;margin-top:41.416428pt;width:183.25pt;height:.1pt;mso-position-horizontal-relative:page;mso-position-vertical-relative:paragraph;z-index:-15697408;mso-wrap-distance-left:0;mso-wrap-distance-right:0" coordorigin="7087,828" coordsize="3665,0" path="m7087,828l10752,828e" filled="false" stroked="true" strokeweight=".75pt" strokecolor="#d9d9d9">
            <v:path arrowok="t"/>
            <v:stroke dashstyle="solid"/>
            <w10:wrap type="topAndBottom"/>
          </v:shape>
        </w:pict>
      </w:r>
      <w:r>
        <w:rPr/>
        <w:pict>
          <v:shape style="position:absolute;margin-left:354.359985pt;margin-top:56.176426pt;width:183.25pt;height:.1pt;mso-position-horizontal-relative:page;mso-position-vertical-relative:paragraph;z-index:-15696896;mso-wrap-distance-left:0;mso-wrap-distance-right:0" coordorigin="7087,1124" coordsize="3665,0" path="m7087,1124l10752,1124e" filled="false" stroked="true" strokeweight=".75pt" strokecolor="#d9d9d9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4"/>
        <w:rPr>
          <w:sz w:val="6"/>
        </w:rPr>
      </w:pPr>
    </w:p>
    <w:p>
      <w:pPr>
        <w:pStyle w:val="BodyText"/>
        <w:spacing w:line="190" w:lineRule="exact"/>
        <w:ind w:left="1277"/>
        <w:rPr>
          <w:sz w:val="19"/>
        </w:rPr>
      </w:pPr>
      <w:r>
        <w:rPr>
          <w:position w:val="-3"/>
          <w:sz w:val="19"/>
        </w:rPr>
        <w:pict>
          <v:group style="width:183.25pt;height:9.5pt;mso-position-horizontal-relative:char;mso-position-vertical-relative:line" coordorigin="0,0" coordsize="3665,190">
            <v:line style="position:absolute" from="0,182" to="3665,182" stroked="true" strokeweight=".75pt" strokecolor="#d9d9d9">
              <v:stroke dashstyle="solid"/>
            </v:line>
            <v:shape style="position:absolute;left:610;top:58;width:2443;height:93" coordorigin="611,58" coordsize="2443,93" path="m611,58l1831,135,3054,151e" filled="false" stroked="true" strokeweight="2.25pt" strokecolor="#4f81bc">
              <v:path arrowok="t"/>
              <v:stroke dashstyle="solid"/>
            </v:shape>
            <v:shape style="position:absolute;left:551;top:0;width:116;height:116" type="#_x0000_t75" stroked="false">
              <v:imagedata r:id="rId143" o:title=""/>
            </v:shape>
          </v:group>
        </w:pict>
      </w:r>
      <w:r>
        <w:rPr>
          <w:position w:val="-3"/>
          <w:sz w:val="19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0"/>
        <w:ind w:left="678" w:right="1212" w:firstLine="0"/>
        <w:jc w:val="left"/>
        <w:rPr>
          <w:i/>
          <w:sz w:val="18"/>
        </w:rPr>
      </w:pPr>
      <w:r>
        <w:rPr>
          <w:i/>
          <w:color w:val="44536A"/>
          <w:sz w:val="18"/>
        </w:rPr>
        <w:t>Figure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2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Emisionet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e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Pluhurit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nga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ftohesi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i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klinkerit</w:t>
      </w:r>
      <w:r>
        <w:rPr>
          <w:i/>
          <w:color w:val="44536A"/>
          <w:spacing w:val="-38"/>
          <w:sz w:val="18"/>
        </w:rPr>
        <w:t> </w:t>
      </w:r>
      <w:r>
        <w:rPr>
          <w:i/>
          <w:color w:val="44536A"/>
          <w:sz w:val="18"/>
        </w:rPr>
        <w:t>[mg/Nm3]</w:t>
      </w:r>
    </w:p>
    <w:p>
      <w:pPr>
        <w:pStyle w:val="BodyText"/>
        <w:spacing w:before="7"/>
        <w:rPr>
          <w:i/>
          <w:sz w:val="12"/>
        </w:rPr>
      </w:pPr>
      <w:r>
        <w:rPr/>
        <w:pict>
          <v:group style="position:absolute;margin-left:323.625pt;margin-top:9.662305pt;width:216.75pt;height:115.15pt;mso-position-horizontal-relative:page;mso-position-vertical-relative:paragraph;z-index:-15695872;mso-wrap-distance-left:0;mso-wrap-distance-right:0" coordorigin="6473,193" coordsize="4335,2303">
            <v:shape style="position:absolute;left:7089;top:1373;width:3536;height:586" coordorigin="7090,1374" coordsize="3536,586" path="m7090,1374l10626,1374m7090,1959l10626,1959e" filled="false" stroked="true" strokeweight=".75pt" strokecolor="#d9d9d9">
              <v:path arrowok="t"/>
              <v:stroke dashstyle="solid"/>
            </v:shape>
            <v:shape style="position:absolute;left:7679;top:1853;width:2358;height:74" coordorigin="7679,1853" coordsize="2358,74" path="m7679,1927l8858,1926,10036,1853e" filled="false" stroked="true" strokeweight="2.25pt" strokecolor="#4f81bc">
              <v:path arrowok="t"/>
              <v:stroke dashstyle="solid"/>
            </v:shape>
            <v:shape style="position:absolute;left:7622;top:1870;width:116;height:116" type="#_x0000_t75" stroked="false">
              <v:imagedata r:id="rId142" o:title=""/>
            </v:shape>
            <v:shape style="position:absolute;left:8800;top:1868;width:116;height:116" type="#_x0000_t75" stroked="false">
              <v:imagedata r:id="rId144" o:title=""/>
            </v:shape>
            <v:shape style="position:absolute;left:9978;top:1796;width:116;height:116" type="#_x0000_t75" stroked="false">
              <v:imagedata r:id="rId145" o:title=""/>
            </v:shape>
            <v:rect style="position:absolute;left:6480;top:200;width:4320;height:2288" filled="false" stroked="true" strokeweight=".75pt" strokecolor="#000000">
              <v:stroke dashstyle="solid"/>
            </v:rect>
            <v:line style="position:absolute" from="7219,806" to="10403,796" stroked="true" strokeweight="1.75pt" strokecolor="#ff0000">
              <v:stroke dashstyle="solid"/>
            </v:line>
            <v:shape style="position:absolute;left:6511;top:706;width:43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20.00</w:t>
                    </w:r>
                  </w:p>
                </w:txbxContent>
              </v:textbox>
              <w10:wrap type="none"/>
            </v:shape>
            <v:shape style="position:absolute;left:7089;top:286;width:3556;height:763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2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Emisionet</w:t>
                    </w:r>
                    <w:r>
                      <w:rPr>
                        <w:rFonts w:ascii="Times New Roman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e</w:t>
                    </w:r>
                    <w:r>
                      <w:rPr>
                        <w:rFonts w:ascii="Times New Roman"/>
                        <w:spacing w:val="-2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pluhurit</w:t>
                    </w:r>
                    <w:r>
                      <w:rPr>
                        <w:rFonts w:ascii="Times New Roman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nga ftohesi i</w:t>
                    </w:r>
                  </w:p>
                  <w:p>
                    <w:pPr>
                      <w:tabs>
                        <w:tab w:pos="712" w:val="left" w:leader="none"/>
                        <w:tab w:pos="3535" w:val="left" w:leader="none"/>
                      </w:tabs>
                      <w:spacing w:line="275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u w:val="single" w:color="D9D9D9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sz w:val="24"/>
                        <w:u w:val="single" w:color="D9D9D9"/>
                      </w:rPr>
                      <w:t>klinkerit</w:t>
                    </w:r>
                    <w:r>
                      <w:rPr>
                        <w:rFonts w:ascii="Times New Roman" w:hAnsi="Times New Roman"/>
                        <w:spacing w:val="-1"/>
                        <w:sz w:val="24"/>
                        <w:u w:val="single" w:color="D9D9D9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  <w:u w:val="single" w:color="D9D9D9"/>
                      </w:rPr>
                      <w:t>[mg/Nm³</w:t>
                    </w:r>
                    <w:r>
                      <w:rPr>
                        <w:b/>
                        <w:sz w:val="24"/>
                        <w:u w:val="single" w:color="D9D9D9"/>
                      </w:rPr>
                      <w:t>]</w:t>
                      <w:tab/>
                    </w:r>
                  </w:p>
                  <w:p>
                    <w:pPr>
                      <w:spacing w:line="222" w:lineRule="exact" w:before="0"/>
                      <w:ind w:left="1541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0000"/>
                        <w:sz w:val="20"/>
                      </w:rPr>
                      <w:t>IPPC</w:t>
                    </w:r>
                    <w:r>
                      <w:rPr>
                        <w:b/>
                        <w:color w:val="FF0000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</w:rPr>
                      <w:t>ELV</w:t>
                    </w:r>
                    <w:r>
                      <w:rPr>
                        <w:b/>
                        <w:color w:val="FF0000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</w:rPr>
                      <w:t>-20</w:t>
                    </w:r>
                    <w:r>
                      <w:rPr>
                        <w:b/>
                        <w:color w:val="FF0000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</w:rPr>
                      <w:t>[mg/Nm³]</w:t>
                    </w:r>
                  </w:p>
                </w:txbxContent>
              </v:textbox>
              <w10:wrap type="none"/>
            </v:shape>
            <v:shape style="position:absolute;left:6511;top:1291;width:43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10.00</w:t>
                    </w:r>
                  </w:p>
                </w:txbxContent>
              </v:textbox>
              <w10:wrap type="none"/>
            </v:shape>
            <v:shape style="position:absolute;left:7755;top:1687;width:3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0.55</w:t>
                    </w:r>
                  </w:p>
                </w:txbxContent>
              </v:textbox>
              <w10:wrap type="none"/>
            </v:shape>
            <v:shape style="position:absolute;left:8887;top:1723;width:3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0.58</w:t>
                    </w:r>
                  </w:p>
                </w:txbxContent>
              </v:textbox>
              <w10:wrap type="none"/>
            </v:shape>
            <v:shape style="position:absolute;left:6602;top:1875;width:3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0.00</w:t>
                    </w:r>
                  </w:p>
                </w:txbxContent>
              </v:textbox>
              <w10:wrap type="none"/>
            </v:shape>
            <v:shape style="position:absolute;left:7498;top:21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8677;top:2109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9855;top:1779;width:695;height:51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352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1.81</w:t>
                    </w:r>
                  </w:p>
                  <w:p>
                    <w:pPr>
                      <w:spacing w:line="216" w:lineRule="exact" w:before="11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spacing w:before="133"/>
        <w:ind w:left="678" w:right="0" w:firstLine="0"/>
        <w:jc w:val="left"/>
        <w:rPr>
          <w:i/>
          <w:sz w:val="18"/>
        </w:rPr>
      </w:pPr>
      <w:r>
        <w:rPr>
          <w:i/>
          <w:color w:val="44536A"/>
          <w:sz w:val="18"/>
        </w:rPr>
        <w:t>Figure</w:t>
      </w:r>
      <w:r>
        <w:rPr>
          <w:i/>
          <w:color w:val="44536A"/>
          <w:spacing w:val="-1"/>
          <w:sz w:val="18"/>
        </w:rPr>
        <w:t> </w:t>
      </w:r>
      <w:r>
        <w:rPr>
          <w:i/>
          <w:color w:val="44536A"/>
          <w:sz w:val="18"/>
        </w:rPr>
        <w:t>3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Emisionet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</w:t>
      </w:r>
      <w:r>
        <w:rPr>
          <w:i/>
          <w:color w:val="44536A"/>
          <w:spacing w:val="-4"/>
          <w:sz w:val="18"/>
        </w:rPr>
        <w:t> </w:t>
      </w:r>
      <w:r>
        <w:rPr>
          <w:i/>
          <w:color w:val="44536A"/>
          <w:sz w:val="18"/>
        </w:rPr>
        <w:t>Pluhurit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nga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mulliri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i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qiment</w:t>
      </w:r>
    </w:p>
    <w:p>
      <w:pPr>
        <w:pStyle w:val="BodyText"/>
        <w:spacing w:before="5"/>
        <w:rPr>
          <w:i/>
          <w:sz w:val="12"/>
        </w:rPr>
      </w:pPr>
      <w:r>
        <w:rPr/>
        <w:pict>
          <v:group style="position:absolute;margin-left:323.625pt;margin-top:9.549687pt;width:216.75pt;height:115.15pt;mso-position-horizontal-relative:page;mso-position-vertical-relative:paragraph;z-index:-15695360;mso-wrap-distance-left:0;mso-wrap-distance-right:0" coordorigin="6473,191" coordsize="4335,2303">
            <v:shape style="position:absolute;left:7089;top:1371;width:3536;height:586" coordorigin="7090,1371" coordsize="3536,586" path="m7090,1371l10626,1371m7090,1957l10626,1957e" filled="false" stroked="true" strokeweight=".75pt" strokecolor="#d9d9d9">
              <v:path arrowok="t"/>
              <v:stroke dashstyle="solid"/>
            </v:shape>
            <v:shape style="position:absolute;left:7679;top:1851;width:2358;height:81" coordorigin="7679,1851" coordsize="2358,81" path="m7679,1851l8858,1932,10036,1906e" filled="false" stroked="true" strokeweight="2.25pt" strokecolor="#4f81bc">
              <v:path arrowok="t"/>
              <v:stroke dashstyle="solid"/>
            </v:shape>
            <v:shape style="position:absolute;left:7622;top:1794;width:116;height:116" type="#_x0000_t75" stroked="false">
              <v:imagedata r:id="rId146" o:title=""/>
            </v:shape>
            <v:shape style="position:absolute;left:8800;top:1875;width:116;height:116" type="#_x0000_t75" stroked="false">
              <v:imagedata r:id="rId146" o:title=""/>
            </v:shape>
            <v:shape style="position:absolute;left:9978;top:1849;width:116;height:116" type="#_x0000_t75" stroked="false">
              <v:imagedata r:id="rId147" o:title=""/>
            </v:shape>
            <v:shape style="position:absolute;left:7679;top:1851;width:2358;height:81" coordorigin="7679,1851" coordsize="2358,81" path="m7679,1851l8858,1932,10036,1906e" filled="false" stroked="true" strokeweight="2.25pt" strokecolor="#548ed4">
              <v:path arrowok="t"/>
              <v:stroke dashstyle="solid"/>
            </v:shape>
            <v:shape style="position:absolute;left:7622;top:1794;width:116;height:116" type="#_x0000_t75" stroked="false">
              <v:imagedata r:id="rId148" o:title=""/>
            </v:shape>
            <v:shape style="position:absolute;left:8800;top:1875;width:116;height:116" type="#_x0000_t75" stroked="false">
              <v:imagedata r:id="rId148" o:title=""/>
            </v:shape>
            <v:shape style="position:absolute;left:9978;top:1849;width:116;height:116" type="#_x0000_t75" stroked="false">
              <v:imagedata r:id="rId149" o:title=""/>
            </v:shape>
            <v:rect style="position:absolute;left:6480;top:198;width:4320;height:2288" filled="false" stroked="true" strokeweight=".75pt" strokecolor="#000000">
              <v:stroke dashstyle="solid"/>
            </v:rect>
            <v:line style="position:absolute" from="7193,791" to="10378,781" stroked="true" strokeweight="1.75pt" strokecolor="#ff0000">
              <v:stroke dashstyle="solid"/>
            </v:line>
            <v:shape style="position:absolute;left:6511;top:704;width:43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20.00</w:t>
                    </w:r>
                  </w:p>
                </w:txbxContent>
              </v:textbox>
              <w10:wrap type="none"/>
            </v:shape>
            <v:shape style="position:absolute;left:7089;top:283;width:3556;height:764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28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sz w:val="24"/>
                      </w:rPr>
                      <w:t>Emisionet</w:t>
                    </w:r>
                    <w:r>
                      <w:rPr>
                        <w:rFonts w:ascii="Times New Roman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e</w:t>
                    </w:r>
                    <w:r>
                      <w:rPr>
                        <w:rFonts w:ascii="Times New Roman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pluhurit</w:t>
                    </w:r>
                    <w:r>
                      <w:rPr>
                        <w:rFonts w:ascii="Times New Roman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nga mulliri</w:t>
                    </w:r>
                    <w:r>
                      <w:rPr>
                        <w:rFonts w:ascii="Times New Roman"/>
                        <w:spacing w:val="-2"/>
                        <w:sz w:val="24"/>
                      </w:rPr>
                      <w:t> </w:t>
                    </w:r>
                    <w:r>
                      <w:rPr>
                        <w:rFonts w:ascii="Times New Roman"/>
                        <w:sz w:val="24"/>
                      </w:rPr>
                      <w:t>i</w:t>
                    </w:r>
                  </w:p>
                  <w:p>
                    <w:pPr>
                      <w:tabs>
                        <w:tab w:pos="710" w:val="left" w:leader="none"/>
                        <w:tab w:pos="3535" w:val="left" w:leader="none"/>
                      </w:tabs>
                      <w:spacing w:line="275" w:lineRule="exact" w:before="1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u w:val="single" w:color="D9D9D9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sz w:val="24"/>
                        <w:u w:val="single" w:color="D9D9D9"/>
                      </w:rPr>
                      <w:t>qimentos[mg/Nm³</w:t>
                    </w:r>
                    <w:r>
                      <w:rPr>
                        <w:b/>
                        <w:sz w:val="24"/>
                        <w:u w:val="single" w:color="D9D9D9"/>
                      </w:rPr>
                      <w:t>]</w:t>
                      <w:tab/>
                    </w:r>
                  </w:p>
                  <w:p>
                    <w:pPr>
                      <w:spacing w:line="222" w:lineRule="exact" w:before="0"/>
                      <w:ind w:left="1541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0000"/>
                        <w:sz w:val="20"/>
                      </w:rPr>
                      <w:t>IPPC</w:t>
                    </w:r>
                    <w:r>
                      <w:rPr>
                        <w:b/>
                        <w:color w:val="FF0000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</w:rPr>
                      <w:t>ELV</w:t>
                    </w:r>
                    <w:r>
                      <w:rPr>
                        <w:b/>
                        <w:color w:val="FF0000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</w:rPr>
                      <w:t>-20</w:t>
                    </w:r>
                    <w:r>
                      <w:rPr>
                        <w:b/>
                        <w:color w:val="FF0000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0000"/>
                        <w:sz w:val="20"/>
                      </w:rPr>
                      <w:t>[mg/Nm³]</w:t>
                    </w:r>
                  </w:p>
                </w:txbxContent>
              </v:textbox>
              <w10:wrap type="none"/>
            </v:shape>
            <v:shape style="position:absolute;left:6511;top:1288;width:433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10.00</w:t>
                    </w:r>
                  </w:p>
                </w:txbxContent>
              </v:textbox>
              <w10:wrap type="none"/>
            </v:shape>
            <v:shape style="position:absolute;left:7755;top:1612;width:3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1.81</w:t>
                    </w:r>
                  </w:p>
                </w:txbxContent>
              </v:textbox>
              <w10:wrap type="none"/>
            </v:shape>
            <v:shape style="position:absolute;left:8887;top:1730;width:3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0.43</w:t>
                    </w:r>
                  </w:p>
                </w:txbxContent>
              </v:textbox>
              <w10:wrap type="none"/>
            </v:shape>
            <v:shape style="position:absolute;left:6602;top:1874;width:3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0.00</w:t>
                    </w:r>
                  </w:p>
                </w:txbxContent>
              </v:textbox>
              <w10:wrap type="none"/>
            </v:shape>
            <v:shape style="position:absolute;left:7498;top:2107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8677;top:2107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9855;top:1832;width:695;height:45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352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0.87</w:t>
                    </w:r>
                  </w:p>
                  <w:p>
                    <w:pPr>
                      <w:spacing w:line="216" w:lineRule="exact" w:before="55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type w:val="continuous"/>
          <w:pgSz w:w="12240" w:h="15840"/>
          <w:pgMar w:top="1500" w:bottom="280" w:left="200" w:right="140"/>
          <w:cols w:num="2" w:equalWidth="0">
            <w:col w:w="5563" w:space="40"/>
            <w:col w:w="629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2"/>
        <w:rPr>
          <w:i/>
          <w:sz w:val="14"/>
        </w:rPr>
      </w:pPr>
    </w:p>
    <w:p>
      <w:pPr>
        <w:spacing w:before="91"/>
        <w:ind w:left="124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2240" w:h="15840"/>
          <w:pgMar w:top="150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7"/>
        </w:rPr>
      </w:pPr>
    </w:p>
    <w:p>
      <w:pPr>
        <w:spacing w:before="20"/>
        <w:ind w:left="880" w:right="0" w:firstLine="0"/>
        <w:jc w:val="both"/>
        <w:rPr>
          <w:sz w:val="40"/>
        </w:rPr>
      </w:pPr>
      <w:r>
        <w:rPr/>
        <w:pict>
          <v:shape style="position:absolute;margin-left:517.099976pt;margin-top:-38.517029pt;width:82.15pt;height:69.75pt;mso-position-horizontal-relative:page;mso-position-vertical-relative:paragraph;z-index:-17341440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5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115"/>
          <w:sz w:val="40"/>
        </w:rPr>
        <w:t>Monitorimi</w:t>
      </w:r>
      <w:r>
        <w:rPr>
          <w:spacing w:val="-3"/>
          <w:w w:val="115"/>
          <w:sz w:val="40"/>
        </w:rPr>
        <w:t> </w:t>
      </w:r>
      <w:r>
        <w:rPr>
          <w:w w:val="115"/>
          <w:sz w:val="40"/>
        </w:rPr>
        <w:t>i</w:t>
      </w:r>
      <w:r>
        <w:rPr>
          <w:spacing w:val="-4"/>
          <w:w w:val="115"/>
          <w:sz w:val="40"/>
        </w:rPr>
        <w:t> </w:t>
      </w:r>
      <w:r>
        <w:rPr>
          <w:w w:val="115"/>
          <w:sz w:val="40"/>
        </w:rPr>
        <w:t>Cilësisë</w:t>
      </w:r>
      <w:r>
        <w:rPr>
          <w:spacing w:val="-3"/>
          <w:w w:val="115"/>
          <w:sz w:val="40"/>
        </w:rPr>
        <w:t> </w:t>
      </w:r>
      <w:r>
        <w:rPr>
          <w:w w:val="115"/>
          <w:sz w:val="40"/>
        </w:rPr>
        <w:t>së</w:t>
      </w:r>
      <w:r>
        <w:rPr>
          <w:spacing w:val="-2"/>
          <w:w w:val="115"/>
          <w:sz w:val="40"/>
        </w:rPr>
        <w:t> </w:t>
      </w:r>
      <w:r>
        <w:rPr>
          <w:w w:val="115"/>
          <w:sz w:val="40"/>
        </w:rPr>
        <w:t>ajrit</w:t>
      </w:r>
      <w:r>
        <w:rPr>
          <w:spacing w:val="-1"/>
          <w:w w:val="115"/>
          <w:sz w:val="40"/>
        </w:rPr>
        <w:t> </w:t>
      </w:r>
      <w:r>
        <w:rPr>
          <w:w w:val="115"/>
          <w:sz w:val="40"/>
        </w:rPr>
        <w:t>të</w:t>
      </w:r>
      <w:r>
        <w:rPr>
          <w:spacing w:val="-3"/>
          <w:w w:val="115"/>
          <w:sz w:val="40"/>
        </w:rPr>
        <w:t> </w:t>
      </w:r>
      <w:r>
        <w:rPr>
          <w:w w:val="115"/>
          <w:sz w:val="40"/>
        </w:rPr>
        <w:t>Mjedisit</w:t>
      </w:r>
    </w:p>
    <w:p>
      <w:pPr>
        <w:pStyle w:val="BodyText"/>
        <w:ind w:left="880" w:right="939"/>
        <w:jc w:val="both"/>
      </w:pPr>
      <w:r>
        <w:rPr>
          <w:w w:val="115"/>
        </w:rPr>
        <w:t>Plani i veprimit për redukimin e pluhurit transient është kompletuar me mbylljen e depos së</w:t>
      </w:r>
      <w:r>
        <w:rPr>
          <w:spacing w:val="1"/>
          <w:w w:val="115"/>
        </w:rPr>
        <w:t> </w:t>
      </w:r>
      <w:r>
        <w:rPr>
          <w:w w:val="115"/>
        </w:rPr>
        <w:t>clinkerit dhe</w:t>
      </w:r>
      <w:r>
        <w:rPr>
          <w:spacing w:val="-2"/>
          <w:w w:val="115"/>
        </w:rPr>
        <w:t> </w:t>
      </w:r>
      <w:r>
        <w:rPr>
          <w:w w:val="115"/>
        </w:rPr>
        <w:t>materialeve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-1"/>
          <w:w w:val="115"/>
        </w:rPr>
        <w:t> </w:t>
      </w:r>
      <w:r>
        <w:rPr>
          <w:w w:val="115"/>
        </w:rPr>
        <w:t>para.</w:t>
      </w:r>
    </w:p>
    <w:p>
      <w:pPr>
        <w:pStyle w:val="BodyText"/>
        <w:ind w:left="880" w:right="935"/>
        <w:jc w:val="both"/>
      </w:pPr>
      <w:r>
        <w:rPr>
          <w:w w:val="115"/>
        </w:rPr>
        <w:t>Redukimi i burimeve të zhurmes në mjedis është përmbyllur përmes aktiviteve të parapara me</w:t>
      </w:r>
      <w:r>
        <w:rPr>
          <w:spacing w:val="1"/>
          <w:w w:val="115"/>
        </w:rPr>
        <w:t> </w:t>
      </w:r>
      <w:r>
        <w:rPr>
          <w:w w:val="115"/>
        </w:rPr>
        <w:t>planin e veprimit. Nga rezultatet e monitorimit të cilësise së ajrit në Hanin e Elezit përmes sistemit</w:t>
      </w:r>
      <w:r>
        <w:rPr>
          <w:spacing w:val="-55"/>
          <w:w w:val="115"/>
        </w:rPr>
        <w:t> </w:t>
      </w:r>
      <w:r>
        <w:rPr>
          <w:w w:val="115"/>
        </w:rPr>
        <w:t>të</w:t>
      </w:r>
      <w:r>
        <w:rPr>
          <w:spacing w:val="-11"/>
          <w:w w:val="115"/>
        </w:rPr>
        <w:t> </w:t>
      </w:r>
      <w:r>
        <w:rPr>
          <w:w w:val="115"/>
        </w:rPr>
        <w:t>instaluar</w:t>
      </w:r>
      <w:r>
        <w:rPr>
          <w:spacing w:val="-11"/>
          <w:w w:val="115"/>
        </w:rPr>
        <w:t> </w:t>
      </w:r>
      <w:r>
        <w:rPr>
          <w:w w:val="115"/>
        </w:rPr>
        <w:t>nga</w:t>
      </w:r>
      <w:r>
        <w:rPr>
          <w:spacing w:val="-12"/>
          <w:w w:val="115"/>
        </w:rPr>
        <w:t> </w:t>
      </w:r>
      <w:r>
        <w:rPr>
          <w:w w:val="115"/>
        </w:rPr>
        <w:t>ana</w:t>
      </w:r>
      <w:r>
        <w:rPr>
          <w:spacing w:val="-13"/>
          <w:w w:val="115"/>
        </w:rPr>
        <w:t> </w:t>
      </w:r>
      <w:r>
        <w:rPr>
          <w:w w:val="115"/>
        </w:rPr>
        <w:t>e</w:t>
      </w:r>
      <w:r>
        <w:rPr>
          <w:spacing w:val="-10"/>
          <w:w w:val="115"/>
        </w:rPr>
        <w:t> </w:t>
      </w:r>
      <w:r>
        <w:rPr>
          <w:w w:val="115"/>
        </w:rPr>
        <w:t>Ministrise</w:t>
      </w:r>
      <w:r>
        <w:rPr>
          <w:spacing w:val="-11"/>
          <w:w w:val="115"/>
        </w:rPr>
        <w:t> </w:t>
      </w:r>
      <w:r>
        <w:rPr>
          <w:w w:val="115"/>
        </w:rPr>
        <w:t>dhe</w:t>
      </w:r>
      <w:r>
        <w:rPr>
          <w:spacing w:val="-9"/>
          <w:w w:val="115"/>
        </w:rPr>
        <w:t> </w:t>
      </w:r>
      <w:r>
        <w:rPr>
          <w:w w:val="115"/>
        </w:rPr>
        <w:t>i</w:t>
      </w:r>
      <w:r>
        <w:rPr>
          <w:spacing w:val="-12"/>
          <w:w w:val="115"/>
        </w:rPr>
        <w:t> </w:t>
      </w:r>
      <w:r>
        <w:rPr>
          <w:w w:val="115"/>
        </w:rPr>
        <w:t>monitoruar</w:t>
      </w:r>
      <w:r>
        <w:rPr>
          <w:spacing w:val="-11"/>
          <w:w w:val="115"/>
        </w:rPr>
        <w:t> </w:t>
      </w:r>
      <w:r>
        <w:rPr>
          <w:w w:val="115"/>
        </w:rPr>
        <w:t>nga</w:t>
      </w:r>
      <w:r>
        <w:rPr>
          <w:spacing w:val="-12"/>
          <w:w w:val="115"/>
        </w:rPr>
        <w:t> </w:t>
      </w:r>
      <w:r>
        <w:rPr>
          <w:w w:val="115"/>
        </w:rPr>
        <w:t>instituti</w:t>
      </w:r>
      <w:r>
        <w:rPr>
          <w:spacing w:val="34"/>
          <w:w w:val="115"/>
        </w:rPr>
        <w:t> </w:t>
      </w:r>
      <w:r>
        <w:rPr>
          <w:w w:val="115"/>
        </w:rPr>
        <w:t>hirometerologjik</w:t>
      </w:r>
      <w:r>
        <w:rPr>
          <w:spacing w:val="-9"/>
          <w:w w:val="115"/>
        </w:rPr>
        <w:t> </w:t>
      </w:r>
      <w:r>
        <w:rPr>
          <w:w w:val="115"/>
        </w:rPr>
        <w:t>i</w:t>
      </w:r>
      <w:r>
        <w:rPr>
          <w:spacing w:val="-12"/>
          <w:w w:val="115"/>
        </w:rPr>
        <w:t> </w:t>
      </w:r>
      <w:r>
        <w:rPr>
          <w:w w:val="115"/>
        </w:rPr>
        <w:t>Kosoves</w:t>
      </w:r>
      <w:r>
        <w:rPr>
          <w:spacing w:val="-13"/>
          <w:w w:val="115"/>
        </w:rPr>
        <w:t> </w:t>
      </w:r>
      <w:r>
        <w:rPr>
          <w:w w:val="115"/>
        </w:rPr>
        <w:t>gjatë</w:t>
      </w:r>
      <w:r>
        <w:rPr>
          <w:spacing w:val="-12"/>
          <w:w w:val="115"/>
        </w:rPr>
        <w:t> </w:t>
      </w:r>
      <w:r>
        <w:rPr>
          <w:w w:val="115"/>
        </w:rPr>
        <w:t>vitit</w:t>
      </w:r>
      <w:r>
        <w:rPr>
          <w:spacing w:val="-55"/>
          <w:w w:val="115"/>
        </w:rPr>
        <w:t> </w:t>
      </w:r>
      <w:r>
        <w:rPr>
          <w:w w:val="115"/>
        </w:rPr>
        <w:t>kalendarik 2022 rezultojne të dhënat për parametrat kryesor të cilësisë së ajrit me qka vërehet se</w:t>
      </w:r>
      <w:r>
        <w:rPr>
          <w:spacing w:val="1"/>
          <w:w w:val="115"/>
        </w:rPr>
        <w:t> </w:t>
      </w:r>
      <w:r>
        <w:rPr>
          <w:w w:val="115"/>
        </w:rPr>
        <w:t>nuk</w:t>
      </w:r>
      <w:r>
        <w:rPr>
          <w:spacing w:val="-1"/>
          <w:w w:val="115"/>
        </w:rPr>
        <w:t> </w:t>
      </w:r>
      <w:r>
        <w:rPr>
          <w:w w:val="115"/>
        </w:rPr>
        <w:t>ka</w:t>
      </w:r>
      <w:r>
        <w:rPr>
          <w:spacing w:val="-1"/>
          <w:w w:val="115"/>
        </w:rPr>
        <w:t> </w:t>
      </w:r>
      <w:r>
        <w:rPr>
          <w:w w:val="115"/>
        </w:rPr>
        <w:t>pasur</w:t>
      </w:r>
      <w:r>
        <w:rPr>
          <w:spacing w:val="1"/>
          <w:w w:val="115"/>
        </w:rPr>
        <w:t> </w:t>
      </w:r>
      <w:r>
        <w:rPr>
          <w:w w:val="115"/>
        </w:rPr>
        <w:t>tejkalime</w:t>
      </w:r>
      <w:r>
        <w:rPr>
          <w:spacing w:val="56"/>
          <w:w w:val="115"/>
        </w:rPr>
        <w:t> </w:t>
      </w:r>
      <w:r>
        <w:rPr>
          <w:w w:val="115"/>
        </w:rPr>
        <w:t>të</w:t>
      </w:r>
      <w:r>
        <w:rPr>
          <w:spacing w:val="-2"/>
          <w:w w:val="115"/>
        </w:rPr>
        <w:t> </w:t>
      </w:r>
      <w:r>
        <w:rPr>
          <w:w w:val="115"/>
        </w:rPr>
        <w:t>theksuara  gjatë vitit</w:t>
      </w:r>
      <w:r>
        <w:rPr>
          <w:spacing w:val="-1"/>
          <w:w w:val="115"/>
        </w:rPr>
        <w:t> </w:t>
      </w:r>
      <w:r>
        <w:rPr>
          <w:w w:val="115"/>
        </w:rPr>
        <w:t>2022.</w:t>
      </w:r>
    </w:p>
    <w:p>
      <w:pPr>
        <w:pStyle w:val="Heading6"/>
        <w:spacing w:before="2"/>
        <w:ind w:left="880" w:right="934"/>
        <w:jc w:val="both"/>
        <w:rPr>
          <w:rFonts w:ascii="Calibri" w:hAnsi="Calibri"/>
        </w:rPr>
      </w:pPr>
      <w:r>
        <w:rPr>
          <w:rFonts w:ascii="Calibri" w:hAnsi="Calibri"/>
          <w:spacing w:val="-1"/>
        </w:rPr>
        <w:t>Ndërkaq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  <w:spacing w:val="-1"/>
        </w:rPr>
        <w:t>nga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  <w:spacing w:val="-1"/>
        </w:rPr>
        <w:t>vetë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  <w:spacing w:val="-1"/>
        </w:rPr>
        <w:t>monitorimi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  <w:spacing w:val="-1"/>
        </w:rPr>
        <w:t>i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  <w:spacing w:val="-1"/>
        </w:rPr>
        <w:t>cilesise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së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ajrit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</w:rPr>
        <w:t>në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perimetrin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e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</w:rPr>
        <w:t>fabrikes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dhe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të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minieres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gjithashtu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vërehet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se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nuk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ka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pasur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tejkalime të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parametrave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kryesor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të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cilesisë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së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ajrit.</w:t>
      </w:r>
    </w:p>
    <w:p>
      <w:pPr>
        <w:pStyle w:val="BodyText"/>
        <w:spacing w:before="12"/>
        <w:rPr>
          <w:sz w:val="21"/>
        </w:rPr>
      </w:pPr>
    </w:p>
    <w:p>
      <w:pPr>
        <w:pStyle w:val="Heading7"/>
        <w:ind w:left="1238"/>
      </w:pPr>
      <w:r>
        <w:rPr/>
        <w:t>Table: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11"/>
        <w:rPr>
          <w:b/>
          <w:sz w:val="7"/>
        </w:rPr>
      </w:pPr>
    </w:p>
    <w:tbl>
      <w:tblPr>
        <w:tblW w:w="0" w:type="auto"/>
        <w:jc w:val="left"/>
        <w:tblInd w:w="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9"/>
        <w:gridCol w:w="862"/>
        <w:gridCol w:w="987"/>
        <w:gridCol w:w="1174"/>
      </w:tblGrid>
      <w:tr>
        <w:trPr>
          <w:trHeight w:val="561" w:hRule="atLeast"/>
        </w:trPr>
        <w:tc>
          <w:tcPr>
            <w:tcW w:w="4862" w:type="dxa"/>
            <w:gridSpan w:val="4"/>
            <w:shd w:val="clear" w:color="auto" w:fill="92D050"/>
          </w:tcPr>
          <w:p>
            <w:pPr>
              <w:pStyle w:val="TableParagraph"/>
              <w:spacing w:before="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QUALITETI</w:t>
            </w:r>
            <w:r>
              <w:rPr>
                <w:rFonts w:ascii="Calibri" w:hAnsi="Calibri"/>
                <w:spacing w:val="-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AJRIT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TE</w:t>
            </w:r>
            <w:r>
              <w:rPr>
                <w:rFonts w:ascii="Calibri" w:hAnsi="Calibri"/>
                <w:spacing w:val="-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MJEDISIT</w:t>
            </w:r>
            <w:r>
              <w:rPr>
                <w:rFonts w:ascii="Calibri" w:hAnsi="Calibri"/>
                <w:spacing w:val="-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–</w:t>
            </w:r>
          </w:p>
          <w:p>
            <w:pPr>
              <w:pStyle w:val="TableParagraph"/>
              <w:spacing w:before="3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MOMITORIMI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PERIMETRIT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TE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FABRIKES</w:t>
            </w:r>
          </w:p>
        </w:tc>
      </w:tr>
      <w:tr>
        <w:trPr>
          <w:trHeight w:val="280" w:hRule="atLeast"/>
        </w:trPr>
        <w:tc>
          <w:tcPr>
            <w:tcW w:w="4862" w:type="dxa"/>
            <w:gridSpan w:val="4"/>
            <w:shd w:val="clear" w:color="auto" w:fill="92D05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489" w:hRule="atLeast"/>
        </w:trPr>
        <w:tc>
          <w:tcPr>
            <w:tcW w:w="1839" w:type="dxa"/>
          </w:tcPr>
          <w:p>
            <w:pPr>
              <w:pStyle w:val="TableParagraph"/>
              <w:spacing w:line="240" w:lineRule="atLeast"/>
              <w:ind w:right="71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PERIMETERI</w:t>
            </w:r>
            <w:r>
              <w:rPr>
                <w:rFonts w:ascii="Calibri"/>
                <w:spacing w:val="-44"/>
                <w:sz w:val="20"/>
              </w:rPr>
              <w:t> </w:t>
            </w:r>
            <w:r>
              <w:rPr>
                <w:rFonts w:ascii="Calibri"/>
                <w:sz w:val="20"/>
              </w:rPr>
              <w:t>FABRIKES</w:t>
            </w:r>
          </w:p>
        </w:tc>
        <w:tc>
          <w:tcPr>
            <w:tcW w:w="862" w:type="dxa"/>
          </w:tcPr>
          <w:p>
            <w:pPr>
              <w:pStyle w:val="TableParagraph"/>
              <w:ind w:left="159" w:right="14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987" w:type="dxa"/>
          </w:tcPr>
          <w:p>
            <w:pPr>
              <w:pStyle w:val="TableParagraph"/>
              <w:spacing w:before="1"/>
              <w:ind w:left="0" w:right="28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2022</w:t>
            </w:r>
          </w:p>
        </w:tc>
        <w:tc>
          <w:tcPr>
            <w:tcW w:w="1174" w:type="dxa"/>
          </w:tcPr>
          <w:p>
            <w:pPr>
              <w:pStyle w:val="TableParagraph"/>
              <w:spacing w:before="1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ELV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1"/>
                <w:sz w:val="20"/>
              </w:rPr>
              <w:t> </w:t>
            </w:r>
            <w:r>
              <w:rPr>
                <w:rFonts w:ascii="Calibri"/>
                <w:sz w:val="20"/>
              </w:rPr>
              <w:t>IPPC</w:t>
            </w:r>
          </w:p>
          <w:p>
            <w:pPr>
              <w:pStyle w:val="TableParagraph"/>
              <w:spacing w:line="223" w:lineRule="exact" w:before="1"/>
              <w:ind w:left="10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(mg/m³)</w:t>
            </w:r>
          </w:p>
        </w:tc>
      </w:tr>
      <w:tr>
        <w:trPr>
          <w:trHeight w:val="241" w:hRule="atLeast"/>
        </w:trPr>
        <w:tc>
          <w:tcPr>
            <w:tcW w:w="1839" w:type="dxa"/>
          </w:tcPr>
          <w:p>
            <w:pPr>
              <w:pStyle w:val="TableParagraph"/>
              <w:spacing w:line="222" w:lineRule="exac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position w:val="1"/>
                <w:sz w:val="20"/>
              </w:rPr>
              <w:t>PM</w:t>
            </w:r>
            <w:r>
              <w:rPr>
                <w:rFonts w:ascii="Calibri" w:hAnsi="Calibri"/>
                <w:sz w:val="13"/>
              </w:rPr>
              <w:t>10</w:t>
            </w:r>
            <w:r>
              <w:rPr>
                <w:rFonts w:ascii="Calibri" w:hAnsi="Calibri"/>
                <w:spacing w:val="12"/>
                <w:sz w:val="13"/>
              </w:rPr>
              <w:t> </w:t>
            </w:r>
            <w:r>
              <w:rPr>
                <w:rFonts w:ascii="Calibri" w:hAnsi="Calibri"/>
                <w:position w:val="1"/>
                <w:sz w:val="20"/>
              </w:rPr>
              <w:t>(mg/m³)</w:t>
            </w:r>
          </w:p>
        </w:tc>
        <w:tc>
          <w:tcPr>
            <w:tcW w:w="862" w:type="dxa"/>
          </w:tcPr>
          <w:p>
            <w:pPr>
              <w:pStyle w:val="TableParagraph"/>
              <w:spacing w:line="222" w:lineRule="exact"/>
              <w:ind w:left="157" w:right="150"/>
              <w:jc w:val="center"/>
              <w:rPr>
                <w:sz w:val="20"/>
              </w:rPr>
            </w:pPr>
            <w:r>
              <w:rPr>
                <w:sz w:val="20"/>
              </w:rPr>
              <w:t>0.043</w:t>
            </w:r>
          </w:p>
        </w:tc>
        <w:tc>
          <w:tcPr>
            <w:tcW w:w="987" w:type="dxa"/>
            <w:shd w:val="clear" w:color="auto" w:fill="C5DFB3"/>
          </w:tcPr>
          <w:p>
            <w:pPr>
              <w:pStyle w:val="TableParagraph"/>
              <w:spacing w:line="222" w:lineRule="exact"/>
              <w:ind w:left="0" w:right="257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0.040</w:t>
            </w:r>
          </w:p>
        </w:tc>
        <w:tc>
          <w:tcPr>
            <w:tcW w:w="1174" w:type="dxa"/>
          </w:tcPr>
          <w:p>
            <w:pPr>
              <w:pStyle w:val="TableParagraph"/>
              <w:spacing w:line="222" w:lineRule="exact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0.05</w:t>
            </w:r>
          </w:p>
        </w:tc>
      </w:tr>
      <w:tr>
        <w:trPr>
          <w:trHeight w:val="244" w:hRule="atLeast"/>
        </w:trPr>
        <w:tc>
          <w:tcPr>
            <w:tcW w:w="1839" w:type="dxa"/>
          </w:tcPr>
          <w:p>
            <w:pPr>
              <w:pStyle w:val="TableParagraph"/>
              <w:spacing w:line="223" w:lineRule="exact" w:before="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position w:val="1"/>
                <w:sz w:val="20"/>
              </w:rPr>
              <w:t>PM</w:t>
            </w:r>
            <w:r>
              <w:rPr>
                <w:rFonts w:ascii="Calibri" w:hAnsi="Calibri"/>
                <w:sz w:val="13"/>
              </w:rPr>
              <w:t>2.5</w:t>
            </w:r>
            <w:r>
              <w:rPr>
                <w:rFonts w:ascii="Calibri" w:hAnsi="Calibri"/>
                <w:spacing w:val="-4"/>
                <w:sz w:val="13"/>
              </w:rPr>
              <w:t> </w:t>
            </w:r>
            <w:r>
              <w:rPr>
                <w:rFonts w:ascii="Calibri" w:hAnsi="Calibri"/>
                <w:position w:val="1"/>
                <w:sz w:val="20"/>
              </w:rPr>
              <w:t>(mg/m³)</w:t>
            </w:r>
          </w:p>
        </w:tc>
        <w:tc>
          <w:tcPr>
            <w:tcW w:w="862" w:type="dxa"/>
          </w:tcPr>
          <w:p>
            <w:pPr>
              <w:pStyle w:val="TableParagraph"/>
              <w:spacing w:line="224" w:lineRule="exact"/>
              <w:ind w:left="157" w:right="150"/>
              <w:jc w:val="center"/>
              <w:rPr>
                <w:sz w:val="20"/>
              </w:rPr>
            </w:pPr>
            <w:r>
              <w:rPr>
                <w:sz w:val="20"/>
              </w:rPr>
              <w:t>0.021</w:t>
            </w:r>
          </w:p>
        </w:tc>
        <w:tc>
          <w:tcPr>
            <w:tcW w:w="987" w:type="dxa"/>
            <w:shd w:val="clear" w:color="auto" w:fill="C5DFB3"/>
          </w:tcPr>
          <w:p>
            <w:pPr>
              <w:pStyle w:val="TableParagraph"/>
              <w:spacing w:line="223" w:lineRule="exact" w:before="1"/>
              <w:ind w:left="0" w:right="257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0.020</w:t>
            </w:r>
          </w:p>
        </w:tc>
        <w:tc>
          <w:tcPr>
            <w:tcW w:w="1174" w:type="dxa"/>
          </w:tcPr>
          <w:p>
            <w:pPr>
              <w:pStyle w:val="TableParagraph"/>
              <w:spacing w:line="223" w:lineRule="exact" w:before="1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0.025</w:t>
            </w:r>
          </w:p>
        </w:tc>
      </w:tr>
      <w:tr>
        <w:trPr>
          <w:trHeight w:val="244" w:hRule="atLeast"/>
        </w:trPr>
        <w:tc>
          <w:tcPr>
            <w:tcW w:w="1839" w:type="dxa"/>
          </w:tcPr>
          <w:p>
            <w:pPr>
              <w:pStyle w:val="TableParagraph"/>
              <w:spacing w:line="223" w:lineRule="exact" w:before="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position w:val="1"/>
                <w:sz w:val="20"/>
              </w:rPr>
              <w:t>NO</w:t>
            </w:r>
            <w:r>
              <w:rPr>
                <w:rFonts w:ascii="Calibri" w:hAnsi="Calibri"/>
                <w:sz w:val="13"/>
              </w:rPr>
              <w:t>2</w:t>
            </w:r>
            <w:r>
              <w:rPr>
                <w:rFonts w:ascii="Calibri" w:hAnsi="Calibri"/>
                <w:spacing w:val="28"/>
                <w:sz w:val="13"/>
              </w:rPr>
              <w:t> </w:t>
            </w:r>
            <w:r>
              <w:rPr>
                <w:rFonts w:ascii="Calibri" w:hAnsi="Calibri"/>
                <w:position w:val="1"/>
                <w:sz w:val="20"/>
              </w:rPr>
              <w:t>(mg/m³)</w:t>
            </w:r>
          </w:p>
        </w:tc>
        <w:tc>
          <w:tcPr>
            <w:tcW w:w="862" w:type="dxa"/>
          </w:tcPr>
          <w:p>
            <w:pPr>
              <w:pStyle w:val="TableParagraph"/>
              <w:spacing w:line="224" w:lineRule="exact"/>
              <w:ind w:left="158" w:right="150"/>
              <w:jc w:val="center"/>
              <w:rPr>
                <w:sz w:val="20"/>
              </w:rPr>
            </w:pPr>
            <w:r>
              <w:rPr>
                <w:sz w:val="20"/>
              </w:rPr>
              <w:t>0.020</w:t>
            </w:r>
          </w:p>
        </w:tc>
        <w:tc>
          <w:tcPr>
            <w:tcW w:w="987" w:type="dxa"/>
            <w:shd w:val="clear" w:color="auto" w:fill="C5DFB3"/>
          </w:tcPr>
          <w:p>
            <w:pPr>
              <w:pStyle w:val="TableParagraph"/>
              <w:spacing w:line="223" w:lineRule="exact" w:before="1"/>
              <w:ind w:left="0" w:right="257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0.019</w:t>
            </w:r>
          </w:p>
        </w:tc>
        <w:tc>
          <w:tcPr>
            <w:tcW w:w="1174" w:type="dxa"/>
          </w:tcPr>
          <w:p>
            <w:pPr>
              <w:pStyle w:val="TableParagraph"/>
              <w:spacing w:line="223" w:lineRule="exact" w:before="1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0.04</w:t>
            </w:r>
          </w:p>
        </w:tc>
      </w:tr>
      <w:tr>
        <w:trPr>
          <w:trHeight w:val="244" w:hRule="atLeast"/>
        </w:trPr>
        <w:tc>
          <w:tcPr>
            <w:tcW w:w="1839" w:type="dxa"/>
          </w:tcPr>
          <w:p>
            <w:pPr>
              <w:pStyle w:val="TableParagraph"/>
              <w:spacing w:line="223" w:lineRule="exact" w:before="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position w:val="1"/>
                <w:sz w:val="20"/>
              </w:rPr>
              <w:t>SO</w:t>
            </w:r>
            <w:r>
              <w:rPr>
                <w:rFonts w:ascii="Calibri" w:hAnsi="Calibri"/>
                <w:sz w:val="13"/>
              </w:rPr>
              <w:t>2</w:t>
            </w:r>
            <w:r>
              <w:rPr>
                <w:rFonts w:ascii="Calibri" w:hAnsi="Calibri"/>
                <w:spacing w:val="12"/>
                <w:sz w:val="13"/>
              </w:rPr>
              <w:t> </w:t>
            </w:r>
            <w:r>
              <w:rPr>
                <w:rFonts w:ascii="Calibri" w:hAnsi="Calibri"/>
                <w:position w:val="1"/>
                <w:sz w:val="20"/>
              </w:rPr>
              <w:t>(mg/m³)</w:t>
            </w:r>
          </w:p>
        </w:tc>
        <w:tc>
          <w:tcPr>
            <w:tcW w:w="862" w:type="dxa"/>
          </w:tcPr>
          <w:p>
            <w:pPr>
              <w:pStyle w:val="TableParagraph"/>
              <w:spacing w:line="224" w:lineRule="exact"/>
              <w:ind w:left="158" w:right="150"/>
              <w:jc w:val="center"/>
              <w:rPr>
                <w:sz w:val="20"/>
              </w:rPr>
            </w:pPr>
            <w:r>
              <w:rPr>
                <w:sz w:val="20"/>
              </w:rPr>
              <w:t>0.011</w:t>
            </w:r>
          </w:p>
        </w:tc>
        <w:tc>
          <w:tcPr>
            <w:tcW w:w="987" w:type="dxa"/>
            <w:shd w:val="clear" w:color="auto" w:fill="C5DFB3"/>
          </w:tcPr>
          <w:p>
            <w:pPr>
              <w:pStyle w:val="TableParagraph"/>
              <w:spacing w:line="223" w:lineRule="exact" w:before="1"/>
              <w:ind w:left="0" w:right="257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0.010</w:t>
            </w:r>
          </w:p>
        </w:tc>
        <w:tc>
          <w:tcPr>
            <w:tcW w:w="1174" w:type="dxa"/>
          </w:tcPr>
          <w:p>
            <w:pPr>
              <w:pStyle w:val="TableParagraph"/>
              <w:spacing w:line="223" w:lineRule="exact" w:before="1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0.125</w:t>
            </w:r>
          </w:p>
        </w:tc>
      </w:tr>
      <w:tr>
        <w:trPr>
          <w:trHeight w:val="268" w:hRule="atLeast"/>
        </w:trPr>
        <w:tc>
          <w:tcPr>
            <w:tcW w:w="1839" w:type="dxa"/>
          </w:tcPr>
          <w:p>
            <w:pPr>
              <w:pStyle w:val="TableParagraph"/>
              <w:spacing w:before="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position w:val="1"/>
                <w:sz w:val="20"/>
              </w:rPr>
              <w:t>O</w:t>
            </w:r>
            <w:r>
              <w:rPr>
                <w:rFonts w:ascii="Calibri" w:hAnsi="Calibri"/>
                <w:sz w:val="13"/>
              </w:rPr>
              <w:t>3</w:t>
            </w:r>
            <w:r>
              <w:rPr>
                <w:rFonts w:ascii="Calibri" w:hAnsi="Calibri"/>
                <w:spacing w:val="28"/>
                <w:sz w:val="13"/>
              </w:rPr>
              <w:t> </w:t>
            </w:r>
            <w:r>
              <w:rPr>
                <w:rFonts w:ascii="Calibri" w:hAnsi="Calibri"/>
                <w:position w:val="1"/>
                <w:sz w:val="20"/>
              </w:rPr>
              <w:t>(mg/m³)</w:t>
            </w:r>
          </w:p>
        </w:tc>
        <w:tc>
          <w:tcPr>
            <w:tcW w:w="862" w:type="dxa"/>
          </w:tcPr>
          <w:p>
            <w:pPr>
              <w:pStyle w:val="TableParagraph"/>
              <w:spacing w:line="248" w:lineRule="exact"/>
              <w:ind w:left="159" w:right="150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0.027</w:t>
            </w:r>
          </w:p>
        </w:tc>
        <w:tc>
          <w:tcPr>
            <w:tcW w:w="987" w:type="dxa"/>
            <w:shd w:val="clear" w:color="auto" w:fill="C5DFB3"/>
          </w:tcPr>
          <w:p>
            <w:pPr>
              <w:pStyle w:val="TableParagraph"/>
              <w:spacing w:line="248" w:lineRule="exact"/>
              <w:ind w:left="0" w:right="232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0.024</w:t>
            </w:r>
          </w:p>
        </w:tc>
        <w:tc>
          <w:tcPr>
            <w:tcW w:w="1174" w:type="dxa"/>
          </w:tcPr>
          <w:p>
            <w:pPr>
              <w:pStyle w:val="TableParagraph"/>
              <w:spacing w:before="1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0.12</w:t>
            </w:r>
          </w:p>
        </w:tc>
      </w:tr>
      <w:tr>
        <w:trPr>
          <w:trHeight w:val="244" w:hRule="atLeast"/>
        </w:trPr>
        <w:tc>
          <w:tcPr>
            <w:tcW w:w="1839" w:type="dxa"/>
          </w:tcPr>
          <w:p>
            <w:pPr>
              <w:pStyle w:val="TableParagraph"/>
              <w:spacing w:line="223" w:lineRule="exact" w:before="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Zhurma</w:t>
            </w:r>
            <w:r>
              <w:rPr>
                <w:rFonts w:ascii="Calibri"/>
                <w:spacing w:val="-2"/>
                <w:sz w:val="20"/>
              </w:rPr>
              <w:t> </w:t>
            </w:r>
            <w:r>
              <w:rPr>
                <w:rFonts w:ascii="Calibri"/>
                <w:sz w:val="20"/>
              </w:rPr>
              <w:t>dB)</w:t>
            </w:r>
          </w:p>
        </w:tc>
        <w:tc>
          <w:tcPr>
            <w:tcW w:w="862" w:type="dxa"/>
          </w:tcPr>
          <w:p>
            <w:pPr>
              <w:pStyle w:val="TableParagraph"/>
              <w:spacing w:line="224" w:lineRule="exact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987" w:type="dxa"/>
            <w:shd w:val="clear" w:color="auto" w:fill="C5DFB3"/>
          </w:tcPr>
          <w:p>
            <w:pPr>
              <w:pStyle w:val="TableParagraph"/>
              <w:spacing w:line="223" w:lineRule="exact" w:before="1"/>
              <w:ind w:left="0" w:right="307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63.5</w:t>
            </w:r>
          </w:p>
        </w:tc>
        <w:tc>
          <w:tcPr>
            <w:tcW w:w="1174" w:type="dxa"/>
          </w:tcPr>
          <w:p>
            <w:pPr>
              <w:pStyle w:val="TableParagraph"/>
              <w:spacing w:line="223" w:lineRule="exact" w:before="1"/>
              <w:ind w:left="10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70</w:t>
            </w:r>
            <w:r>
              <w:rPr>
                <w:rFonts w:ascii="Calibri"/>
                <w:spacing w:val="-3"/>
                <w:sz w:val="20"/>
              </w:rPr>
              <w:t> </w:t>
            </w:r>
            <w:r>
              <w:rPr>
                <w:rFonts w:ascii="Calibri"/>
                <w:sz w:val="20"/>
              </w:rPr>
              <w:t>(dB)</w:t>
            </w:r>
          </w:p>
        </w:tc>
      </w:tr>
    </w:tbl>
    <w:p>
      <w:pPr>
        <w:pStyle w:val="BodyText"/>
        <w:spacing w:before="10"/>
        <w:rPr>
          <w:b/>
          <w:sz w:val="16"/>
        </w:rPr>
      </w:pPr>
    </w:p>
    <w:p>
      <w:pPr>
        <w:pStyle w:val="BodyText"/>
        <w:spacing w:before="1"/>
        <w:ind w:left="880" w:right="941"/>
        <w:jc w:val="both"/>
      </w:pPr>
      <w:r>
        <w:rPr>
          <w:b/>
          <w:w w:val="115"/>
        </w:rPr>
        <w:t>Përmirësimet /plani i veprimit - </w:t>
      </w:r>
      <w:r>
        <w:rPr>
          <w:w w:val="115"/>
        </w:rPr>
        <w:t>Duke i marrë parasysh vërejtjet e palëve të interesit në lidhje me</w:t>
      </w:r>
      <w:r>
        <w:rPr>
          <w:spacing w:val="1"/>
          <w:w w:val="115"/>
        </w:rPr>
        <w:t> </w:t>
      </w:r>
      <w:r>
        <w:rPr>
          <w:w w:val="115"/>
        </w:rPr>
        <w:t>shqetesimet mjedisore, Sharrcem harton planet e masave</w:t>
      </w:r>
      <w:r>
        <w:rPr>
          <w:spacing w:val="1"/>
          <w:w w:val="115"/>
        </w:rPr>
        <w:t> </w:t>
      </w:r>
      <w:r>
        <w:rPr>
          <w:w w:val="115"/>
        </w:rPr>
        <w:t>për adresimin e këtyre vërejtjeve</w:t>
      </w:r>
      <w:r>
        <w:rPr>
          <w:spacing w:val="1"/>
          <w:w w:val="115"/>
        </w:rPr>
        <w:t> </w:t>
      </w:r>
      <w:r>
        <w:rPr>
          <w:w w:val="115"/>
        </w:rPr>
        <w:t>përmes</w:t>
      </w:r>
      <w:r>
        <w:rPr>
          <w:spacing w:val="-1"/>
          <w:w w:val="115"/>
        </w:rPr>
        <w:t> </w:t>
      </w:r>
      <w:r>
        <w:rPr>
          <w:w w:val="115"/>
        </w:rPr>
        <w:t>programeve</w:t>
      </w:r>
      <w:r>
        <w:rPr>
          <w:spacing w:val="-2"/>
          <w:w w:val="115"/>
        </w:rPr>
        <w:t> </w:t>
      </w:r>
      <w:r>
        <w:rPr>
          <w:w w:val="115"/>
        </w:rPr>
        <w:t>të</w:t>
      </w:r>
      <w:r>
        <w:rPr>
          <w:spacing w:val="-2"/>
          <w:w w:val="115"/>
        </w:rPr>
        <w:t> </w:t>
      </w:r>
      <w:r>
        <w:rPr>
          <w:w w:val="115"/>
        </w:rPr>
        <w:t>përmiresimeve në</w:t>
      </w:r>
      <w:r>
        <w:rPr>
          <w:spacing w:val="-2"/>
          <w:w w:val="115"/>
        </w:rPr>
        <w:t> </w:t>
      </w:r>
      <w:r>
        <w:rPr>
          <w:w w:val="115"/>
        </w:rPr>
        <w:t>mjedis.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91"/>
        <w:ind w:left="88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pgSz w:w="12240" w:h="15840"/>
          <w:pgMar w:top="36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6"/>
        </w:rPr>
      </w:pPr>
    </w:p>
    <w:p>
      <w:pPr>
        <w:spacing w:before="27"/>
        <w:ind w:left="880" w:right="7368" w:firstLine="0"/>
        <w:jc w:val="left"/>
        <w:rPr>
          <w:sz w:val="36"/>
        </w:rPr>
      </w:pPr>
      <w:r>
        <w:rPr/>
        <w:pict>
          <v:shape style="position:absolute;margin-left:517.099976pt;margin-top:-38.271339pt;width:82.15pt;height:69.75pt;mso-position-horizontal-relative:page;mso-position-vertical-relative:paragraph;z-index:15765504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6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001F5F"/>
          <w:w w:val="115"/>
          <w:sz w:val="36"/>
        </w:rPr>
        <w:t>MATJET</w:t>
      </w:r>
      <w:r>
        <w:rPr>
          <w:color w:val="001F5F"/>
          <w:spacing w:val="2"/>
          <w:w w:val="115"/>
          <w:sz w:val="36"/>
        </w:rPr>
        <w:t> </w:t>
      </w:r>
      <w:r>
        <w:rPr>
          <w:color w:val="001F5F"/>
          <w:w w:val="115"/>
          <w:sz w:val="36"/>
        </w:rPr>
        <w:t>E</w:t>
      </w:r>
      <w:r>
        <w:rPr>
          <w:color w:val="001F5F"/>
          <w:spacing w:val="-2"/>
          <w:w w:val="115"/>
          <w:sz w:val="36"/>
        </w:rPr>
        <w:t> </w:t>
      </w:r>
      <w:r>
        <w:rPr>
          <w:color w:val="001F5F"/>
          <w:w w:val="115"/>
          <w:sz w:val="36"/>
        </w:rPr>
        <w:t>QASTIT</w:t>
      </w:r>
      <w:r>
        <w:rPr>
          <w:color w:val="001F5F"/>
          <w:spacing w:val="1"/>
          <w:w w:val="115"/>
          <w:sz w:val="36"/>
        </w:rPr>
        <w:t> </w:t>
      </w:r>
      <w:r>
        <w:rPr>
          <w:color w:val="00AF50"/>
          <w:w w:val="115"/>
          <w:sz w:val="36"/>
        </w:rPr>
        <w:t>FURRA</w:t>
      </w:r>
      <w:r>
        <w:rPr>
          <w:color w:val="00AF50"/>
          <w:spacing w:val="-4"/>
          <w:w w:val="115"/>
          <w:sz w:val="36"/>
        </w:rPr>
        <w:t> </w:t>
      </w:r>
      <w:r>
        <w:rPr>
          <w:color w:val="00AF50"/>
          <w:w w:val="115"/>
          <w:sz w:val="36"/>
        </w:rPr>
        <w:t>DHE</w:t>
      </w:r>
      <w:r>
        <w:rPr>
          <w:color w:val="00AF50"/>
          <w:spacing w:val="-4"/>
          <w:w w:val="115"/>
          <w:sz w:val="36"/>
        </w:rPr>
        <w:t> </w:t>
      </w:r>
      <w:r>
        <w:rPr>
          <w:color w:val="00AF50"/>
          <w:w w:val="115"/>
          <w:sz w:val="36"/>
        </w:rPr>
        <w:t>MULLIRI</w:t>
      </w:r>
      <w:r>
        <w:rPr>
          <w:color w:val="00AF50"/>
          <w:spacing w:val="-6"/>
          <w:w w:val="115"/>
          <w:sz w:val="36"/>
        </w:rPr>
        <w:t> </w:t>
      </w:r>
      <w:r>
        <w:rPr>
          <w:color w:val="00AF50"/>
          <w:w w:val="115"/>
          <w:sz w:val="36"/>
        </w:rPr>
        <w:t>I</w:t>
      </w:r>
      <w:r>
        <w:rPr>
          <w:color w:val="00AF50"/>
          <w:spacing w:val="-90"/>
          <w:w w:val="115"/>
          <w:sz w:val="36"/>
        </w:rPr>
        <w:t> </w:t>
      </w:r>
      <w:r>
        <w:rPr>
          <w:color w:val="00AF50"/>
          <w:w w:val="115"/>
          <w:sz w:val="36"/>
        </w:rPr>
        <w:t>LËNDËS</w:t>
      </w: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top="360" w:bottom="280" w:left="200" w:right="140"/>
        </w:sectPr>
      </w:pPr>
    </w:p>
    <w:p>
      <w:pPr>
        <w:pStyle w:val="BodyText"/>
        <w:spacing w:before="56"/>
        <w:ind w:left="880" w:right="178"/>
      </w:pPr>
      <w:r>
        <w:rPr>
          <w:w w:val="115"/>
        </w:rPr>
        <w:t>Edhe gjatë vitit 2022 matjet e qastit (Spot) në</w:t>
      </w:r>
      <w:r>
        <w:rPr>
          <w:spacing w:val="-55"/>
          <w:w w:val="115"/>
        </w:rPr>
        <w:t> </w:t>
      </w:r>
      <w:r>
        <w:rPr>
          <w:w w:val="115"/>
        </w:rPr>
        <w:t>oxhakun e furrës rrotulluese dhe mullirin e</w:t>
      </w:r>
      <w:r>
        <w:rPr>
          <w:spacing w:val="1"/>
          <w:w w:val="115"/>
        </w:rPr>
        <w:t> </w:t>
      </w:r>
      <w:r>
        <w:rPr>
          <w:w w:val="115"/>
        </w:rPr>
        <w:t>lëndës gjatë dy regjimeve punuese të furres</w:t>
      </w:r>
      <w:r>
        <w:rPr>
          <w:spacing w:val="1"/>
          <w:w w:val="115"/>
        </w:rPr>
        <w:t> </w:t>
      </w:r>
      <w:r>
        <w:rPr>
          <w:w w:val="115"/>
        </w:rPr>
        <w:t>janë kryer p</w:t>
      </w:r>
      <w:r>
        <w:rPr>
          <w:rFonts w:ascii="Segoe UI Symbol" w:hAnsi="Segoe UI Symbol"/>
          <w:w w:val="115"/>
        </w:rPr>
        <w:t>ë</w:t>
      </w:r>
      <w:r>
        <w:rPr>
          <w:w w:val="115"/>
        </w:rPr>
        <w:t>r këto parametra: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880" w:right="75"/>
      </w:pPr>
      <w:r>
        <w:rPr>
          <w:w w:val="115"/>
          <w:position w:val="2"/>
        </w:rPr>
        <w:t>N</w:t>
      </w:r>
      <w:r>
        <w:rPr>
          <w:w w:val="115"/>
          <w:sz w:val="14"/>
        </w:rPr>
        <w:t>2</w:t>
      </w:r>
      <w:r>
        <w:rPr>
          <w:w w:val="115"/>
          <w:position w:val="2"/>
        </w:rPr>
        <w:t>O; POPs </w:t>
      </w:r>
      <w:r>
        <w:rPr>
          <w:i/>
          <w:w w:val="115"/>
          <w:position w:val="2"/>
        </w:rPr>
        <w:t>(Diox. &amp; Furan)</w:t>
      </w:r>
      <w:r>
        <w:rPr>
          <w:w w:val="115"/>
          <w:position w:val="2"/>
        </w:rPr>
        <w:t>; HCl; HF; Hg; (Cd</w:t>
      </w:r>
      <w:r>
        <w:rPr>
          <w:spacing w:val="1"/>
          <w:w w:val="115"/>
          <w:position w:val="2"/>
        </w:rPr>
        <w:t> </w:t>
      </w:r>
      <w:r>
        <w:rPr>
          <w:w w:val="115"/>
        </w:rPr>
        <w:t>and</w:t>
      </w:r>
      <w:r>
        <w:rPr>
          <w:spacing w:val="-3"/>
          <w:w w:val="115"/>
        </w:rPr>
        <w:t> </w:t>
      </w:r>
      <w:r>
        <w:rPr>
          <w:w w:val="115"/>
        </w:rPr>
        <w:t>Tl);</w:t>
      </w:r>
      <w:r>
        <w:rPr>
          <w:spacing w:val="-1"/>
          <w:w w:val="115"/>
        </w:rPr>
        <w:t> </w:t>
      </w:r>
      <w:r>
        <w:rPr>
          <w:w w:val="115"/>
        </w:rPr>
        <w:t>metalet</w:t>
      </w:r>
      <w:r>
        <w:rPr>
          <w:spacing w:val="-3"/>
          <w:w w:val="115"/>
        </w:rPr>
        <w:t> </w:t>
      </w:r>
      <w:r>
        <w:rPr>
          <w:w w:val="115"/>
        </w:rPr>
        <w:t>e</w:t>
      </w:r>
      <w:r>
        <w:rPr>
          <w:spacing w:val="-1"/>
          <w:w w:val="115"/>
        </w:rPr>
        <w:t> </w:t>
      </w:r>
      <w:r>
        <w:rPr>
          <w:w w:val="115"/>
        </w:rPr>
        <w:t>renda</w:t>
      </w:r>
      <w:r>
        <w:rPr>
          <w:spacing w:val="-3"/>
          <w:w w:val="115"/>
        </w:rPr>
        <w:t> </w:t>
      </w:r>
      <w:r>
        <w:rPr>
          <w:w w:val="115"/>
        </w:rPr>
        <w:t>(Sb,</w:t>
      </w:r>
      <w:r>
        <w:rPr>
          <w:spacing w:val="-3"/>
          <w:w w:val="115"/>
        </w:rPr>
        <w:t> </w:t>
      </w:r>
      <w:r>
        <w:rPr>
          <w:w w:val="115"/>
        </w:rPr>
        <w:t>As,</w:t>
      </w:r>
      <w:r>
        <w:rPr>
          <w:spacing w:val="-3"/>
          <w:w w:val="115"/>
        </w:rPr>
        <w:t> </w:t>
      </w:r>
      <w:r>
        <w:rPr>
          <w:w w:val="115"/>
        </w:rPr>
        <w:t>Pb,</w:t>
      </w:r>
      <w:r>
        <w:rPr>
          <w:spacing w:val="-3"/>
          <w:w w:val="115"/>
        </w:rPr>
        <w:t> </w:t>
      </w:r>
      <w:r>
        <w:rPr>
          <w:w w:val="115"/>
        </w:rPr>
        <w:t>Cr,</w:t>
      </w:r>
      <w:r>
        <w:rPr>
          <w:spacing w:val="-2"/>
          <w:w w:val="115"/>
        </w:rPr>
        <w:t> </w:t>
      </w:r>
      <w:r>
        <w:rPr>
          <w:w w:val="115"/>
        </w:rPr>
        <w:t>Co,</w:t>
      </w:r>
      <w:r>
        <w:rPr>
          <w:spacing w:val="-2"/>
          <w:w w:val="115"/>
        </w:rPr>
        <w:t> </w:t>
      </w:r>
      <w:r>
        <w:rPr>
          <w:w w:val="115"/>
        </w:rPr>
        <w:t>Cu,</w:t>
      </w:r>
      <w:r>
        <w:rPr>
          <w:spacing w:val="-54"/>
          <w:w w:val="115"/>
        </w:rPr>
        <w:t> </w:t>
      </w:r>
      <w:r>
        <w:rPr>
          <w:w w:val="115"/>
        </w:rPr>
        <w:t>Mn,</w:t>
      </w:r>
      <w:r>
        <w:rPr>
          <w:spacing w:val="-2"/>
          <w:w w:val="115"/>
        </w:rPr>
        <w:t> </w:t>
      </w:r>
      <w:r>
        <w:rPr>
          <w:w w:val="115"/>
        </w:rPr>
        <w:t>Ni,</w:t>
      </w:r>
      <w:r>
        <w:rPr>
          <w:spacing w:val="-2"/>
          <w:w w:val="115"/>
        </w:rPr>
        <w:t> </w:t>
      </w:r>
      <w:r>
        <w:rPr>
          <w:w w:val="115"/>
        </w:rPr>
        <w:t>V); TOC.</w:t>
      </w:r>
    </w:p>
    <w:p>
      <w:pPr>
        <w:pStyle w:val="BodyText"/>
        <w:spacing w:before="2"/>
      </w:pPr>
    </w:p>
    <w:p>
      <w:pPr>
        <w:pStyle w:val="BodyText"/>
        <w:ind w:left="880" w:right="305"/>
      </w:pPr>
      <w:r>
        <w:rPr>
          <w:w w:val="115"/>
        </w:rPr>
        <w:t>Kalibrimi</w:t>
      </w:r>
      <w:r>
        <w:rPr>
          <w:spacing w:val="-4"/>
          <w:w w:val="115"/>
        </w:rPr>
        <w:t> </w:t>
      </w:r>
      <w:r>
        <w:rPr>
          <w:w w:val="115"/>
        </w:rPr>
        <w:t>i</w:t>
      </w:r>
      <w:r>
        <w:rPr>
          <w:spacing w:val="-3"/>
          <w:w w:val="115"/>
        </w:rPr>
        <w:t> </w:t>
      </w:r>
      <w:r>
        <w:rPr>
          <w:w w:val="115"/>
        </w:rPr>
        <w:t>paisjeve</w:t>
      </w:r>
      <w:r>
        <w:rPr>
          <w:spacing w:val="-2"/>
          <w:w w:val="115"/>
        </w:rPr>
        <w:t> </w:t>
      </w:r>
      <w:r>
        <w:rPr>
          <w:w w:val="115"/>
        </w:rPr>
        <w:t>për</w:t>
      </w:r>
      <w:r>
        <w:rPr>
          <w:spacing w:val="-4"/>
          <w:w w:val="115"/>
        </w:rPr>
        <w:t> </w:t>
      </w:r>
      <w:r>
        <w:rPr>
          <w:w w:val="115"/>
        </w:rPr>
        <w:t>matje</w:t>
      </w:r>
      <w:r>
        <w:rPr>
          <w:spacing w:val="-5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vazhduar</w:t>
      </w:r>
      <w:r>
        <w:rPr>
          <w:spacing w:val="-2"/>
          <w:w w:val="115"/>
        </w:rPr>
        <w:t> </w:t>
      </w:r>
      <w:r>
        <w:rPr>
          <w:w w:val="115"/>
        </w:rPr>
        <w:t>në</w:t>
      </w:r>
      <w:r>
        <w:rPr>
          <w:spacing w:val="-54"/>
          <w:w w:val="115"/>
        </w:rPr>
        <w:t> </w:t>
      </w:r>
      <w:r>
        <w:rPr>
          <w:w w:val="115"/>
        </w:rPr>
        <w:t>furrën rrotulluese, ftohesin e klinkerit dhe</w:t>
      </w:r>
      <w:r>
        <w:rPr>
          <w:spacing w:val="1"/>
          <w:w w:val="115"/>
        </w:rPr>
        <w:t> </w:t>
      </w:r>
      <w:r>
        <w:rPr>
          <w:w w:val="115"/>
        </w:rPr>
        <w:t>mullinjve për bluarje është kryer në bazë të</w:t>
      </w:r>
      <w:r>
        <w:rPr>
          <w:spacing w:val="1"/>
          <w:w w:val="115"/>
        </w:rPr>
        <w:t> </w:t>
      </w:r>
      <w:r>
        <w:rPr>
          <w:w w:val="115"/>
        </w:rPr>
        <w:t>matjeve krahasuese nga kompania e</w:t>
      </w:r>
      <w:r>
        <w:rPr>
          <w:spacing w:val="1"/>
          <w:w w:val="115"/>
        </w:rPr>
        <w:t> </w:t>
      </w:r>
      <w:r>
        <w:rPr>
          <w:w w:val="115"/>
        </w:rPr>
        <w:t>certifukuar;</w:t>
      </w:r>
      <w:r>
        <w:rPr>
          <w:spacing w:val="1"/>
          <w:w w:val="115"/>
        </w:rPr>
        <w:t> </w:t>
      </w:r>
      <w:r>
        <w:rPr>
          <w:w w:val="115"/>
        </w:rPr>
        <w:t>RI-EPM</w:t>
      </w:r>
      <w:r>
        <w:rPr>
          <w:spacing w:val="-1"/>
          <w:w w:val="115"/>
        </w:rPr>
        <w:t> </w:t>
      </w:r>
      <w:r>
        <w:rPr>
          <w:w w:val="115"/>
        </w:rPr>
        <w:t>Shkup.</w:t>
      </w:r>
    </w:p>
    <w:p>
      <w:pPr>
        <w:pStyle w:val="BodyText"/>
        <w:spacing w:line="267" w:lineRule="exact"/>
        <w:ind w:left="880"/>
      </w:pPr>
      <w:r>
        <w:rPr>
          <w:w w:val="115"/>
        </w:rPr>
        <w:t>Vlerat</w:t>
      </w:r>
      <w:r>
        <w:rPr>
          <w:spacing w:val="-4"/>
          <w:w w:val="115"/>
        </w:rPr>
        <w:t> </w:t>
      </w:r>
      <w:r>
        <w:rPr>
          <w:w w:val="115"/>
        </w:rPr>
        <w:t>e</w:t>
      </w:r>
      <w:r>
        <w:rPr>
          <w:spacing w:val="-4"/>
          <w:w w:val="115"/>
        </w:rPr>
        <w:t> </w:t>
      </w:r>
      <w:r>
        <w:rPr>
          <w:w w:val="115"/>
        </w:rPr>
        <w:t>matjeve</w:t>
      </w:r>
      <w:r>
        <w:rPr>
          <w:spacing w:val="-1"/>
          <w:w w:val="115"/>
        </w:rPr>
        <w:t> </w:t>
      </w:r>
      <w:r>
        <w:rPr>
          <w:w w:val="115"/>
        </w:rPr>
        <w:t>janë</w:t>
      </w:r>
      <w:r>
        <w:rPr>
          <w:spacing w:val="-4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presentuara</w:t>
      </w:r>
      <w:r>
        <w:rPr>
          <w:spacing w:val="-2"/>
          <w:w w:val="115"/>
        </w:rPr>
        <w:t> </w:t>
      </w:r>
      <w:r>
        <w:rPr>
          <w:w w:val="115"/>
        </w:rPr>
        <w:t>ne</w:t>
      </w:r>
      <w:r>
        <w:rPr>
          <w:spacing w:val="-2"/>
          <w:w w:val="115"/>
        </w:rPr>
        <w:t> </w:t>
      </w:r>
      <w:r>
        <w:rPr>
          <w:w w:val="115"/>
        </w:rPr>
        <w:t>Tab.</w:t>
      </w:r>
      <w:r>
        <w:rPr>
          <w:spacing w:val="-3"/>
          <w:w w:val="115"/>
        </w:rPr>
        <w:t> </w:t>
      </w:r>
      <w:r>
        <w:rPr>
          <w:w w:val="115"/>
        </w:rPr>
        <w:t>2</w:t>
      </w:r>
    </w:p>
    <w:p>
      <w:pPr>
        <w:pStyle w:val="BodyText"/>
        <w:spacing w:before="1"/>
      </w:pPr>
    </w:p>
    <w:p>
      <w:pPr>
        <w:spacing w:before="0"/>
        <w:ind w:left="880" w:right="0" w:firstLine="0"/>
        <w:jc w:val="left"/>
        <w:rPr>
          <w:b/>
          <w:sz w:val="22"/>
        </w:rPr>
      </w:pPr>
      <w:r>
        <w:rPr/>
        <w:pict>
          <v:shape style="position:absolute;margin-left:19.799999pt;margin-top:28.47366pt;width:280.05pt;height:177.75pt;mso-position-horizontal-relative:page;mso-position-vertical-relative:paragraph;z-index:157660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96"/>
                    <w:gridCol w:w="1080"/>
                    <w:gridCol w:w="1081"/>
                    <w:gridCol w:w="1529"/>
                  </w:tblGrid>
                  <w:tr>
                    <w:trPr>
                      <w:trHeight w:val="280" w:hRule="atLeast"/>
                    </w:trPr>
                    <w:tc>
                      <w:tcPr>
                        <w:tcW w:w="5586" w:type="dxa"/>
                        <w:gridSpan w:val="4"/>
                        <w:shd w:val="clear" w:color="auto" w:fill="92D050"/>
                      </w:tcPr>
                      <w:p>
                        <w:pPr>
                          <w:pStyle w:val="TableParagraph"/>
                          <w:spacing w:before="1"/>
                          <w:ind w:left="259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MATJET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QASTIT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OXHAKU I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FURRES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DHE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MULLIRI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LENDES</w:t>
                        </w:r>
                      </w:p>
                    </w:tc>
                  </w:tr>
                  <w:tr>
                    <w:trPr>
                      <w:trHeight w:val="976" w:hRule="atLeast"/>
                    </w:trPr>
                    <w:tc>
                      <w:tcPr>
                        <w:tcW w:w="1896" w:type="dxa"/>
                        <w:shd w:val="clear" w:color="auto" w:fill="92D050"/>
                      </w:tcPr>
                      <w:p>
                        <w:pPr>
                          <w:pStyle w:val="TableParagraph"/>
                          <w:ind w:left="0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080" w:type="dxa"/>
                        <w:shd w:val="clear" w:color="auto" w:fill="C5DFB3"/>
                      </w:tcPr>
                      <w:p>
                        <w:pPr>
                          <w:pStyle w:val="TableParagraph"/>
                          <w:spacing w:line="243" w:lineRule="exact" w:before="1"/>
                          <w:ind w:left="134" w:right="134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2021</w:t>
                        </w:r>
                      </w:p>
                      <w:p>
                        <w:pPr>
                          <w:pStyle w:val="TableParagraph"/>
                          <w:spacing w:line="243" w:lineRule="exact"/>
                          <w:ind w:left="137" w:right="134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@10%O2</w:t>
                        </w:r>
                      </w:p>
                      <w:p>
                        <w:pPr>
                          <w:pStyle w:val="TableParagraph"/>
                          <w:spacing w:line="240" w:lineRule="atLeast"/>
                          <w:ind w:left="194" w:right="188" w:hanging="3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dry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mg/Nm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</w:p>
                    </w:tc>
                    <w:tc>
                      <w:tcPr>
                        <w:tcW w:w="1081" w:type="dxa"/>
                        <w:shd w:val="clear" w:color="auto" w:fill="C5DFB3"/>
                      </w:tcPr>
                      <w:p>
                        <w:pPr>
                          <w:pStyle w:val="TableParagraph"/>
                          <w:spacing w:line="243" w:lineRule="exact" w:before="1"/>
                          <w:ind w:left="135" w:right="135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2022</w:t>
                        </w:r>
                      </w:p>
                      <w:p>
                        <w:pPr>
                          <w:pStyle w:val="TableParagraph"/>
                          <w:spacing w:line="243" w:lineRule="exact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@10%O2</w:t>
                        </w:r>
                      </w:p>
                      <w:p>
                        <w:pPr>
                          <w:pStyle w:val="TableParagraph"/>
                          <w:spacing w:line="240" w:lineRule="atLeast"/>
                          <w:ind w:left="189" w:right="193" w:firstLine="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dry</w:t>
                        </w:r>
                        <w:r>
                          <w:rPr>
                            <w:rFonts w:ascii="Calibri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mg/Nm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</w:p>
                    </w:tc>
                    <w:tc>
                      <w:tcPr>
                        <w:tcW w:w="1529" w:type="dxa"/>
                        <w:shd w:val="clear" w:color="auto" w:fill="C5DFB3"/>
                      </w:tcPr>
                      <w:p>
                        <w:pPr>
                          <w:pStyle w:val="TableParagraph"/>
                          <w:spacing w:line="243" w:lineRule="exact" w:before="1"/>
                          <w:ind w:left="225" w:right="222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IPPC</w:t>
                        </w:r>
                        <w:r>
                          <w:rPr>
                            <w:rFonts w:ascii="Calibri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ELV</w:t>
                        </w:r>
                      </w:p>
                      <w:p>
                        <w:pPr>
                          <w:pStyle w:val="TableParagraph"/>
                          <w:ind w:left="273" w:right="222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@10%O2dry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mg/Nm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4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N</w:t>
                        </w:r>
                        <w:r>
                          <w:rPr>
                            <w:rFonts w:ascii="Calibri"/>
                            <w:sz w:val="13"/>
                          </w:rPr>
                          <w:t>2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O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137" w:right="1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5.4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ind w:left="647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Na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HF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137" w:right="1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1.0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1.0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ind w:left="63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1.0</w:t>
                        </w: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line="222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HCl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line="222" w:lineRule="exact"/>
                          <w:ind w:left="137" w:right="1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4.1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line="222" w:lineRule="exact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line="222" w:lineRule="exact"/>
                          <w:ind w:left="659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489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PCDD+PCDF</w:t>
                        </w:r>
                      </w:p>
                      <w:p>
                        <w:pPr>
                          <w:pStyle w:val="TableParagraph"/>
                          <w:spacing w:line="223" w:lineRule="exact" w:before="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(ng/Nm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Calibri"/>
                            <w:sz w:val="20"/>
                            <w:vertAlign w:val="baseline"/>
                          </w:rPr>
                          <w:t>)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ind w:left="137" w:right="13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0.0012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before="1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0.0011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before="1"/>
                          <w:ind w:left="63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0.2</w:t>
                        </w:r>
                      </w:p>
                    </w:tc>
                  </w:tr>
                  <w:tr>
                    <w:trPr>
                      <w:trHeight w:val="489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line="240" w:lineRule="atLeast"/>
                          <w:ind w:right="22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Total</w:t>
                        </w:r>
                        <w:r>
                          <w:rPr>
                            <w:rFonts w:ascii="Calibri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Heavy</w:t>
                        </w:r>
                        <w:r>
                          <w:rPr>
                            <w:rFonts w:ascii="Calibri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metals</w:t>
                        </w:r>
                        <w:r>
                          <w:rPr>
                            <w:rFonts w:ascii="Calibri"/>
                            <w:spacing w:val="-4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(mg/Nm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Calibri"/>
                            <w:sz w:val="20"/>
                            <w:vertAlign w:val="baseline"/>
                          </w:rPr>
                          <w:t>)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ind w:left="137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0.362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before="1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0.41090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before="1"/>
                          <w:ind w:left="63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0.6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Cd+Tl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(</w:t>
                        </w: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mg/Nm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Calibri"/>
                            <w:sz w:val="20"/>
                            <w:vertAlign w:val="baseline"/>
                          </w:rPr>
                          <w:t>)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137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0.0011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0.00106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line="223" w:lineRule="exact" w:before="1"/>
                          <w:ind w:left="58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0.06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1896" w:type="dxa"/>
                      </w:tcPr>
                      <w:p>
                        <w:pPr>
                          <w:pStyle w:val="TableParagraph"/>
                          <w:spacing w:line="224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Hg</w:t>
                        </w:r>
                        <w:r>
                          <w:rPr>
                            <w:rFonts w:ascii="Calibri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(mg/Nm</w:t>
                        </w:r>
                        <w:r>
                          <w:rPr>
                            <w:rFonts w:ascii="Calibri"/>
                            <w:sz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Calibri"/>
                            <w:sz w:val="20"/>
                            <w:vertAlign w:val="baseline"/>
                          </w:rPr>
                          <w:t>)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137" w:right="13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0.000378</w:t>
                        </w:r>
                      </w:p>
                    </w:tc>
                    <w:tc>
                      <w:tcPr>
                        <w:tcW w:w="1081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137" w:right="135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0.00038</w:t>
                        </w:r>
                      </w:p>
                    </w:tc>
                    <w:tc>
                      <w:tcPr>
                        <w:tcW w:w="1529" w:type="dxa"/>
                      </w:tcPr>
                      <w:p>
                        <w:pPr>
                          <w:pStyle w:val="TableParagraph"/>
                          <w:spacing w:line="224" w:lineRule="exact"/>
                          <w:ind w:left="58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0.06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2"/>
        </w:rPr>
        <w:t>Tabela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:2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29"/>
        </w:rPr>
      </w:pPr>
    </w:p>
    <w:p>
      <w:pPr>
        <w:spacing w:line="391" w:lineRule="exact" w:before="0"/>
        <w:ind w:left="961" w:right="0" w:firstLine="0"/>
        <w:jc w:val="left"/>
        <w:rPr>
          <w:sz w:val="32"/>
        </w:rPr>
      </w:pPr>
      <w:r>
        <w:rPr>
          <w:color w:val="1F4E79"/>
          <w:w w:val="115"/>
          <w:sz w:val="32"/>
        </w:rPr>
        <w:t>MENAXHIMI</w:t>
      </w:r>
      <w:r>
        <w:rPr>
          <w:color w:val="1F4E79"/>
          <w:spacing w:val="-3"/>
          <w:w w:val="115"/>
          <w:sz w:val="32"/>
        </w:rPr>
        <w:t> </w:t>
      </w:r>
      <w:r>
        <w:rPr>
          <w:color w:val="1F4E79"/>
          <w:w w:val="115"/>
          <w:sz w:val="32"/>
        </w:rPr>
        <w:t>I UJRAVE</w:t>
      </w:r>
    </w:p>
    <w:p>
      <w:pPr>
        <w:pStyle w:val="BodyText"/>
        <w:tabs>
          <w:tab w:pos="1196" w:val="left" w:leader="none"/>
          <w:tab w:pos="2486" w:val="left" w:leader="none"/>
          <w:tab w:pos="2953" w:val="left" w:leader="none"/>
          <w:tab w:pos="4437" w:val="left" w:leader="none"/>
          <w:tab w:pos="4907" w:val="left" w:leader="none"/>
          <w:tab w:pos="5502" w:val="left" w:leader="none"/>
        </w:tabs>
        <w:ind w:left="880"/>
      </w:pPr>
      <w:r>
        <w:rPr>
          <w:w w:val="115"/>
        </w:rPr>
        <w:t>Investimet</w:t>
      </w:r>
      <w:r>
        <w:rPr>
          <w:spacing w:val="28"/>
          <w:w w:val="115"/>
        </w:rPr>
        <w:t> </w:t>
      </w:r>
      <w:r>
        <w:rPr>
          <w:w w:val="115"/>
        </w:rPr>
        <w:t>e</w:t>
      </w:r>
      <w:r>
        <w:rPr>
          <w:spacing w:val="30"/>
          <w:w w:val="115"/>
        </w:rPr>
        <w:t> </w:t>
      </w:r>
      <w:r>
        <w:rPr>
          <w:w w:val="115"/>
        </w:rPr>
        <w:t>menaxhimit</w:t>
      </w:r>
      <w:r>
        <w:rPr>
          <w:spacing w:val="28"/>
          <w:w w:val="115"/>
        </w:rPr>
        <w:t> </w:t>
      </w:r>
      <w:r>
        <w:rPr>
          <w:w w:val="115"/>
        </w:rPr>
        <w:t>të</w:t>
      </w:r>
      <w:r>
        <w:rPr>
          <w:spacing w:val="30"/>
          <w:w w:val="115"/>
        </w:rPr>
        <w:t> </w:t>
      </w:r>
      <w:r>
        <w:rPr>
          <w:w w:val="115"/>
        </w:rPr>
        <w:t>ujit</w:t>
      </w:r>
      <w:r>
        <w:rPr>
          <w:spacing w:val="30"/>
          <w:w w:val="115"/>
        </w:rPr>
        <w:t> </w:t>
      </w:r>
      <w:r>
        <w:rPr>
          <w:w w:val="115"/>
        </w:rPr>
        <w:t>në</w:t>
      </w:r>
      <w:r>
        <w:rPr>
          <w:spacing w:val="30"/>
          <w:w w:val="115"/>
        </w:rPr>
        <w:t> </w:t>
      </w:r>
      <w:r>
        <w:rPr>
          <w:w w:val="115"/>
        </w:rPr>
        <w:t>sistemin</w:t>
      </w:r>
      <w:r>
        <w:rPr>
          <w:spacing w:val="26"/>
          <w:w w:val="115"/>
        </w:rPr>
        <w:t> </w:t>
      </w:r>
      <w:r>
        <w:rPr>
          <w:w w:val="115"/>
        </w:rPr>
        <w:t>e</w:t>
      </w:r>
      <w:r>
        <w:rPr>
          <w:spacing w:val="-54"/>
          <w:w w:val="115"/>
        </w:rPr>
        <w:t> </w:t>
      </w:r>
      <w:r>
        <w:rPr>
          <w:w w:val="115"/>
        </w:rPr>
        <w:t>riciklimit</w:t>
      </w:r>
      <w:r>
        <w:rPr>
          <w:spacing w:val="2"/>
          <w:w w:val="115"/>
        </w:rPr>
        <w:t> </w:t>
      </w:r>
      <w:r>
        <w:rPr>
          <w:w w:val="115"/>
        </w:rPr>
        <w:t>të</w:t>
      </w:r>
      <w:r>
        <w:rPr>
          <w:spacing w:val="4"/>
          <w:w w:val="115"/>
        </w:rPr>
        <w:t> </w:t>
      </w:r>
      <w:r>
        <w:rPr>
          <w:w w:val="115"/>
        </w:rPr>
        <w:t>ujit</w:t>
      </w:r>
      <w:r>
        <w:rPr>
          <w:spacing w:val="4"/>
          <w:w w:val="115"/>
        </w:rPr>
        <w:t> </w:t>
      </w:r>
      <w:r>
        <w:rPr>
          <w:w w:val="115"/>
        </w:rPr>
        <w:t>dhe</w:t>
      </w:r>
      <w:r>
        <w:rPr>
          <w:spacing w:val="4"/>
          <w:w w:val="115"/>
        </w:rPr>
        <w:t> </w:t>
      </w:r>
      <w:r>
        <w:rPr>
          <w:w w:val="115"/>
        </w:rPr>
        <w:t>përmirësimin</w:t>
      </w:r>
      <w:r>
        <w:rPr>
          <w:spacing w:val="2"/>
          <w:w w:val="115"/>
        </w:rPr>
        <w:t> </w:t>
      </w:r>
      <w:r>
        <w:rPr>
          <w:w w:val="115"/>
        </w:rPr>
        <w:t>e</w:t>
      </w:r>
      <w:r>
        <w:rPr>
          <w:spacing w:val="4"/>
          <w:w w:val="115"/>
        </w:rPr>
        <w:t> </w:t>
      </w:r>
      <w:r>
        <w:rPr>
          <w:w w:val="115"/>
        </w:rPr>
        <w:t>rrjeteve</w:t>
      </w:r>
      <w:r>
        <w:rPr>
          <w:spacing w:val="-55"/>
          <w:w w:val="115"/>
        </w:rPr>
        <w:t> </w:t>
      </w:r>
      <w:r>
        <w:rPr>
          <w:w w:val="115"/>
        </w:rPr>
        <w:t>ekzistuese</w:t>
      </w:r>
      <w:r>
        <w:rPr>
          <w:spacing w:val="20"/>
          <w:w w:val="115"/>
        </w:rPr>
        <w:t> </w:t>
      </w:r>
      <w:r>
        <w:rPr>
          <w:w w:val="115"/>
        </w:rPr>
        <w:t>të</w:t>
      </w:r>
      <w:r>
        <w:rPr>
          <w:spacing w:val="21"/>
          <w:w w:val="115"/>
        </w:rPr>
        <w:t> </w:t>
      </w:r>
      <w:r>
        <w:rPr>
          <w:w w:val="115"/>
        </w:rPr>
        <w:t>ujit</w:t>
      </w:r>
      <w:r>
        <w:rPr>
          <w:spacing w:val="24"/>
          <w:w w:val="115"/>
        </w:rPr>
        <w:t> </w:t>
      </w:r>
      <w:r>
        <w:rPr>
          <w:w w:val="115"/>
        </w:rPr>
        <w:t>kanë</w:t>
      </w:r>
      <w:r>
        <w:rPr>
          <w:spacing w:val="20"/>
          <w:w w:val="115"/>
        </w:rPr>
        <w:t> </w:t>
      </w:r>
      <w:r>
        <w:rPr>
          <w:w w:val="115"/>
        </w:rPr>
        <w:t>çuar</w:t>
      </w:r>
      <w:r>
        <w:rPr>
          <w:spacing w:val="23"/>
          <w:w w:val="115"/>
        </w:rPr>
        <w:t> </w:t>
      </w:r>
      <w:r>
        <w:rPr>
          <w:w w:val="115"/>
        </w:rPr>
        <w:t>në</w:t>
      </w:r>
      <w:r>
        <w:rPr>
          <w:spacing w:val="24"/>
          <w:w w:val="115"/>
        </w:rPr>
        <w:t> </w:t>
      </w:r>
      <w:r>
        <w:rPr>
          <w:w w:val="115"/>
        </w:rPr>
        <w:t>përdorimin</w:t>
      </w:r>
      <w:r>
        <w:rPr>
          <w:spacing w:val="19"/>
          <w:w w:val="115"/>
        </w:rPr>
        <w:t> </w:t>
      </w:r>
      <w:r>
        <w:rPr>
          <w:w w:val="115"/>
        </w:rPr>
        <w:t>më</w:t>
      </w:r>
      <w:r>
        <w:rPr>
          <w:spacing w:val="-55"/>
          <w:w w:val="115"/>
        </w:rPr>
        <w:t> </w:t>
      </w:r>
      <w:r>
        <w:rPr>
          <w:w w:val="115"/>
        </w:rPr>
        <w:t>efikas</w:t>
      </w:r>
      <w:r>
        <w:rPr>
          <w:spacing w:val="-13"/>
          <w:w w:val="115"/>
        </w:rPr>
        <w:t> </w:t>
      </w:r>
      <w:r>
        <w:rPr>
          <w:w w:val="115"/>
        </w:rPr>
        <w:t>të</w:t>
      </w:r>
      <w:r>
        <w:rPr>
          <w:spacing w:val="-13"/>
          <w:w w:val="115"/>
        </w:rPr>
        <w:t> </w:t>
      </w:r>
      <w:r>
        <w:rPr>
          <w:w w:val="115"/>
        </w:rPr>
        <w:t>ujit,</w:t>
      </w:r>
      <w:r>
        <w:rPr>
          <w:spacing w:val="-13"/>
          <w:w w:val="115"/>
        </w:rPr>
        <w:t> </w:t>
      </w:r>
      <w:r>
        <w:rPr>
          <w:w w:val="115"/>
        </w:rPr>
        <w:t>ndërsa</w:t>
      </w:r>
      <w:r>
        <w:rPr>
          <w:spacing w:val="-13"/>
          <w:w w:val="115"/>
        </w:rPr>
        <w:t> </w:t>
      </w:r>
      <w:r>
        <w:rPr>
          <w:w w:val="115"/>
        </w:rPr>
        <w:t>zhvillimi</w:t>
      </w:r>
      <w:r>
        <w:rPr>
          <w:spacing w:val="-13"/>
          <w:w w:val="115"/>
        </w:rPr>
        <w:t> </w:t>
      </w:r>
      <w:r>
        <w:rPr>
          <w:w w:val="115"/>
        </w:rPr>
        <w:t>dhe</w:t>
      </w:r>
      <w:r>
        <w:rPr>
          <w:spacing w:val="-12"/>
          <w:w w:val="115"/>
        </w:rPr>
        <w:t> </w:t>
      </w:r>
      <w:r>
        <w:rPr>
          <w:w w:val="115"/>
        </w:rPr>
        <w:t>implementimi</w:t>
      </w:r>
      <w:r>
        <w:rPr>
          <w:spacing w:val="-54"/>
          <w:w w:val="115"/>
        </w:rPr>
        <w:t> </w:t>
      </w:r>
      <w:r>
        <w:rPr>
          <w:w w:val="115"/>
        </w:rPr>
        <w:t>i</w:t>
        <w:tab/>
        <w:t>sistemeve</w:t>
        <w:tab/>
        <w:t>të</w:t>
        <w:tab/>
        <w:t>menaxhimit</w:t>
        <w:tab/>
        <w:t>të</w:t>
        <w:tab/>
        <w:t>ujit</w:t>
        <w:tab/>
      </w:r>
      <w:r>
        <w:rPr>
          <w:spacing w:val="-2"/>
          <w:w w:val="115"/>
        </w:rPr>
        <w:t>ka</w:t>
      </w:r>
      <w:r>
        <w:rPr>
          <w:spacing w:val="-55"/>
          <w:w w:val="115"/>
        </w:rPr>
        <w:t> </w:t>
      </w:r>
      <w:r>
        <w:rPr>
          <w:w w:val="115"/>
        </w:rPr>
        <w:t>përmirësuar monitorimin e përgjithshëm dhe</w:t>
      </w:r>
      <w:r>
        <w:rPr>
          <w:spacing w:val="1"/>
          <w:w w:val="115"/>
        </w:rPr>
        <w:t> </w:t>
      </w:r>
      <w:r>
        <w:rPr>
          <w:w w:val="115"/>
        </w:rPr>
        <w:t>mundeson</w:t>
      </w:r>
      <w:r>
        <w:rPr>
          <w:spacing w:val="9"/>
          <w:w w:val="115"/>
        </w:rPr>
        <w:t> </w:t>
      </w:r>
      <w:r>
        <w:rPr>
          <w:w w:val="115"/>
        </w:rPr>
        <w:t>raportimin</w:t>
      </w:r>
      <w:r>
        <w:rPr>
          <w:spacing w:val="6"/>
          <w:w w:val="115"/>
        </w:rPr>
        <w:t> </w:t>
      </w:r>
      <w:r>
        <w:rPr>
          <w:w w:val="115"/>
        </w:rPr>
        <w:t>mbi</w:t>
      </w:r>
      <w:r>
        <w:rPr>
          <w:spacing w:val="9"/>
          <w:w w:val="115"/>
        </w:rPr>
        <w:t> </w:t>
      </w:r>
      <w:r>
        <w:rPr>
          <w:w w:val="115"/>
        </w:rPr>
        <w:t>përdorimin</w:t>
      </w:r>
      <w:r>
        <w:rPr>
          <w:spacing w:val="8"/>
          <w:w w:val="115"/>
        </w:rPr>
        <w:t> </w:t>
      </w:r>
      <w:r>
        <w:rPr>
          <w:w w:val="115"/>
        </w:rPr>
        <w:t>dhe</w:t>
      </w:r>
      <w:r>
        <w:rPr>
          <w:spacing w:val="-55"/>
          <w:w w:val="115"/>
        </w:rPr>
        <w:t> </w:t>
      </w:r>
      <w:r>
        <w:rPr>
          <w:w w:val="115"/>
        </w:rPr>
        <w:t>shfrytezimin</w:t>
      </w:r>
      <w:r>
        <w:rPr>
          <w:spacing w:val="-3"/>
          <w:w w:val="115"/>
        </w:rPr>
        <w:t> </w:t>
      </w:r>
      <w:r>
        <w:rPr>
          <w:w w:val="115"/>
        </w:rPr>
        <w:t>e</w:t>
      </w:r>
      <w:r>
        <w:rPr>
          <w:spacing w:val="-1"/>
          <w:w w:val="115"/>
        </w:rPr>
        <w:t> </w:t>
      </w:r>
      <w:r>
        <w:rPr>
          <w:w w:val="115"/>
        </w:rPr>
        <w:t>ujit</w:t>
      </w:r>
      <w:r>
        <w:rPr>
          <w:spacing w:val="-1"/>
          <w:w w:val="115"/>
        </w:rPr>
        <w:t> </w:t>
      </w:r>
      <w:r>
        <w:rPr>
          <w:w w:val="115"/>
        </w:rPr>
        <w:t>ne</w:t>
      </w:r>
      <w:r>
        <w:rPr>
          <w:spacing w:val="-1"/>
          <w:w w:val="115"/>
        </w:rPr>
        <w:t> </w:t>
      </w:r>
      <w:r>
        <w:rPr>
          <w:w w:val="115"/>
        </w:rPr>
        <w:t>baza</w:t>
      </w:r>
      <w:r>
        <w:rPr>
          <w:spacing w:val="-3"/>
          <w:w w:val="115"/>
        </w:rPr>
        <w:t> </w:t>
      </w:r>
      <w:r>
        <w:rPr>
          <w:w w:val="115"/>
        </w:rPr>
        <w:t>të</w:t>
      </w:r>
      <w:r>
        <w:rPr>
          <w:spacing w:val="-1"/>
          <w:w w:val="115"/>
        </w:rPr>
        <w:t> </w:t>
      </w:r>
      <w:r>
        <w:rPr>
          <w:w w:val="115"/>
        </w:rPr>
        <w:t>qëndrueshme.</w:t>
      </w:r>
    </w:p>
    <w:p>
      <w:pPr>
        <w:spacing w:before="89"/>
        <w:ind w:left="320" w:right="903" w:firstLine="0"/>
        <w:jc w:val="left"/>
        <w:rPr>
          <w:i/>
          <w:sz w:val="18"/>
        </w:rPr>
      </w:pPr>
      <w:r>
        <w:rPr/>
        <w:br w:type="column"/>
      </w:r>
      <w:r>
        <w:rPr>
          <w:i/>
          <w:color w:val="44536A"/>
          <w:sz w:val="18"/>
        </w:rPr>
        <w:t>Figure 4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Shfrytezimi i pergjithshem i ujrave për prodhim ëe</w:t>
      </w:r>
      <w:r>
        <w:rPr>
          <w:i/>
          <w:color w:val="44536A"/>
          <w:spacing w:val="-38"/>
          <w:sz w:val="18"/>
        </w:rPr>
        <w:t> </w:t>
      </w:r>
      <w:r>
        <w:rPr>
          <w:i/>
          <w:color w:val="44536A"/>
          <w:sz w:val="18"/>
        </w:rPr>
        <w:t>çimentos</w:t>
      </w:r>
    </w:p>
    <w:p>
      <w:pPr>
        <w:pStyle w:val="BodyText"/>
        <w:spacing w:before="6"/>
        <w:rPr>
          <w:i/>
          <w:sz w:val="11"/>
        </w:rPr>
      </w:pPr>
      <w:r>
        <w:rPr/>
        <w:pict>
          <v:group style="position:absolute;margin-left:314pt;margin-top:8.996621pt;width:249.5pt;height:114.5pt;mso-position-horizontal-relative:page;mso-position-vertical-relative:paragraph;z-index:-15693312;mso-wrap-distance-left:0;mso-wrap-distance-right:0" coordorigin="6280,180" coordsize="4990,2290">
            <v:shape style="position:absolute;left:7232;top:1041;width:3732;height:349" coordorigin="7232,1042" coordsize="3732,349" path="m7232,1391l10964,1391m7232,1042l10964,1042e" filled="false" stroked="true" strokeweight=".75pt" strokecolor="#d9d9d9">
              <v:path arrowok="t"/>
              <v:stroke dashstyle="solid"/>
            </v:shape>
            <v:shape style="position:absolute;left:7854;top:1117;width:2488;height:478" coordorigin="7854,1118" coordsize="2488,478" path="m7854,1527l9098,1596,10342,1118e" filled="false" stroked="true" strokeweight="2.25pt" strokecolor="#4f81bc">
              <v:path arrowok="t"/>
              <v:stroke dashstyle="solid"/>
            </v:shape>
            <v:line style="position:absolute" from="7232,2086" to="10964,2086" stroked="true" strokeweight=".75pt" strokecolor="#d9d9d9">
              <v:stroke dashstyle="solid"/>
            </v:line>
            <v:rect style="position:absolute;left:6300;top:199;width:4950;height:2250" filled="false" stroked="true" strokeweight="2pt" strokecolor="#5b9bd4">
              <v:stroke dashstyle="solid"/>
            </v:rect>
            <v:shape style="position:absolute;left:7160;top:586;width:3212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"/>
                        <w:sz w:val="28"/>
                      </w:rPr>
                      <w:t>Harxhimi</w:t>
                    </w:r>
                    <w:r>
                      <w:rPr>
                        <w:spacing w:val="-13"/>
                        <w:sz w:val="28"/>
                      </w:rPr>
                      <w:t> </w:t>
                    </w:r>
                    <w:r>
                      <w:rPr>
                        <w:spacing w:val="-1"/>
                        <w:sz w:val="28"/>
                      </w:rPr>
                      <w:t>total</w:t>
                    </w:r>
                    <w:r>
                      <w:rPr>
                        <w:spacing w:val="-13"/>
                        <w:sz w:val="28"/>
                      </w:rPr>
                      <w:t> </w:t>
                    </w:r>
                    <w:r>
                      <w:rPr>
                        <w:spacing w:val="-1"/>
                        <w:sz w:val="28"/>
                      </w:rPr>
                      <w:t>i</w:t>
                    </w:r>
                    <w:r>
                      <w:rPr>
                        <w:spacing w:val="-9"/>
                        <w:sz w:val="28"/>
                      </w:rPr>
                      <w:t> </w:t>
                    </w:r>
                    <w:r>
                      <w:rPr>
                        <w:spacing w:val="-1"/>
                        <w:sz w:val="28"/>
                      </w:rPr>
                      <w:t>ujrave[m³/y]</w:t>
                    </w:r>
                  </w:p>
                </w:txbxContent>
              </v:textbox>
              <w10:wrap type="none"/>
            </v:shape>
            <v:shape style="position:absolute;left:6474;top:957;width:61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150,000</w:t>
                    </w:r>
                  </w:p>
                </w:txbxContent>
              </v:textbox>
              <w10:wrap type="none"/>
            </v:shape>
            <v:shape style="position:absolute;left:10052;top:1163;width:615;height:181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139,061</w:t>
                    </w:r>
                  </w:p>
                </w:txbxContent>
              </v:textbox>
              <w10:wrap type="none"/>
            </v:shape>
            <v:shape style="position:absolute;left:6474;top:1305;width:61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100,000</w:t>
                    </w:r>
                  </w:p>
                </w:txbxContent>
              </v:textbox>
              <w10:wrap type="none"/>
            </v:shape>
            <v:shape style="position:absolute;left:6566;top:1654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50,000</w:t>
                    </w:r>
                  </w:p>
                </w:txbxContent>
              </v:textbox>
              <w10:wrap type="none"/>
            </v:shape>
            <v:shape style="position:absolute;left:7232;top:1614;width:2048;height:268" type="#_x0000_t202" filled="false" stroked="false">
              <v:textbox inset="0,0,0,0">
                <w:txbxContent>
                  <w:p>
                    <w:pPr>
                      <w:tabs>
                        <w:tab w:pos="281" w:val="left" w:leader="none"/>
                        <w:tab w:pos="1526" w:val="left" w:leader="none"/>
                      </w:tabs>
                      <w:spacing w:line="187" w:lineRule="auto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  <w:u w:val="single" w:color="D9D9D9"/>
                      </w:rPr>
                      <w:t> </w:t>
                      <w:tab/>
                    </w:r>
                    <w:r>
                      <w:rPr>
                        <w:sz w:val="18"/>
                        <w:u w:val="single" w:color="D9D9D9"/>
                      </w:rPr>
                      <w:t>80,112</w:t>
                      <w:tab/>
                    </w:r>
                    <w:r>
                      <w:rPr>
                        <w:position w:val="-8"/>
                        <w:sz w:val="18"/>
                      </w:rPr>
                      <w:t>70,415</w:t>
                    </w:r>
                  </w:p>
                </w:txbxContent>
              </v:textbox>
              <w10:wrap type="none"/>
            </v:shape>
            <v:shape style="position:absolute;left:6975;top:2002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673;top:223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8918;top:223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10162;top:223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spacing w:before="155"/>
        <w:ind w:left="320" w:right="903" w:firstLine="0"/>
        <w:jc w:val="left"/>
        <w:rPr>
          <w:i/>
          <w:sz w:val="18"/>
        </w:rPr>
      </w:pPr>
      <w:r>
        <w:rPr>
          <w:i/>
          <w:color w:val="44536A"/>
          <w:sz w:val="18"/>
        </w:rPr>
        <w:t>Figure 5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Shpenzimi specifik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i ujit për prodhimin e çimentos</w:t>
      </w:r>
      <w:r>
        <w:rPr>
          <w:i/>
          <w:color w:val="44536A"/>
          <w:spacing w:val="-38"/>
          <w:sz w:val="18"/>
        </w:rPr>
        <w:t> </w:t>
      </w:r>
      <w:r>
        <w:rPr>
          <w:i/>
          <w:color w:val="44536A"/>
          <w:sz w:val="18"/>
        </w:rPr>
        <w:t>[l/tcementitious]</w:t>
      </w:r>
    </w:p>
    <w:p>
      <w:pPr>
        <w:pStyle w:val="BodyText"/>
        <w:spacing w:before="5"/>
        <w:rPr>
          <w:i/>
          <w:sz w:val="12"/>
        </w:rPr>
      </w:pPr>
      <w:r>
        <w:rPr/>
        <w:pict>
          <v:group style="position:absolute;margin-left:314.625pt;margin-top:9.563359pt;width:266.25pt;height:109.45pt;mso-position-horizontal-relative:page;mso-position-vertical-relative:paragraph;z-index:-15692800;mso-wrap-distance-left:0;mso-wrap-distance-right:0" coordorigin="6293,191" coordsize="5325,2189">
            <v:line style="position:absolute" from="7245,1411" to="11340,1411" stroked="true" strokeweight=".75pt" strokecolor="#d9d9d9">
              <v:stroke dashstyle="solid"/>
            </v:line>
            <v:shape style="position:absolute;left:7927;top:1308;width:2730;height:295" coordorigin="7928,1309" coordsize="2730,295" path="m7928,1560l9293,1604,10658,1309e" filled="false" stroked="true" strokeweight="2.25pt" strokecolor="#4f81bc">
              <v:path arrowok="t"/>
              <v:stroke dashstyle="solid"/>
            </v:shape>
            <v:shape style="position:absolute;left:7869;top:1501;width:116;height:116" type="#_x0000_t75" stroked="false">
              <v:imagedata r:id="rId150" o:title=""/>
            </v:shape>
            <v:shape style="position:absolute;left:9234;top:1544;width:116;height:116" type="#_x0000_t75" stroked="false">
              <v:imagedata r:id="rId135" o:title=""/>
            </v:shape>
            <v:shape style="position:absolute;left:10600;top:1249;width:116;height:116" type="#_x0000_t75" stroked="false">
              <v:imagedata r:id="rId150" o:title=""/>
            </v:shape>
            <v:rect style="position:absolute;left:6300;top:198;width:5310;height:2174" filled="false" stroked="true" strokeweight=".75pt" strokecolor="#17375e">
              <v:stroke dashstyle="solid"/>
            </v:rect>
            <v:shape style="position:absolute;left:7074;top:337;width:3917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Shpenzimi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specifik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i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ujit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për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prodhimin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6806;top:790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400</w:t>
                    </w:r>
                  </w:p>
                </w:txbxContent>
              </v:textbox>
              <w10:wrap type="none"/>
            </v:shape>
            <v:shape style="position:absolute;left:7245;top:630;width:4115;height:240" type="#_x0000_t202" filled="false" stroked="false">
              <v:textbox inset="0,0,0,0">
                <w:txbxContent>
                  <w:p>
                    <w:pPr>
                      <w:tabs>
                        <w:tab w:pos="1334" w:val="left" w:leader="none"/>
                        <w:tab w:pos="4094" w:val="left" w:leader="none"/>
                      </w:tabs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  <w:u w:val="single" w:color="D9D9D9"/>
                      </w:rPr>
                      <w:t> </w:t>
                      <w:tab/>
                    </w:r>
                    <w:r>
                      <w:rPr>
                        <w:color w:val="585858"/>
                        <w:sz w:val="24"/>
                        <w:u w:val="single" w:color="D9D9D9"/>
                      </w:rPr>
                      <w:t>cimentos</w:t>
                      <w:tab/>
                    </w:r>
                  </w:p>
                </w:txbxContent>
              </v:textbox>
              <w10:wrap type="none"/>
            </v:shape>
            <v:shape style="position:absolute;left:6806;top:132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10828;top:1235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238</w:t>
                    </w:r>
                  </w:p>
                </w:txbxContent>
              </v:textbox>
              <w10:wrap type="none"/>
            </v:shape>
            <v:shape style="position:absolute;left:6988;top:1862;width:11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245;top:1710;width:4115;height:225" type="#_x0000_t202" filled="false" stroked="false">
              <v:textbox inset="0,0,0,0">
                <w:txbxContent>
                  <w:p>
                    <w:pPr>
                      <w:tabs>
                        <w:tab w:pos="438" w:val="left" w:leader="none"/>
                        <w:tab w:pos="1872" w:val="left" w:leader="none"/>
                        <w:tab w:pos="4094" w:val="left" w:leader="none"/>
                      </w:tabs>
                      <w:spacing w:line="187" w:lineRule="auto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  <w:u w:val="single" w:color="D9D9D9"/>
                      </w:rPr>
                      <w:t> </w:t>
                      <w:tab/>
                    </w:r>
                    <w:r>
                      <w:rPr>
                        <w:b/>
                        <w:color w:val="404040"/>
                        <w:sz w:val="18"/>
                        <w:u w:val="single" w:color="D9D9D9"/>
                      </w:rPr>
                      <w:t>144</w:t>
                      <w:tab/>
                    </w:r>
                    <w:r>
                      <w:rPr>
                        <w:b/>
                        <w:color w:val="404040"/>
                        <w:position w:val="-3"/>
                        <w:sz w:val="18"/>
                        <w:u w:val="single" w:color="D9D9D9"/>
                      </w:rPr>
                      <w:t>128</w:t>
                      <w:tab/>
                    </w:r>
                  </w:p>
                </w:txbxContent>
              </v:textbox>
              <w10:wrap type="none"/>
            </v:shape>
            <v:shape style="position:absolute;left:7746;top:209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9111;top:209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10477;top:2096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spacing w:before="126"/>
        <w:ind w:left="320" w:right="1059" w:firstLine="0"/>
        <w:jc w:val="left"/>
        <w:rPr>
          <w:i/>
          <w:sz w:val="18"/>
        </w:rPr>
      </w:pPr>
      <w:r>
        <w:rPr>
          <w:i/>
          <w:color w:val="44536A"/>
          <w:sz w:val="18"/>
        </w:rPr>
        <w:t>Figure 6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.Shkarkimi total I ujrave nga impianti për trajtim</w:t>
      </w:r>
      <w:r>
        <w:rPr>
          <w:i/>
          <w:color w:val="44536A"/>
          <w:spacing w:val="-39"/>
          <w:sz w:val="18"/>
        </w:rPr>
        <w:t> </w:t>
      </w:r>
      <w:r>
        <w:rPr>
          <w:i/>
          <w:color w:val="44536A"/>
          <w:sz w:val="18"/>
        </w:rPr>
        <w:t>(WWTP)</w:t>
      </w:r>
    </w:p>
    <w:p>
      <w:pPr>
        <w:pStyle w:val="BodyText"/>
        <w:spacing w:before="6"/>
        <w:rPr>
          <w:i/>
          <w:sz w:val="12"/>
        </w:rPr>
      </w:pPr>
      <w:r>
        <w:rPr/>
        <w:pict>
          <v:group style="position:absolute;margin-left:314.625pt;margin-top:9.599688pt;width:258pt;height:130.5pt;mso-position-horizontal-relative:page;mso-position-vertical-relative:paragraph;z-index:-15692288;mso-wrap-distance-left:0;mso-wrap-distance-right:0" coordorigin="6293,192" coordsize="5160,2610">
            <v:shape style="position:absolute;left:7283;top:1240;width:3919;height:864" coordorigin="7284,1241" coordsize="3919,864" path="m7284,2105l11202,2105m7284,1817l11202,1817m7284,1529l11202,1529m7284,1241l11202,1241e" filled="false" stroked="true" strokeweight=".75pt" strokecolor="#d9d9d9">
              <v:path arrowok="t"/>
              <v:stroke dashstyle="solid"/>
            </v:shape>
            <v:shape style="position:absolute;left:7936;top:1094;width:2613;height:846" coordorigin="7937,1095" coordsize="2613,846" path="m7937,1637l9242,1940,10549,1095e" filled="false" stroked="true" strokeweight="2.25pt" strokecolor="#4f81bc">
              <v:path arrowok="t"/>
              <v:stroke dashstyle="solid"/>
            </v:shape>
            <v:shape style="position:absolute;left:7878;top:1579;width:116;height:116" type="#_x0000_t75" stroked="false">
              <v:imagedata r:id="rId134" o:title=""/>
            </v:shape>
            <v:shape style="position:absolute;left:9184;top:1881;width:116;height:116" type="#_x0000_t75" stroked="false">
              <v:imagedata r:id="rId151" o:title=""/>
            </v:shape>
            <v:shape style="position:absolute;left:10490;top:1036;width:116;height:116" type="#_x0000_t75" stroked="false">
              <v:imagedata r:id="rId151" o:title=""/>
            </v:shape>
            <v:shape style="position:absolute;left:7283;top:952;width:3919;height:1441" coordorigin="7284,953" coordsize="3919,1441" path="m7284,953l11202,953m7284,2393l11202,2393e" filled="false" stroked="true" strokeweight=".75pt" strokecolor="#d9d9d9">
              <v:path arrowok="t"/>
              <v:stroke dashstyle="solid"/>
            </v:shape>
            <v:rect style="position:absolute;left:6300;top:199;width:5145;height:2595" filled="false" stroked="true" strokeweight=".75pt" strokecolor="#17375e">
              <v:stroke dashstyle="solid"/>
            </v:rect>
            <v:shape style="position:absolute;left:7526;top:419;width:2877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pacing w:val="-2"/>
                        <w:sz w:val="24"/>
                      </w:rPr>
                      <w:t>Shkarkimi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total</w:t>
                    </w:r>
                    <w:r>
                      <w:rPr>
                        <w:color w:val="585858"/>
                        <w:spacing w:val="-11"/>
                        <w:sz w:val="24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i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ujrave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[m³/y]</w:t>
                    </w:r>
                  </w:p>
                </w:txbxContent>
              </v:textbox>
              <w10:wrap type="none"/>
            </v:shape>
            <v:shape style="position:absolute;left:6615;top:869;width:523;height:1621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50,000</w:t>
                    </w:r>
                  </w:p>
                  <w:p>
                    <w:pPr>
                      <w:spacing w:before="69"/>
                      <w:ind w:left="0" w:right="18" w:firstLine="0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40,000</w:t>
                    </w:r>
                  </w:p>
                  <w:p>
                    <w:pPr>
                      <w:spacing w:before="68"/>
                      <w:ind w:left="0" w:right="18" w:firstLine="0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30,000</w:t>
                    </w:r>
                  </w:p>
                  <w:p>
                    <w:pPr>
                      <w:spacing w:before="69"/>
                      <w:ind w:left="0" w:right="18" w:firstLine="0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20,000</w:t>
                    </w:r>
                  </w:p>
                  <w:p>
                    <w:pPr>
                      <w:spacing w:before="68"/>
                      <w:ind w:left="0" w:right="18" w:firstLine="0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10,000</w:t>
                    </w:r>
                  </w:p>
                  <w:p>
                    <w:pPr>
                      <w:spacing w:line="216" w:lineRule="exact" w:before="68"/>
                      <w:ind w:left="0" w:right="18" w:firstLine="0"/>
                      <w:jc w:val="righ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0721;top:1021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45,067</w:t>
                    </w:r>
                  </w:p>
                </w:txbxContent>
              </v:textbox>
              <w10:wrap type="none"/>
            </v:shape>
            <v:shape style="position:absolute;left:7512;top:1748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26,230</w:t>
                    </w:r>
                  </w:p>
                </w:txbxContent>
              </v:textbox>
              <w10:wrap type="none"/>
            </v:shape>
            <v:shape style="position:absolute;left:9349;top:1704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04040"/>
                        <w:sz w:val="18"/>
                      </w:rPr>
                      <w:t>15,734</w:t>
                    </w:r>
                  </w:p>
                </w:txbxContent>
              </v:textbox>
              <w10:wrap type="none"/>
            </v:shape>
            <v:shape style="position:absolute;left:7755;top:2544;width:2998;height:180" type="#_x0000_t202" filled="false" stroked="false">
              <v:textbox inset="0,0,0,0">
                <w:txbxContent>
                  <w:p>
                    <w:pPr>
                      <w:tabs>
                        <w:tab w:pos="1306" w:val="left" w:leader="none"/>
                        <w:tab w:pos="2612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585858"/>
                        <w:sz w:val="18"/>
                      </w:rPr>
                      <w:t>2020</w:t>
                      <w:tab/>
                      <w:t>2021</w:t>
                      <w:tab/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type w:val="continuous"/>
          <w:pgSz w:w="12240" w:h="15840"/>
          <w:pgMar w:top="1500" w:bottom="280" w:left="200" w:right="140"/>
          <w:cols w:num="2" w:equalWidth="0">
            <w:col w:w="5741" w:space="40"/>
            <w:col w:w="6119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9"/>
        </w:rPr>
      </w:pPr>
    </w:p>
    <w:p>
      <w:pPr>
        <w:spacing w:before="91"/>
        <w:ind w:left="88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2240" w:h="15840"/>
          <w:pgMar w:top="150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3"/>
        </w:rPr>
      </w:pPr>
    </w:p>
    <w:p>
      <w:pPr>
        <w:spacing w:before="57"/>
        <w:ind w:left="880" w:right="0" w:firstLine="0"/>
        <w:jc w:val="both"/>
        <w:rPr>
          <w:b/>
          <w:i/>
          <w:sz w:val="22"/>
        </w:rPr>
      </w:pPr>
      <w:r>
        <w:rPr/>
        <w:pict>
          <v:shape style="position:absolute;margin-left:517.099976pt;margin-top:-36.716347pt;width:82.15pt;height:69.75pt;mso-position-horizontal-relative:page;mso-position-vertical-relative:paragraph;z-index:15766528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7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i/>
          <w:sz w:val="22"/>
        </w:rPr>
        <w:t>Cilësia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e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ujrave</w:t>
      </w:r>
      <w:r>
        <w:rPr>
          <w:b/>
          <w:i/>
          <w:spacing w:val="-3"/>
          <w:sz w:val="22"/>
        </w:rPr>
        <w:t> </w:t>
      </w:r>
      <w:r>
        <w:rPr>
          <w:b/>
          <w:i/>
          <w:sz w:val="22"/>
        </w:rPr>
        <w:t>të</w:t>
      </w:r>
      <w:r>
        <w:rPr>
          <w:b/>
          <w:i/>
          <w:spacing w:val="-1"/>
          <w:sz w:val="22"/>
        </w:rPr>
        <w:t> </w:t>
      </w:r>
      <w:r>
        <w:rPr>
          <w:b/>
          <w:i/>
          <w:sz w:val="22"/>
        </w:rPr>
        <w:t>shkarkuar</w:t>
      </w:r>
    </w:p>
    <w:p>
      <w:pPr>
        <w:pStyle w:val="BodyText"/>
        <w:rPr>
          <w:b/>
          <w:i/>
        </w:rPr>
      </w:pPr>
    </w:p>
    <w:p>
      <w:pPr>
        <w:pStyle w:val="BodyText"/>
        <w:spacing w:before="9"/>
        <w:rPr>
          <w:b/>
          <w:i/>
          <w:sz w:val="29"/>
        </w:rPr>
      </w:pPr>
    </w:p>
    <w:p>
      <w:pPr>
        <w:pStyle w:val="BodyText"/>
        <w:spacing w:line="259" w:lineRule="auto"/>
        <w:ind w:left="880" w:right="933"/>
        <w:jc w:val="both"/>
      </w:pPr>
      <w:r>
        <w:rPr/>
        <w:t>Impianti</w:t>
      </w:r>
      <w:r>
        <w:rPr>
          <w:spacing w:val="-3"/>
        </w:rPr>
        <w:t> </w:t>
      </w:r>
      <w:r>
        <w:rPr/>
        <w:t>për</w:t>
      </w:r>
      <w:r>
        <w:rPr>
          <w:spacing w:val="-4"/>
        </w:rPr>
        <w:t> </w:t>
      </w:r>
      <w:r>
        <w:rPr/>
        <w:t>trajtimin</w:t>
      </w:r>
      <w:r>
        <w:rPr>
          <w:spacing w:val="-4"/>
        </w:rPr>
        <w:t> </w:t>
      </w:r>
      <w:r>
        <w:rPr/>
        <w:t>e</w:t>
      </w:r>
      <w:r>
        <w:rPr>
          <w:spacing w:val="-2"/>
        </w:rPr>
        <w:t> </w:t>
      </w:r>
      <w:r>
        <w:rPr/>
        <w:t>ujrave</w:t>
      </w:r>
      <w:r>
        <w:rPr>
          <w:spacing w:val="-5"/>
        </w:rPr>
        <w:t> </w:t>
      </w:r>
      <w:r>
        <w:rPr/>
        <w:t>të</w:t>
      </w:r>
      <w:r>
        <w:rPr>
          <w:spacing w:val="-2"/>
        </w:rPr>
        <w:t> </w:t>
      </w:r>
      <w:r>
        <w:rPr/>
        <w:t>zeza</w:t>
      </w:r>
      <w:r>
        <w:rPr>
          <w:spacing w:val="-6"/>
        </w:rPr>
        <w:t> </w:t>
      </w:r>
      <w:r>
        <w:rPr/>
        <w:t>është</w:t>
      </w:r>
      <w:r>
        <w:rPr>
          <w:spacing w:val="-4"/>
        </w:rPr>
        <w:t> </w:t>
      </w:r>
      <w:r>
        <w:rPr/>
        <w:t>në</w:t>
      </w:r>
      <w:r>
        <w:rPr>
          <w:spacing w:val="-3"/>
        </w:rPr>
        <w:t> </w:t>
      </w:r>
      <w:r>
        <w:rPr/>
        <w:t>funksion</w:t>
      </w:r>
      <w:r>
        <w:rPr>
          <w:spacing w:val="-3"/>
        </w:rPr>
        <w:t> </w:t>
      </w:r>
      <w:r>
        <w:rPr/>
        <w:t>të</w:t>
      </w:r>
      <w:r>
        <w:rPr>
          <w:spacing w:val="-5"/>
        </w:rPr>
        <w:t> </w:t>
      </w:r>
      <w:r>
        <w:rPr/>
        <w:t>plotë</w:t>
      </w:r>
      <w:r>
        <w:rPr>
          <w:spacing w:val="-2"/>
        </w:rPr>
        <w:t> </w:t>
      </w:r>
      <w:r>
        <w:rPr/>
        <w:t>që</w:t>
      </w:r>
      <w:r>
        <w:rPr>
          <w:spacing w:val="-3"/>
        </w:rPr>
        <w:t> </w:t>
      </w:r>
      <w:r>
        <w:rPr/>
        <w:t>nga</w:t>
      </w:r>
      <w:r>
        <w:rPr>
          <w:spacing w:val="-5"/>
        </w:rPr>
        <w:t> </w:t>
      </w:r>
      <w:r>
        <w:rPr/>
        <w:t>Marsi</w:t>
      </w:r>
      <w:r>
        <w:rPr>
          <w:spacing w:val="-4"/>
        </w:rPr>
        <w:t> </w:t>
      </w:r>
      <w:r>
        <w:rPr/>
        <w:t>i</w:t>
      </w:r>
      <w:r>
        <w:rPr>
          <w:spacing w:val="-5"/>
        </w:rPr>
        <w:t> </w:t>
      </w:r>
      <w:r>
        <w:rPr/>
        <w:t>vitit</w:t>
      </w:r>
      <w:r>
        <w:rPr>
          <w:spacing w:val="-3"/>
        </w:rPr>
        <w:t> </w:t>
      </w:r>
      <w:r>
        <w:rPr/>
        <w:t>2016.</w:t>
      </w:r>
      <w:r>
        <w:rPr>
          <w:spacing w:val="-1"/>
        </w:rPr>
        <w:t> </w:t>
      </w:r>
      <w:r>
        <w:rPr/>
        <w:t>SHARRCEMI</w:t>
      </w:r>
      <w:r>
        <w:rPr>
          <w:spacing w:val="-6"/>
        </w:rPr>
        <w:t> </w:t>
      </w:r>
      <w:r>
        <w:rPr/>
        <w:t>monitoron</w:t>
      </w:r>
      <w:r>
        <w:rPr>
          <w:spacing w:val="-47"/>
        </w:rPr>
        <w:t> </w:t>
      </w:r>
      <w:r>
        <w:rPr/>
        <w:t>cilësinë e ujrave shkarkues 4 herë në vit përmes laboratorit të akredituar. Impianti për trajtimin e ujrave të zeza</w:t>
      </w:r>
      <w:r>
        <w:rPr>
          <w:spacing w:val="1"/>
        </w:rPr>
        <w:t> </w:t>
      </w:r>
      <w:r>
        <w:rPr/>
        <w:t>ka</w:t>
      </w:r>
      <w:r>
        <w:rPr>
          <w:spacing w:val="-9"/>
        </w:rPr>
        <w:t> </w:t>
      </w:r>
      <w:r>
        <w:rPr/>
        <w:t>qenë</w:t>
      </w:r>
      <w:r>
        <w:rPr>
          <w:spacing w:val="-10"/>
        </w:rPr>
        <w:t> </w:t>
      </w:r>
      <w:r>
        <w:rPr/>
        <w:t>në</w:t>
      </w:r>
      <w:r>
        <w:rPr>
          <w:spacing w:val="-7"/>
        </w:rPr>
        <w:t> </w:t>
      </w:r>
      <w:r>
        <w:rPr/>
        <w:t>funksion</w:t>
      </w:r>
      <w:r>
        <w:rPr>
          <w:spacing w:val="-9"/>
        </w:rPr>
        <w:t> </w:t>
      </w:r>
      <w:r>
        <w:rPr/>
        <w:t>për</w:t>
      </w:r>
      <w:r>
        <w:rPr>
          <w:spacing w:val="-8"/>
        </w:rPr>
        <w:t> </w:t>
      </w:r>
      <w:r>
        <w:rPr/>
        <w:t>gjatë</w:t>
      </w:r>
      <w:r>
        <w:rPr>
          <w:spacing w:val="-7"/>
        </w:rPr>
        <w:t> </w:t>
      </w:r>
      <w:r>
        <w:rPr/>
        <w:t>gjith</w:t>
      </w:r>
      <w:r>
        <w:rPr>
          <w:spacing w:val="-11"/>
        </w:rPr>
        <w:t> </w:t>
      </w:r>
      <w:r>
        <w:rPr/>
        <w:t>vitit</w:t>
      </w:r>
      <w:r>
        <w:rPr>
          <w:spacing w:val="-10"/>
        </w:rPr>
        <w:t> </w:t>
      </w:r>
      <w:r>
        <w:rPr/>
        <w:t>2022</w:t>
      </w:r>
      <w:r>
        <w:rPr>
          <w:spacing w:val="-10"/>
        </w:rPr>
        <w:t> </w:t>
      </w:r>
      <w:r>
        <w:rPr/>
        <w:t>dhe</w:t>
      </w:r>
      <w:r>
        <w:rPr>
          <w:spacing w:val="-7"/>
        </w:rPr>
        <w:t> </w:t>
      </w:r>
      <w:r>
        <w:rPr/>
        <w:t>nuk</w:t>
      </w:r>
      <w:r>
        <w:rPr>
          <w:spacing w:val="-10"/>
        </w:rPr>
        <w:t> </w:t>
      </w:r>
      <w:r>
        <w:rPr/>
        <w:t>ka</w:t>
      </w:r>
      <w:r>
        <w:rPr>
          <w:spacing w:val="-8"/>
        </w:rPr>
        <w:t> </w:t>
      </w:r>
      <w:r>
        <w:rPr/>
        <w:t>pasur</w:t>
      </w:r>
      <w:r>
        <w:rPr>
          <w:spacing w:val="-9"/>
        </w:rPr>
        <w:t> </w:t>
      </w:r>
      <w:r>
        <w:rPr/>
        <w:t>ndonjë</w:t>
      </w:r>
      <w:r>
        <w:rPr>
          <w:spacing w:val="-7"/>
        </w:rPr>
        <w:t> </w:t>
      </w:r>
      <w:r>
        <w:rPr/>
        <w:t>problem</w:t>
      </w:r>
      <w:r>
        <w:rPr>
          <w:spacing w:val="-9"/>
        </w:rPr>
        <w:t> </w:t>
      </w:r>
      <w:r>
        <w:rPr/>
        <w:t>në</w:t>
      </w:r>
      <w:r>
        <w:rPr>
          <w:spacing w:val="-12"/>
        </w:rPr>
        <w:t> </w:t>
      </w:r>
      <w:r>
        <w:rPr/>
        <w:t>funksionimin</w:t>
      </w:r>
      <w:r>
        <w:rPr>
          <w:spacing w:val="31"/>
        </w:rPr>
        <w:t> </w:t>
      </w:r>
      <w:r>
        <w:rPr/>
        <w:t>e</w:t>
      </w:r>
      <w:r>
        <w:rPr>
          <w:spacing w:val="-10"/>
        </w:rPr>
        <w:t> </w:t>
      </w:r>
      <w:r>
        <w:rPr/>
        <w:t>tijë</w:t>
      </w:r>
      <w:r>
        <w:rPr>
          <w:spacing w:val="-7"/>
        </w:rPr>
        <w:t> </w:t>
      </w:r>
      <w:r>
        <w:rPr/>
        <w:t>.</w:t>
      </w:r>
      <w:r>
        <w:rPr>
          <w:spacing w:val="-11"/>
        </w:rPr>
        <w:t> </w:t>
      </w:r>
      <w:r>
        <w:rPr/>
        <w:t>Parametrat</w:t>
      </w:r>
      <w:r>
        <w:rPr>
          <w:spacing w:val="-48"/>
        </w:rPr>
        <w:t> </w:t>
      </w:r>
      <w:r>
        <w:rPr/>
        <w:t>monitories të shkarkimit të ujrave të trajturar kanë qenë nën vlerat e lejuara në përputhje me UA 30/2014 dhe</w:t>
      </w:r>
      <w:r>
        <w:rPr>
          <w:spacing w:val="1"/>
        </w:rPr>
        <w:t> </w:t>
      </w:r>
      <w:r>
        <w:rPr/>
        <w:t>janë të paraqitura ne Tab Nr.3.Gjthashtu ne baza periodike eshte bere edhe monitorimi I cilesise se recipientit -</w:t>
      </w:r>
      <w:r>
        <w:rPr>
          <w:spacing w:val="1"/>
        </w:rPr>
        <w:t> </w:t>
      </w:r>
      <w:r>
        <w:rPr/>
        <w:t>perrocka e Dimces nee te cilen shkarkohen ujrat e trajtuar nga impianti dhe vlearte e monitorimit jane te</w:t>
      </w:r>
      <w:r>
        <w:rPr>
          <w:spacing w:val="1"/>
        </w:rPr>
        <w:t> </w:t>
      </w:r>
      <w:r>
        <w:rPr/>
        <w:t>paraqitura</w:t>
      </w:r>
      <w:r>
        <w:rPr>
          <w:spacing w:val="-1"/>
        </w:rPr>
        <w:t> </w:t>
      </w:r>
      <w:r>
        <w:rPr/>
        <w:t>ne tabelen Nr.4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  <w:r>
        <w:rPr/>
        <w:pict>
          <v:shape style="position:absolute;margin-left:15pt;margin-top:31.377666pt;width:291.45pt;height:249.4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56"/>
                    <w:gridCol w:w="752"/>
                    <w:gridCol w:w="956"/>
                    <w:gridCol w:w="1110"/>
                    <w:gridCol w:w="1143"/>
                  </w:tblGrid>
                  <w:tr>
                    <w:trPr>
                      <w:trHeight w:val="961" w:hRule="atLeast"/>
                    </w:trPr>
                    <w:tc>
                      <w:tcPr>
                        <w:tcW w:w="2608" w:type="dxa"/>
                        <w:gridSpan w:val="2"/>
                        <w:vMerge w:val="restart"/>
                        <w:shd w:val="clear" w:color="auto" w:fill="9CC2E4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Calibri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24"/>
                          <w:ind w:left="99" w:right="96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Impianti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per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trajtim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(WWTP)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97" w:right="96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-Parametrat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qaulitetit</w:t>
                        </w:r>
                      </w:p>
                    </w:tc>
                    <w:tc>
                      <w:tcPr>
                        <w:tcW w:w="956" w:type="dxa"/>
                        <w:vMerge w:val="restart"/>
                        <w:shd w:val="clear" w:color="auto" w:fill="9CC2E4"/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rFonts w:ascii="Calibri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14" w:right="108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VK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sipas</w:t>
                        </w:r>
                      </w:p>
                      <w:p>
                        <w:pPr>
                          <w:pStyle w:val="TableParagraph"/>
                          <w:spacing w:line="256" w:lineRule="auto" w:before="20"/>
                          <w:ind w:left="130" w:right="121" w:hanging="2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–UA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w w:val="95"/>
                            <w:sz w:val="20"/>
                          </w:rPr>
                          <w:t>30/2014</w:t>
                        </w:r>
                      </w:p>
                    </w:tc>
                    <w:tc>
                      <w:tcPr>
                        <w:tcW w:w="1110" w:type="dxa"/>
                        <w:shd w:val="clear" w:color="auto" w:fill="9CC2E4"/>
                      </w:tcPr>
                      <w:p>
                        <w:pPr>
                          <w:pStyle w:val="TableParagraph"/>
                          <w:spacing w:line="259" w:lineRule="auto" w:before="13"/>
                          <w:ind w:left="72" w:right="287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20"/>
                          </w:rPr>
                          <w:t>Qualiteti</w:t>
                        </w:r>
                        <w:r>
                          <w:rPr>
                            <w:rFonts w:ascii="Calibri"/>
                            <w:b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para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trajtimit</w:t>
                        </w:r>
                      </w:p>
                    </w:tc>
                    <w:tc>
                      <w:tcPr>
                        <w:tcW w:w="1143" w:type="dxa"/>
                        <w:shd w:val="clear" w:color="auto" w:fill="9CC2E4"/>
                      </w:tcPr>
                      <w:p>
                        <w:pPr>
                          <w:pStyle w:val="TableParagraph"/>
                          <w:spacing w:line="259" w:lineRule="auto" w:before="13"/>
                          <w:ind w:left="71" w:right="321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20"/>
                          </w:rPr>
                          <w:t>Qualiteti</w:t>
                        </w:r>
                        <w:r>
                          <w:rPr>
                            <w:rFonts w:ascii="Calibri"/>
                            <w:b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pas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trajtimit</w:t>
                        </w:r>
                      </w:p>
                    </w:tc>
                  </w:tr>
                  <w:tr>
                    <w:trPr>
                      <w:trHeight w:val="436" w:hRule="atLeast"/>
                    </w:trPr>
                    <w:tc>
                      <w:tcPr>
                        <w:tcW w:w="2608" w:type="dxa"/>
                        <w:gridSpan w:val="2"/>
                        <w:vMerge/>
                        <w:tcBorders>
                          <w:top w:val="nil"/>
                        </w:tcBorders>
                        <w:shd w:val="clear" w:color="auto" w:fill="9CC2E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56" w:type="dxa"/>
                        <w:vMerge/>
                        <w:tcBorders>
                          <w:top w:val="nil"/>
                        </w:tcBorders>
                        <w:shd w:val="clear" w:color="auto" w:fill="9CC2E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253" w:type="dxa"/>
                        <w:gridSpan w:val="2"/>
                        <w:shd w:val="clear" w:color="auto" w:fill="9CC2E4"/>
                      </w:tcPr>
                      <w:p>
                        <w:pPr>
                          <w:pStyle w:val="TableParagraph"/>
                          <w:spacing w:before="13"/>
                          <w:ind w:left="901" w:right="896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2022</w:t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27"/>
                          <w:ind w:left="7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pH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before="27"/>
                          <w:ind w:left="245" w:right="244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6-8.5</w:t>
                        </w:r>
                      </w:p>
                    </w:tc>
                    <w:tc>
                      <w:tcPr>
                        <w:tcW w:w="1110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227" w:right="21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8.82</w:t>
                        </w:r>
                      </w:p>
                    </w:tc>
                    <w:tc>
                      <w:tcPr>
                        <w:tcW w:w="1143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373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8.05</w:t>
                        </w:r>
                      </w:p>
                    </w:tc>
                  </w:tr>
                  <w:tr>
                    <w:trPr>
                      <w:trHeight w:val="702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line="254" w:lineRule="auto" w:before="18"/>
                          <w:ind w:left="71" w:right="368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Chemical</w:t>
                        </w:r>
                        <w:r>
                          <w:rPr>
                            <w:rFonts w:ascii="Calibri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Oxygen</w:t>
                        </w:r>
                        <w:r>
                          <w:rPr>
                            <w:rFonts w:ascii="Calibri"/>
                            <w:spacing w:val="-4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Demand</w:t>
                        </w:r>
                        <w:r>
                          <w:rPr>
                            <w:rFonts w:ascii="Calibri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(COD)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145"/>
                          <w:ind w:left="44" w:right="38"/>
                          <w:jc w:val="center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mg/l</w:t>
                        </w:r>
                        <w:r>
                          <w:rPr>
                            <w:rFonts w:ascii="Calibri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O</w:t>
                        </w:r>
                        <w:r>
                          <w:rPr>
                            <w:rFonts w:ascii="Calibri"/>
                            <w:sz w:val="13"/>
                          </w:rPr>
                          <w:t>2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before="133"/>
                          <w:ind w:left="245" w:right="240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125</w:t>
                        </w:r>
                      </w:p>
                    </w:tc>
                    <w:tc>
                      <w:tcPr>
                        <w:tcW w:w="1110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227" w:right="21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322.00</w:t>
                        </w:r>
                      </w:p>
                    </w:tc>
                    <w:tc>
                      <w:tcPr>
                        <w:tcW w:w="1143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318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80.30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line="256" w:lineRule="auto" w:before="13"/>
                          <w:ind w:left="71" w:right="132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Biochemical </w:t>
                        </w:r>
                        <w:r>
                          <w:rPr>
                            <w:rFonts w:ascii="Calibri"/>
                            <w:sz w:val="20"/>
                          </w:rPr>
                          <w:t>Oxygen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Demand</w:t>
                        </w:r>
                        <w:r>
                          <w:rPr>
                            <w:rFonts w:ascii="Calibri"/>
                            <w:spacing w:val="-1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(BOD</w:t>
                        </w:r>
                        <w:r>
                          <w:rPr>
                            <w:rFonts w:ascii="Calibri"/>
                            <w:sz w:val="13"/>
                          </w:rPr>
                          <w:t>5</w:t>
                        </w:r>
                        <w:r>
                          <w:rPr>
                            <w:rFonts w:ascii="Calibri"/>
                            <w:spacing w:val="13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)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142"/>
                          <w:ind w:left="44" w:right="38"/>
                          <w:jc w:val="center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mg/l</w:t>
                        </w:r>
                        <w:r>
                          <w:rPr>
                            <w:rFonts w:ascii="Calibri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O</w:t>
                        </w:r>
                        <w:r>
                          <w:rPr>
                            <w:rFonts w:ascii="Calibri"/>
                            <w:sz w:val="13"/>
                          </w:rPr>
                          <w:t>2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before="131"/>
                          <w:ind w:left="245" w:right="23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25</w:t>
                        </w:r>
                      </w:p>
                    </w:tc>
                    <w:tc>
                      <w:tcPr>
                        <w:tcW w:w="1110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1"/>
                          <w:ind w:left="227" w:right="218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194.5</w:t>
                        </w:r>
                      </w:p>
                    </w:tc>
                    <w:tc>
                      <w:tcPr>
                        <w:tcW w:w="1143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1"/>
                          <w:ind w:left="318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22.85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line="256" w:lineRule="auto" w:before="15"/>
                          <w:ind w:left="71" w:right="409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Total </w:t>
                        </w:r>
                        <w:r>
                          <w:rPr>
                            <w:rFonts w:ascii="Calibri"/>
                            <w:sz w:val="20"/>
                          </w:rPr>
                          <w:t>Suspended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Solids (TSS)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145"/>
                          <w:ind w:left="44" w:right="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mg/l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before="131"/>
                          <w:ind w:left="245" w:right="23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60</w:t>
                        </w:r>
                      </w:p>
                    </w:tc>
                    <w:tc>
                      <w:tcPr>
                        <w:tcW w:w="1110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"/>
                          <w:ind w:left="227" w:right="21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218.75</w:t>
                        </w:r>
                      </w:p>
                    </w:tc>
                    <w:tc>
                      <w:tcPr>
                        <w:tcW w:w="1143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"/>
                          <w:ind w:left="318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34.65</w:t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27"/>
                          <w:ind w:left="7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OIL</w:t>
                        </w:r>
                        <w:r>
                          <w:rPr>
                            <w:rFonts w:ascii="Calibri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Grease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27"/>
                          <w:ind w:left="44" w:right="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mg/l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before="16"/>
                          <w:ind w:left="245" w:right="23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1110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5"/>
                          <w:ind w:left="227" w:right="219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3.86</w:t>
                        </w:r>
                      </w:p>
                    </w:tc>
                    <w:tc>
                      <w:tcPr>
                        <w:tcW w:w="1143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373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0.01</w:t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27"/>
                          <w:ind w:left="71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TOC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27"/>
                          <w:ind w:left="44" w:right="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mg/l</w:t>
                        </w:r>
                      </w:p>
                    </w:tc>
                    <w:tc>
                      <w:tcPr>
                        <w:tcW w:w="956" w:type="dxa"/>
                      </w:tcPr>
                      <w:p>
                        <w:pPr>
                          <w:pStyle w:val="TableParagraph"/>
                          <w:spacing w:before="16"/>
                          <w:ind w:left="245" w:right="23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sz w:val="22"/>
                          </w:rPr>
                          <w:t>40</w:t>
                        </w:r>
                      </w:p>
                    </w:tc>
                    <w:tc>
                      <w:tcPr>
                        <w:tcW w:w="1110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227" w:right="219"/>
                          <w:jc w:val="center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127.55</w:t>
                        </w:r>
                      </w:p>
                    </w:tc>
                    <w:tc>
                      <w:tcPr>
                        <w:tcW w:w="1143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6"/>
                          <w:ind w:left="318"/>
                          <w:rPr>
                            <w:rFonts w:ascii="Calibri"/>
                            <w:sz w:val="22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2"/>
                          </w:rPr>
                          <w:t>21.10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22.369995pt;margin-top:9.387647pt;width:236pt;height:275.4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56"/>
                    <w:gridCol w:w="752"/>
                    <w:gridCol w:w="957"/>
                    <w:gridCol w:w="1144"/>
                  </w:tblGrid>
                  <w:tr>
                    <w:trPr>
                      <w:trHeight w:val="1387" w:hRule="atLeast"/>
                    </w:trPr>
                    <w:tc>
                      <w:tcPr>
                        <w:tcW w:w="2608" w:type="dxa"/>
                        <w:gridSpan w:val="2"/>
                        <w:shd w:val="clear" w:color="auto" w:fill="9CC2E4"/>
                      </w:tcPr>
                      <w:p>
                        <w:pPr>
                          <w:pStyle w:val="TableParagraph"/>
                          <w:spacing w:line="256" w:lineRule="auto" w:before="146"/>
                          <w:ind w:left="400" w:right="391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CILESIA</w:t>
                        </w:r>
                        <w:r>
                          <w:rPr>
                            <w:rFonts w:ascii="Calibri"/>
                            <w:b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RECIPIENTIT</w:t>
                        </w:r>
                        <w:r>
                          <w:rPr>
                            <w:rFonts w:ascii="Calibri"/>
                            <w:b/>
                            <w:spacing w:val="-4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PERROI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I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DIMCES</w:t>
                        </w:r>
                      </w:p>
                      <w:p>
                        <w:pPr>
                          <w:pStyle w:val="TableParagraph"/>
                          <w:spacing w:before="164"/>
                          <w:ind w:left="99" w:right="91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2022</w:t>
                        </w:r>
                      </w:p>
                    </w:tc>
                    <w:tc>
                      <w:tcPr>
                        <w:tcW w:w="957" w:type="dxa"/>
                        <w:shd w:val="clear" w:color="auto" w:fill="9CC2E4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rFonts w:ascii="Calibri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14" w:right="109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VK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sipas</w:t>
                        </w:r>
                      </w:p>
                      <w:p>
                        <w:pPr>
                          <w:pStyle w:val="TableParagraph"/>
                          <w:spacing w:line="256" w:lineRule="auto" w:before="17"/>
                          <w:ind w:left="130" w:right="122" w:hanging="1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–UA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w w:val="95"/>
                            <w:sz w:val="20"/>
                          </w:rPr>
                          <w:t>30/2014</w:t>
                        </w:r>
                      </w:p>
                    </w:tc>
                    <w:tc>
                      <w:tcPr>
                        <w:tcW w:w="1144" w:type="dxa"/>
                        <w:shd w:val="clear" w:color="auto" w:fill="9CC2E4"/>
                      </w:tcPr>
                      <w:p>
                        <w:pPr>
                          <w:pStyle w:val="TableParagraph"/>
                          <w:spacing w:line="259" w:lineRule="auto" w:before="14"/>
                          <w:ind w:left="71" w:right="98"/>
                          <w:jc w:val="both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Parametrat</w:t>
                        </w:r>
                        <w:r>
                          <w:rPr>
                            <w:rFonts w:ascii="Calibri"/>
                            <w:b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e cilesise se</w:t>
                        </w:r>
                        <w:r>
                          <w:rPr>
                            <w:rFonts w:ascii="Calibri"/>
                            <w:b/>
                            <w:spacing w:val="-44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recipientirt</w:t>
                        </w:r>
                      </w:p>
                      <w:p>
                        <w:pPr>
                          <w:pStyle w:val="TableParagraph"/>
                          <w:spacing w:before="157"/>
                          <w:ind w:left="71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Dimce</w:t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27"/>
                          <w:ind w:left="7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Temperatura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27"/>
                          <w:ind w:left="41" w:right="38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ºC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"/>
                          <w:ind w:left="296" w:right="292"/>
                          <w:jc w:val="center"/>
                          <w:rPr>
                            <w:rFonts w:ascii="Calibri"/>
                            <w:b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2"/>
                          </w:rPr>
                          <w:t>19.05</w:t>
                        </w:r>
                      </w:p>
                    </w:tc>
                  </w:tr>
                  <w:tr>
                    <w:trPr>
                      <w:trHeight w:val="462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25"/>
                          <w:ind w:left="7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pH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25"/>
                          <w:ind w:left="111" w:right="109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6-8.5</w:t>
                        </w: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1"/>
                          <w:ind w:left="296" w:right="292"/>
                          <w:jc w:val="center"/>
                          <w:rPr>
                            <w:rFonts w:ascii="Calibri"/>
                            <w:b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2"/>
                          </w:rPr>
                          <w:t>8.34</w:t>
                        </w:r>
                      </w:p>
                    </w:tc>
                  </w:tr>
                  <w:tr>
                    <w:trPr>
                      <w:trHeight w:val="697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line="256" w:lineRule="auto" w:before="13"/>
                          <w:ind w:left="74" w:right="36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Chemical </w:t>
                        </w:r>
                        <w:r>
                          <w:rPr>
                            <w:rFonts w:ascii="Calibri"/>
                            <w:sz w:val="20"/>
                          </w:rPr>
                          <w:t>Oxygen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Demand</w:t>
                        </w:r>
                        <w:r>
                          <w:rPr>
                            <w:rFonts w:ascii="Calibri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(COD)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142"/>
                          <w:ind w:left="44" w:right="38"/>
                          <w:jc w:val="center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mg/l</w:t>
                        </w:r>
                        <w:r>
                          <w:rPr>
                            <w:rFonts w:ascii="Calibri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O</w:t>
                        </w:r>
                        <w:r>
                          <w:rPr>
                            <w:rFonts w:ascii="Calibri"/>
                            <w:sz w:val="13"/>
                          </w:rPr>
                          <w:t>2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143"/>
                          <w:ind w:left="110" w:right="109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125</w:t>
                        </w: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1"/>
                          <w:ind w:left="296" w:right="292"/>
                          <w:jc w:val="center"/>
                          <w:rPr>
                            <w:rFonts w:ascii="Calibri"/>
                            <w:b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2"/>
                          </w:rPr>
                          <w:t>6.85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line="256" w:lineRule="auto" w:before="15"/>
                          <w:ind w:left="74" w:right="129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Biochemical </w:t>
                        </w:r>
                        <w:r>
                          <w:rPr>
                            <w:rFonts w:ascii="Calibri"/>
                            <w:sz w:val="20"/>
                          </w:rPr>
                          <w:t>Oxygen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Demand</w:t>
                        </w:r>
                        <w:r>
                          <w:rPr>
                            <w:rFonts w:ascii="Calibri"/>
                            <w:spacing w:val="-1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(BOD</w:t>
                        </w:r>
                        <w:r>
                          <w:rPr>
                            <w:rFonts w:ascii="Calibri"/>
                            <w:sz w:val="13"/>
                          </w:rPr>
                          <w:t>5</w:t>
                        </w:r>
                        <w:r>
                          <w:rPr>
                            <w:rFonts w:ascii="Calibri"/>
                            <w:spacing w:val="13"/>
                            <w:sz w:val="13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)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145"/>
                          <w:ind w:left="44" w:right="38"/>
                          <w:jc w:val="center"/>
                          <w:rPr>
                            <w:rFonts w:ascii="Calibri"/>
                            <w:sz w:val="13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mg/l</w:t>
                        </w:r>
                        <w:r>
                          <w:rPr>
                            <w:rFonts w:ascii="Calibri"/>
                            <w:spacing w:val="-2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position w:val="1"/>
                            <w:sz w:val="20"/>
                          </w:rPr>
                          <w:t>O</w:t>
                        </w:r>
                        <w:r>
                          <w:rPr>
                            <w:rFonts w:ascii="Calibri"/>
                            <w:sz w:val="13"/>
                          </w:rPr>
                          <w:t>2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145"/>
                          <w:ind w:left="114" w:right="10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1"/>
                          <w:ind w:left="296" w:right="292"/>
                          <w:jc w:val="center"/>
                          <w:rPr>
                            <w:rFonts w:ascii="Calibri"/>
                            <w:b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2"/>
                          </w:rPr>
                          <w:t>17.65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line="256" w:lineRule="auto" w:before="15"/>
                          <w:ind w:left="74" w:right="406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Total </w:t>
                        </w:r>
                        <w:r>
                          <w:rPr>
                            <w:rFonts w:ascii="Calibri"/>
                            <w:sz w:val="20"/>
                          </w:rPr>
                          <w:t>Suspended</w:t>
                        </w:r>
                        <w:r>
                          <w:rPr>
                            <w:rFonts w:ascii="Calibri"/>
                            <w:spacing w:val="-43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Solids (TSS)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145"/>
                          <w:ind w:left="44" w:right="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mg/l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145"/>
                          <w:ind w:left="114" w:right="10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1"/>
                          <w:ind w:left="296" w:right="292"/>
                          <w:jc w:val="center"/>
                          <w:rPr>
                            <w:rFonts w:ascii="Calibri"/>
                            <w:b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2"/>
                          </w:rPr>
                          <w:t>9.85</w:t>
                        </w:r>
                      </w:p>
                    </w:tc>
                  </w:tr>
                  <w:tr>
                    <w:trPr>
                      <w:trHeight w:val="542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66"/>
                          <w:ind w:left="7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OIL</w:t>
                        </w:r>
                        <w:r>
                          <w:rPr>
                            <w:rFonts w:ascii="Calibri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z w:val="20"/>
                          </w:rPr>
                          <w:t>Grease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66"/>
                          <w:ind w:left="44" w:right="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mg/l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66"/>
                          <w:ind w:left="114" w:right="10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4"/>
                          <w:ind w:left="296" w:right="291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8"/>
                          </w:rPr>
                          <w:t>nld</w:t>
                        </w:r>
                      </w:p>
                    </w:tc>
                  </w:tr>
                  <w:tr>
                    <w:trPr>
                      <w:trHeight w:val="462" w:hRule="atLeast"/>
                    </w:trPr>
                    <w:tc>
                      <w:tcPr>
                        <w:tcW w:w="1856" w:type="dxa"/>
                      </w:tcPr>
                      <w:p>
                        <w:pPr>
                          <w:pStyle w:val="TableParagraph"/>
                          <w:spacing w:before="25"/>
                          <w:ind w:left="7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TOC</w:t>
                        </w:r>
                      </w:p>
                    </w:tc>
                    <w:tc>
                      <w:tcPr>
                        <w:tcW w:w="752" w:type="dxa"/>
                      </w:tcPr>
                      <w:p>
                        <w:pPr>
                          <w:pStyle w:val="TableParagraph"/>
                          <w:spacing w:before="25"/>
                          <w:ind w:left="44" w:right="3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mg/l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25"/>
                          <w:ind w:left="114" w:right="108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40</w:t>
                        </w:r>
                      </w:p>
                    </w:tc>
                    <w:tc>
                      <w:tcPr>
                        <w:tcW w:w="1144" w:type="dxa"/>
                        <w:shd w:val="clear" w:color="auto" w:fill="1F4E79"/>
                      </w:tcPr>
                      <w:p>
                        <w:pPr>
                          <w:pStyle w:val="TableParagraph"/>
                          <w:spacing w:before="13"/>
                          <w:ind w:left="296" w:right="292"/>
                          <w:jc w:val="center"/>
                          <w:rPr>
                            <w:rFonts w:ascii="Calibri"/>
                            <w:b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22"/>
                          </w:rPr>
                          <w:t>5.30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spacing w:before="91"/>
        <w:ind w:left="88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pgSz w:w="12240" w:h="15840"/>
          <w:pgMar w:top="36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5"/>
        </w:rPr>
      </w:pPr>
    </w:p>
    <w:p>
      <w:pPr>
        <w:pStyle w:val="Heading4"/>
      </w:pPr>
      <w:r>
        <w:rPr/>
        <w:pict>
          <v:shape style="position:absolute;margin-left:517.099976pt;margin-top:-37.855652pt;width:82.15pt;height:69.75pt;mso-position-horizontal-relative:page;mso-position-vertical-relative:paragraph;z-index:15767040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8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1F4E79"/>
          <w:w w:val="115"/>
        </w:rPr>
        <w:t>MENAXHIMI</w:t>
      </w:r>
      <w:r>
        <w:rPr>
          <w:color w:val="1F4E79"/>
          <w:spacing w:val="-3"/>
          <w:w w:val="115"/>
        </w:rPr>
        <w:t> </w:t>
      </w:r>
      <w:r>
        <w:rPr>
          <w:color w:val="1F4E79"/>
          <w:w w:val="115"/>
        </w:rPr>
        <w:t>I</w:t>
      </w:r>
      <w:r>
        <w:rPr>
          <w:color w:val="1F4E79"/>
          <w:spacing w:val="-3"/>
          <w:w w:val="115"/>
        </w:rPr>
        <w:t> </w:t>
      </w:r>
      <w:r>
        <w:rPr>
          <w:color w:val="1F4E79"/>
          <w:w w:val="115"/>
        </w:rPr>
        <w:t>MBETJEVE</w:t>
      </w:r>
    </w:p>
    <w:p>
      <w:pPr>
        <w:spacing w:before="1"/>
        <w:ind w:left="880" w:right="0" w:firstLine="0"/>
        <w:jc w:val="left"/>
        <w:rPr>
          <w:sz w:val="32"/>
        </w:rPr>
      </w:pPr>
      <w:r>
        <w:rPr>
          <w:color w:val="1F4E79"/>
          <w:w w:val="115"/>
          <w:sz w:val="32"/>
        </w:rPr>
        <w:t>&amp;</w:t>
      </w:r>
      <w:r>
        <w:rPr>
          <w:color w:val="1F4E79"/>
          <w:spacing w:val="-3"/>
          <w:w w:val="115"/>
          <w:sz w:val="32"/>
        </w:rPr>
        <w:t> </w:t>
      </w:r>
      <w:r>
        <w:rPr>
          <w:color w:val="1F4E79"/>
          <w:w w:val="115"/>
          <w:sz w:val="32"/>
        </w:rPr>
        <w:t>shfrytëzimi</w:t>
      </w:r>
      <w:r>
        <w:rPr>
          <w:color w:val="1F4E79"/>
          <w:spacing w:val="82"/>
          <w:w w:val="115"/>
          <w:sz w:val="32"/>
        </w:rPr>
        <w:t> </w:t>
      </w:r>
      <w:r>
        <w:rPr>
          <w:color w:val="1F4E79"/>
          <w:w w:val="115"/>
          <w:sz w:val="32"/>
        </w:rPr>
        <w:t>i</w:t>
      </w:r>
      <w:r>
        <w:rPr>
          <w:color w:val="1F4E79"/>
          <w:spacing w:val="-3"/>
          <w:w w:val="115"/>
          <w:sz w:val="32"/>
        </w:rPr>
        <w:t> </w:t>
      </w:r>
      <w:r>
        <w:rPr>
          <w:color w:val="1F4E79"/>
          <w:w w:val="115"/>
          <w:sz w:val="32"/>
        </w:rPr>
        <w:t>tyre</w:t>
      </w:r>
    </w:p>
    <w:p>
      <w:pPr>
        <w:pStyle w:val="BodyText"/>
        <w:spacing w:before="10"/>
        <w:rPr>
          <w:sz w:val="43"/>
        </w:rPr>
      </w:pPr>
    </w:p>
    <w:p>
      <w:pPr>
        <w:pStyle w:val="BodyText"/>
        <w:ind w:left="880" w:right="945"/>
      </w:pPr>
      <w:r>
        <w:rPr>
          <w:w w:val="115"/>
        </w:rPr>
        <w:t>Mbetjet e ngurta ruhen përkohësisht në vende të veçanta të përcaktuara në afërsi të vendeve ku</w:t>
      </w:r>
      <w:r>
        <w:rPr>
          <w:spacing w:val="1"/>
          <w:w w:val="115"/>
        </w:rPr>
        <w:t> </w:t>
      </w:r>
      <w:r>
        <w:rPr>
          <w:w w:val="115"/>
        </w:rPr>
        <w:t>gjenerohet</w:t>
      </w:r>
      <w:r>
        <w:rPr>
          <w:spacing w:val="-3"/>
          <w:w w:val="115"/>
        </w:rPr>
        <w:t> </w:t>
      </w:r>
      <w:r>
        <w:rPr>
          <w:w w:val="115"/>
        </w:rPr>
        <w:t>brenda</w:t>
      </w:r>
      <w:r>
        <w:rPr>
          <w:spacing w:val="-4"/>
          <w:w w:val="115"/>
        </w:rPr>
        <w:t> </w:t>
      </w:r>
      <w:r>
        <w:rPr>
          <w:w w:val="115"/>
        </w:rPr>
        <w:t>Fabrikës.</w:t>
      </w:r>
      <w:r>
        <w:rPr>
          <w:spacing w:val="-3"/>
          <w:w w:val="115"/>
        </w:rPr>
        <w:t> </w:t>
      </w:r>
      <w:r>
        <w:rPr>
          <w:w w:val="115"/>
        </w:rPr>
        <w:t>Magazinimi</w:t>
      </w:r>
      <w:r>
        <w:rPr>
          <w:spacing w:val="-3"/>
          <w:w w:val="115"/>
        </w:rPr>
        <w:t> </w:t>
      </w:r>
      <w:r>
        <w:rPr>
          <w:w w:val="115"/>
        </w:rPr>
        <w:t>i</w:t>
      </w:r>
      <w:r>
        <w:rPr>
          <w:spacing w:val="-2"/>
          <w:w w:val="115"/>
        </w:rPr>
        <w:t> </w:t>
      </w:r>
      <w:r>
        <w:rPr>
          <w:w w:val="115"/>
        </w:rPr>
        <w:t>tillë</w:t>
      </w:r>
      <w:r>
        <w:rPr>
          <w:spacing w:val="-2"/>
          <w:w w:val="115"/>
        </w:rPr>
        <w:t> </w:t>
      </w:r>
      <w:r>
        <w:rPr>
          <w:w w:val="115"/>
        </w:rPr>
        <w:t>kryhet</w:t>
      </w:r>
      <w:r>
        <w:rPr>
          <w:spacing w:val="-2"/>
          <w:w w:val="115"/>
        </w:rPr>
        <w:t> </w:t>
      </w:r>
      <w:r>
        <w:rPr>
          <w:w w:val="115"/>
        </w:rPr>
        <w:t>në</w:t>
      </w:r>
      <w:r>
        <w:rPr>
          <w:spacing w:val="-2"/>
          <w:w w:val="115"/>
        </w:rPr>
        <w:t> </w:t>
      </w:r>
      <w:r>
        <w:rPr>
          <w:w w:val="115"/>
        </w:rPr>
        <w:t>kuti</w:t>
      </w:r>
      <w:r>
        <w:rPr>
          <w:spacing w:val="-4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posaçme</w:t>
      </w:r>
      <w:r>
        <w:rPr>
          <w:spacing w:val="-1"/>
          <w:w w:val="115"/>
        </w:rPr>
        <w:t> </w:t>
      </w:r>
      <w:r>
        <w:rPr>
          <w:w w:val="115"/>
        </w:rPr>
        <w:t>në</w:t>
      </w:r>
      <w:r>
        <w:rPr>
          <w:spacing w:val="-2"/>
          <w:w w:val="115"/>
        </w:rPr>
        <w:t> </w:t>
      </w:r>
      <w:r>
        <w:rPr>
          <w:w w:val="115"/>
        </w:rPr>
        <w:t>kontejnerë</w:t>
      </w:r>
      <w:r>
        <w:rPr>
          <w:spacing w:val="-2"/>
          <w:w w:val="115"/>
        </w:rPr>
        <w:t> </w:t>
      </w:r>
      <w:r>
        <w:rPr>
          <w:w w:val="115"/>
        </w:rPr>
        <w:t>ose</w:t>
      </w:r>
      <w:r>
        <w:rPr>
          <w:spacing w:val="-4"/>
          <w:w w:val="115"/>
        </w:rPr>
        <w:t> </w:t>
      </w:r>
      <w:r>
        <w:rPr>
          <w:w w:val="115"/>
        </w:rPr>
        <w:t>vende</w:t>
      </w:r>
      <w:r>
        <w:rPr>
          <w:spacing w:val="-54"/>
          <w:w w:val="115"/>
        </w:rPr>
        <w:t> </w:t>
      </w:r>
      <w:r>
        <w:rPr>
          <w:w w:val="115"/>
        </w:rPr>
        <w:t>të destinuara dhe të shënuara / etiketuara në mënyrë specifike për secilën mbetje. Varësisht nga</w:t>
      </w:r>
      <w:r>
        <w:rPr>
          <w:spacing w:val="1"/>
          <w:w w:val="115"/>
        </w:rPr>
        <w:t> </w:t>
      </w:r>
      <w:r>
        <w:rPr>
          <w:w w:val="115"/>
        </w:rPr>
        <w:t>lloji i mbetjeve te ngurta ne hapesira te vecanta te cilat jane te kufizuara me qellim te mbrojtjes</w:t>
      </w:r>
      <w:r>
        <w:rPr>
          <w:spacing w:val="1"/>
          <w:w w:val="115"/>
        </w:rPr>
        <w:t> </w:t>
      </w:r>
      <w:r>
        <w:rPr>
          <w:w w:val="115"/>
        </w:rPr>
        <w:t>nga</w:t>
      </w:r>
      <w:r>
        <w:rPr>
          <w:spacing w:val="-2"/>
          <w:w w:val="115"/>
        </w:rPr>
        <w:t> </w:t>
      </w:r>
      <w:r>
        <w:rPr>
          <w:w w:val="115"/>
        </w:rPr>
        <w:t>rrjedhjet</w:t>
      </w:r>
      <w:r>
        <w:rPr>
          <w:spacing w:val="-1"/>
          <w:w w:val="115"/>
        </w:rPr>
        <w:t> </w:t>
      </w:r>
      <w:r>
        <w:rPr>
          <w:w w:val="115"/>
        </w:rPr>
        <w:t>që</w:t>
      </w:r>
      <w:r>
        <w:rPr>
          <w:spacing w:val="-3"/>
          <w:w w:val="115"/>
        </w:rPr>
        <w:t> </w:t>
      </w:r>
      <w:r>
        <w:rPr>
          <w:w w:val="115"/>
        </w:rPr>
        <w:t>mund</w:t>
      </w:r>
      <w:r>
        <w:rPr>
          <w:spacing w:val="-2"/>
          <w:w w:val="115"/>
        </w:rPr>
        <w:t> </w:t>
      </w:r>
      <w:r>
        <w:rPr>
          <w:w w:val="115"/>
        </w:rPr>
        <w:t>të</w:t>
      </w:r>
      <w:r>
        <w:rPr>
          <w:spacing w:val="-3"/>
          <w:w w:val="115"/>
        </w:rPr>
        <w:t> </w:t>
      </w:r>
      <w:r>
        <w:rPr>
          <w:w w:val="115"/>
        </w:rPr>
        <w:t>shkaktonin</w:t>
      </w:r>
      <w:r>
        <w:rPr>
          <w:spacing w:val="-2"/>
          <w:w w:val="115"/>
        </w:rPr>
        <w:t> </w:t>
      </w:r>
      <w:r>
        <w:rPr>
          <w:w w:val="115"/>
        </w:rPr>
        <w:t>në ujë</w:t>
      </w:r>
      <w:r>
        <w:rPr>
          <w:spacing w:val="-3"/>
          <w:w w:val="115"/>
        </w:rPr>
        <w:t> </w:t>
      </w:r>
      <w:r>
        <w:rPr>
          <w:w w:val="115"/>
        </w:rPr>
        <w:t>dhe tokë.</w:t>
      </w:r>
    </w:p>
    <w:p>
      <w:pPr>
        <w:pStyle w:val="BodyText"/>
        <w:spacing w:before="4"/>
      </w:pPr>
    </w:p>
    <w:p>
      <w:pPr>
        <w:pStyle w:val="BodyText"/>
        <w:spacing w:line="237" w:lineRule="auto"/>
        <w:ind w:left="880"/>
      </w:pPr>
      <w:r>
        <w:rPr>
          <w:w w:val="115"/>
        </w:rPr>
        <w:t>Mbeturinat</w:t>
      </w:r>
      <w:r>
        <w:rPr>
          <w:spacing w:val="-2"/>
          <w:w w:val="115"/>
        </w:rPr>
        <w:t> </w:t>
      </w:r>
      <w:r>
        <w:rPr>
          <w:w w:val="115"/>
        </w:rPr>
        <w:t>barten</w:t>
      </w:r>
      <w:r>
        <w:rPr>
          <w:spacing w:val="-4"/>
          <w:w w:val="115"/>
        </w:rPr>
        <w:t> </w:t>
      </w:r>
      <w:r>
        <w:rPr>
          <w:w w:val="115"/>
        </w:rPr>
        <w:t>dhe</w:t>
      </w:r>
      <w:r>
        <w:rPr>
          <w:spacing w:val="-3"/>
          <w:w w:val="115"/>
        </w:rPr>
        <w:t> </w:t>
      </w:r>
      <w:r>
        <w:rPr>
          <w:w w:val="115"/>
        </w:rPr>
        <w:t>largohen</w:t>
      </w:r>
      <w:r>
        <w:rPr>
          <w:spacing w:val="-4"/>
          <w:w w:val="115"/>
        </w:rPr>
        <w:t> </w:t>
      </w:r>
      <w:r>
        <w:rPr>
          <w:w w:val="115"/>
        </w:rPr>
        <w:t>nga</w:t>
      </w:r>
      <w:r>
        <w:rPr>
          <w:spacing w:val="-4"/>
          <w:w w:val="115"/>
        </w:rPr>
        <w:t> </w:t>
      </w:r>
      <w:r>
        <w:rPr>
          <w:w w:val="115"/>
        </w:rPr>
        <w:t>Fabrika</w:t>
      </w:r>
      <w:r>
        <w:rPr>
          <w:spacing w:val="-3"/>
          <w:w w:val="115"/>
        </w:rPr>
        <w:t> </w:t>
      </w:r>
      <w:r>
        <w:rPr>
          <w:w w:val="115"/>
        </w:rPr>
        <w:t>nga</w:t>
      </w:r>
      <w:r>
        <w:rPr>
          <w:spacing w:val="-4"/>
          <w:w w:val="115"/>
        </w:rPr>
        <w:t> </w:t>
      </w:r>
      <w:r>
        <w:rPr>
          <w:w w:val="115"/>
        </w:rPr>
        <w:t>nënkontraktorët/pala</w:t>
      </w:r>
      <w:r>
        <w:rPr>
          <w:spacing w:val="-4"/>
          <w:w w:val="115"/>
        </w:rPr>
        <w:t> </w:t>
      </w:r>
      <w:r>
        <w:rPr>
          <w:w w:val="115"/>
        </w:rPr>
        <w:t>e</w:t>
      </w:r>
      <w:r>
        <w:rPr>
          <w:spacing w:val="-2"/>
          <w:w w:val="115"/>
        </w:rPr>
        <w:t> </w:t>
      </w:r>
      <w:r>
        <w:rPr>
          <w:w w:val="115"/>
        </w:rPr>
        <w:t>tretë</w:t>
      </w:r>
      <w:r>
        <w:rPr>
          <w:spacing w:val="-4"/>
          <w:w w:val="115"/>
        </w:rPr>
        <w:t> </w:t>
      </w:r>
      <w:r>
        <w:rPr>
          <w:w w:val="115"/>
        </w:rPr>
        <w:t>e</w:t>
      </w:r>
      <w:r>
        <w:rPr>
          <w:spacing w:val="-1"/>
          <w:w w:val="115"/>
        </w:rPr>
        <w:t> </w:t>
      </w:r>
      <w:r>
        <w:rPr>
          <w:w w:val="115"/>
        </w:rPr>
        <w:t>licensuar.</w:t>
      </w:r>
      <w:r>
        <w:rPr>
          <w:spacing w:val="-4"/>
          <w:w w:val="115"/>
        </w:rPr>
        <w:t> </w:t>
      </w:r>
      <w:r>
        <w:rPr>
          <w:w w:val="115"/>
        </w:rPr>
        <w:t>Këta</w:t>
      </w:r>
      <w:r>
        <w:rPr>
          <w:spacing w:val="-54"/>
          <w:w w:val="115"/>
        </w:rPr>
        <w:t> </w:t>
      </w:r>
      <w:r>
        <w:rPr>
          <w:w w:val="115"/>
        </w:rPr>
        <w:t>nënkontraktorë</w:t>
      </w:r>
      <w:r>
        <w:rPr>
          <w:spacing w:val="-3"/>
          <w:w w:val="115"/>
        </w:rPr>
        <w:t> </w:t>
      </w:r>
      <w:r>
        <w:rPr>
          <w:w w:val="115"/>
        </w:rPr>
        <w:t>ofrojnë</w:t>
      </w:r>
      <w:r>
        <w:rPr>
          <w:spacing w:val="-3"/>
          <w:w w:val="115"/>
        </w:rPr>
        <w:t> </w:t>
      </w:r>
      <w:r>
        <w:rPr>
          <w:w w:val="115"/>
        </w:rPr>
        <w:t>shërbime</w:t>
      </w:r>
      <w:r>
        <w:rPr>
          <w:spacing w:val="-1"/>
          <w:w w:val="115"/>
        </w:rPr>
        <w:t> </w:t>
      </w:r>
      <w:r>
        <w:rPr>
          <w:w w:val="115"/>
        </w:rPr>
        <w:t>lidhur</w:t>
      </w:r>
      <w:r>
        <w:rPr>
          <w:spacing w:val="-2"/>
          <w:w w:val="115"/>
        </w:rPr>
        <w:t> </w:t>
      </w:r>
      <w:r>
        <w:rPr>
          <w:w w:val="115"/>
        </w:rPr>
        <w:t>me</w:t>
      </w:r>
      <w:r>
        <w:rPr>
          <w:spacing w:val="-1"/>
          <w:w w:val="115"/>
        </w:rPr>
        <w:t> </w:t>
      </w:r>
      <w:r>
        <w:rPr>
          <w:w w:val="115"/>
        </w:rPr>
        <w:t>grumbullimin</w:t>
      </w:r>
      <w:r>
        <w:rPr>
          <w:spacing w:val="-3"/>
          <w:w w:val="115"/>
        </w:rPr>
        <w:t> </w:t>
      </w:r>
      <w:r>
        <w:rPr>
          <w:w w:val="115"/>
        </w:rPr>
        <w:t>dhe</w:t>
      </w:r>
      <w:r>
        <w:rPr>
          <w:spacing w:val="3"/>
          <w:w w:val="115"/>
        </w:rPr>
        <w:t> </w:t>
      </w:r>
      <w:r>
        <w:rPr>
          <w:w w:val="115"/>
        </w:rPr>
        <w:t>transportimin</w:t>
      </w:r>
      <w:r>
        <w:rPr>
          <w:spacing w:val="-4"/>
          <w:w w:val="115"/>
        </w:rPr>
        <w:t> </w:t>
      </w:r>
      <w:r>
        <w:rPr>
          <w:w w:val="115"/>
        </w:rPr>
        <w:t>e</w:t>
      </w:r>
      <w:r>
        <w:rPr>
          <w:spacing w:val="-3"/>
          <w:w w:val="115"/>
        </w:rPr>
        <w:t> </w:t>
      </w:r>
      <w:r>
        <w:rPr>
          <w:w w:val="115"/>
        </w:rPr>
        <w:t>mbeturinave.</w:t>
      </w:r>
    </w:p>
    <w:p>
      <w:pPr>
        <w:pStyle w:val="BodyText"/>
        <w:spacing w:before="2"/>
      </w:pPr>
    </w:p>
    <w:p>
      <w:pPr>
        <w:pStyle w:val="Heading7"/>
      </w:pPr>
      <w:r>
        <w:rPr>
          <w:w w:val="115"/>
        </w:rPr>
        <w:t>SHPJEGIM:</w:t>
      </w:r>
    </w:p>
    <w:p>
      <w:pPr>
        <w:pStyle w:val="BodyText"/>
        <w:ind w:left="880" w:right="945"/>
      </w:pPr>
      <w:r>
        <w:rPr>
          <w:w w:val="115"/>
        </w:rPr>
        <w:t>Mbetjet e përziera komunale - largimi nga kompanija e licencuar – landfill ; Scrap</w:t>
      </w:r>
      <w:r>
        <w:rPr>
          <w:spacing w:val="1"/>
          <w:w w:val="115"/>
        </w:rPr>
        <w:t> </w:t>
      </w:r>
      <w:r>
        <w:rPr>
          <w:w w:val="115"/>
        </w:rPr>
        <w:t>largimi nga</w:t>
      </w:r>
      <w:r>
        <w:rPr>
          <w:spacing w:val="1"/>
          <w:w w:val="115"/>
        </w:rPr>
        <w:t> </w:t>
      </w:r>
      <w:r>
        <w:rPr>
          <w:w w:val="115"/>
        </w:rPr>
        <w:t>kompanija e licencuar - riciklohen ; tulla nga murimi I furrës – depositohen në minirë</w:t>
      </w:r>
      <w:r>
        <w:rPr>
          <w:spacing w:val="1"/>
          <w:w w:val="115"/>
        </w:rPr>
        <w:t> </w:t>
      </w:r>
      <w:r>
        <w:rPr>
          <w:w w:val="115"/>
        </w:rPr>
        <w:t>;</w:t>
      </w:r>
      <w:r>
        <w:rPr>
          <w:spacing w:val="1"/>
          <w:w w:val="115"/>
        </w:rPr>
        <w:t> </w:t>
      </w:r>
      <w:r>
        <w:rPr>
          <w:w w:val="115"/>
        </w:rPr>
        <w:t>thasë të</w:t>
      </w:r>
      <w:r>
        <w:rPr>
          <w:spacing w:val="1"/>
          <w:w w:val="115"/>
        </w:rPr>
        <w:t> </w:t>
      </w:r>
      <w:r>
        <w:rPr>
          <w:w w:val="115"/>
        </w:rPr>
        <w:t>shkyer të çimentos -largimi nga kompanija e licencuar - riciklohen</w:t>
      </w:r>
      <w:r>
        <w:rPr>
          <w:spacing w:val="1"/>
          <w:w w:val="115"/>
        </w:rPr>
        <w:t> </w:t>
      </w:r>
      <w:r>
        <w:rPr>
          <w:w w:val="115"/>
        </w:rPr>
        <w:t>; Mbeturinat nga Demolimi –</w:t>
      </w:r>
      <w:r>
        <w:rPr>
          <w:spacing w:val="1"/>
          <w:w w:val="115"/>
        </w:rPr>
        <w:t> </w:t>
      </w:r>
      <w:r>
        <w:rPr>
          <w:w w:val="115"/>
        </w:rPr>
        <w:t>Shrytezohen për rimbushjen e minierës; ambalazhet</w:t>
      </w:r>
      <w:r>
        <w:rPr>
          <w:spacing w:val="1"/>
          <w:w w:val="115"/>
        </w:rPr>
        <w:t> </w:t>
      </w:r>
      <w:r>
        <w:rPr>
          <w:w w:val="115"/>
        </w:rPr>
        <w:t>plastike- largimi nga kompanija e licencuar –</w:t>
      </w:r>
      <w:r>
        <w:rPr>
          <w:spacing w:val="-56"/>
          <w:w w:val="115"/>
        </w:rPr>
        <w:t> </w:t>
      </w:r>
      <w:r>
        <w:rPr>
          <w:w w:val="115"/>
        </w:rPr>
        <w:t>riciklohen. Paleta drurit ripërdoren nga ana e kompanise për furnizim me paleta për prodhime të</w:t>
      </w:r>
      <w:r>
        <w:rPr>
          <w:spacing w:val="1"/>
          <w:w w:val="115"/>
        </w:rPr>
        <w:t> </w:t>
      </w:r>
      <w:r>
        <w:rPr>
          <w:w w:val="115"/>
        </w:rPr>
        <w:t>gatshme.</w:t>
      </w:r>
    </w:p>
    <w:p>
      <w:pPr>
        <w:pStyle w:val="BodyText"/>
      </w:pPr>
    </w:p>
    <w:p>
      <w:pPr>
        <w:pStyle w:val="BodyText"/>
        <w:ind w:left="880" w:right="1128"/>
      </w:pPr>
      <w:r>
        <w:rPr>
          <w:w w:val="115"/>
        </w:rPr>
        <w:t>Në tabelen e mëposhtme janë dhënë sasitë e mbetjeve të gjeneruara përgjatë vitit 2022, të cilat</w:t>
      </w:r>
      <w:r>
        <w:rPr>
          <w:spacing w:val="-55"/>
          <w:w w:val="115"/>
        </w:rPr>
        <w:t> </w:t>
      </w:r>
      <w:r>
        <w:rPr>
          <w:w w:val="115"/>
        </w:rPr>
        <w:t>janë larguar nga fabrika përmes kompanive te licencuara për menaxhimin e mbetjeve për</w:t>
      </w:r>
      <w:r>
        <w:rPr>
          <w:spacing w:val="1"/>
          <w:w w:val="115"/>
        </w:rPr>
        <w:t> </w:t>
      </w:r>
      <w:r>
        <w:rPr>
          <w:w w:val="115"/>
        </w:rPr>
        <w:t>kategori të ndryshme dhe sasia e mbetjeve të shfrytezuara në Sharrcem si lëndë të para</w:t>
      </w:r>
      <w:r>
        <w:rPr>
          <w:spacing w:val="1"/>
          <w:w w:val="115"/>
        </w:rPr>
        <w:t> </w:t>
      </w:r>
      <w:r>
        <w:rPr>
          <w:w w:val="115"/>
        </w:rPr>
        <w:t>alternative.</w:t>
      </w:r>
    </w:p>
    <w:p>
      <w:pPr>
        <w:pStyle w:val="BodyText"/>
        <w:spacing w:before="8"/>
      </w:pPr>
    </w:p>
    <w:p>
      <w:pPr>
        <w:pStyle w:val="Heading7"/>
        <w:spacing w:before="1"/>
      </w:pPr>
      <w:r>
        <w:rPr/>
        <w:t>Table</w:t>
      </w:r>
      <w:r>
        <w:rPr>
          <w:spacing w:val="-2"/>
        </w:rPr>
        <w:t> </w:t>
      </w:r>
      <w:r>
        <w:rPr/>
        <w:t>:5</w:t>
      </w:r>
    </w:p>
    <w:p>
      <w:pPr>
        <w:pStyle w:val="BodyText"/>
        <w:spacing w:before="6"/>
        <w:rPr>
          <w:b/>
          <w:sz w:val="7"/>
        </w:rPr>
      </w:pPr>
    </w:p>
    <w:tbl>
      <w:tblPr>
        <w:tblW w:w="0" w:type="auto"/>
        <w:jc w:val="left"/>
        <w:tblInd w:w="4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8"/>
        <w:gridCol w:w="1366"/>
        <w:gridCol w:w="908"/>
        <w:gridCol w:w="1181"/>
        <w:gridCol w:w="1090"/>
        <w:gridCol w:w="1181"/>
        <w:gridCol w:w="1183"/>
        <w:gridCol w:w="1347"/>
        <w:gridCol w:w="1296"/>
      </w:tblGrid>
      <w:tr>
        <w:trPr>
          <w:trHeight w:val="498" w:hRule="atLeast"/>
        </w:trPr>
        <w:tc>
          <w:tcPr>
            <w:tcW w:w="11000" w:type="dxa"/>
            <w:gridSpan w:val="9"/>
            <w:shd w:val="clear" w:color="auto" w:fill="00AF50"/>
          </w:tcPr>
          <w:p>
            <w:pPr>
              <w:pStyle w:val="TableParagraph"/>
              <w:spacing w:before="1"/>
              <w:ind w:left="4328" w:right="4322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GJENERIMI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I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> </w:t>
            </w:r>
            <w:r>
              <w:rPr>
                <w:rFonts w:ascii="Calibri"/>
                <w:b/>
                <w:color w:val="FFFFFF"/>
                <w:sz w:val="24"/>
              </w:rPr>
              <w:t>MBETJEVE</w:t>
            </w:r>
          </w:p>
        </w:tc>
      </w:tr>
      <w:tr>
        <w:trPr>
          <w:trHeight w:val="1108" w:hRule="atLeast"/>
        </w:trPr>
        <w:tc>
          <w:tcPr>
            <w:tcW w:w="1448" w:type="dxa"/>
            <w:shd w:val="clear" w:color="auto" w:fill="C5DFB3"/>
          </w:tcPr>
          <w:p>
            <w:pPr>
              <w:pStyle w:val="TableParagraph"/>
              <w:spacing w:line="219" w:lineRule="exact"/>
              <w:ind w:left="91" w:right="8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VITI</w:t>
            </w:r>
          </w:p>
        </w:tc>
        <w:tc>
          <w:tcPr>
            <w:tcW w:w="1366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309" w:right="30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b/>
                <w:sz w:val="18"/>
              </w:rPr>
              <w:t>Mbetje te</w:t>
            </w:r>
            <w:r>
              <w:rPr>
                <w:rFonts w:ascii="Calibri"/>
                <w:b/>
                <w:spacing w:val="-38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perziera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komunale</w:t>
            </w:r>
            <w:r>
              <w:rPr>
                <w:rFonts w:ascii="Calibri"/>
                <w:b/>
                <w:spacing w:val="-38"/>
                <w:sz w:val="18"/>
              </w:rPr>
              <w:t> </w:t>
            </w:r>
            <w:r>
              <w:rPr>
                <w:rFonts w:ascii="Calibri"/>
                <w:sz w:val="18"/>
              </w:rPr>
              <w:t>(t/y)</w:t>
            </w:r>
          </w:p>
        </w:tc>
        <w:tc>
          <w:tcPr>
            <w:tcW w:w="908" w:type="dxa"/>
            <w:shd w:val="clear" w:color="auto" w:fill="C5DFB3"/>
          </w:tcPr>
          <w:p>
            <w:pPr>
              <w:pStyle w:val="TableParagraph"/>
              <w:spacing w:line="219" w:lineRule="exact"/>
              <w:ind w:left="24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Scrap</w:t>
            </w:r>
          </w:p>
          <w:p>
            <w:pPr>
              <w:pStyle w:val="TableParagraph"/>
              <w:spacing w:before="5"/>
              <w:ind w:left="0"/>
              <w:rPr>
                <w:rFonts w:ascii="Calibri"/>
                <w:b/>
                <w:sz w:val="14"/>
              </w:rPr>
            </w:pPr>
          </w:p>
          <w:p>
            <w:pPr>
              <w:pStyle w:val="TableParagraph"/>
              <w:ind w:left="2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(t/y)</w:t>
            </w:r>
          </w:p>
        </w:tc>
        <w:tc>
          <w:tcPr>
            <w:tcW w:w="1181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185" w:right="174" w:firstLine="76"/>
              <w:jc w:val="both"/>
              <w:rPr>
                <w:rFonts w:ascii="Calibri"/>
                <w:sz w:val="18"/>
              </w:rPr>
            </w:pPr>
            <w:r>
              <w:rPr>
                <w:rFonts w:ascii="Calibri"/>
                <w:b/>
                <w:sz w:val="18"/>
              </w:rPr>
              <w:t>Tulla per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murim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te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furres</w:t>
            </w:r>
            <w:r>
              <w:rPr>
                <w:rFonts w:ascii="Calibri"/>
                <w:b/>
                <w:spacing w:val="-10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(</w:t>
            </w:r>
            <w:r>
              <w:rPr>
                <w:rFonts w:ascii="Calibri"/>
                <w:sz w:val="18"/>
              </w:rPr>
              <w:t>t/y)</w:t>
            </w:r>
          </w:p>
        </w:tc>
        <w:tc>
          <w:tcPr>
            <w:tcW w:w="1090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181" w:right="175" w:firstLine="45"/>
              <w:jc w:val="both"/>
              <w:rPr>
                <w:rFonts w:ascii="Calibri"/>
                <w:sz w:val="18"/>
              </w:rPr>
            </w:pPr>
            <w:r>
              <w:rPr>
                <w:rFonts w:ascii="Calibri"/>
                <w:b/>
                <w:sz w:val="18"/>
              </w:rPr>
              <w:t>Thase te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shkyer te</w:t>
            </w:r>
            <w:r>
              <w:rPr>
                <w:rFonts w:ascii="Calibri"/>
                <w:b/>
                <w:spacing w:val="-38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cem.</w:t>
            </w:r>
            <w:r>
              <w:rPr>
                <w:rFonts w:ascii="Calibri"/>
                <w:b/>
                <w:spacing w:val="-10"/>
                <w:sz w:val="18"/>
              </w:rPr>
              <w:t> </w:t>
            </w:r>
            <w:r>
              <w:rPr>
                <w:rFonts w:ascii="Calibri"/>
                <w:sz w:val="18"/>
              </w:rPr>
              <w:t>(t/y)</w:t>
            </w:r>
          </w:p>
        </w:tc>
        <w:tc>
          <w:tcPr>
            <w:tcW w:w="1181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140" w:right="127" w:firstLine="93"/>
              <w:rPr>
                <w:rFonts w:ascii="Calibri"/>
                <w:sz w:val="18"/>
              </w:rPr>
            </w:pPr>
            <w:r>
              <w:rPr>
                <w:rFonts w:ascii="Calibri"/>
                <w:b/>
                <w:sz w:val="18"/>
              </w:rPr>
              <w:t>Leter dhe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karton</w:t>
            </w:r>
            <w:r>
              <w:rPr>
                <w:rFonts w:ascii="Calibri"/>
                <w:b/>
                <w:spacing w:val="27"/>
                <w:sz w:val="18"/>
              </w:rPr>
              <w:t> </w:t>
            </w:r>
            <w:r>
              <w:rPr>
                <w:rFonts w:ascii="Calibri"/>
                <w:sz w:val="18"/>
              </w:rPr>
              <w:t>(t/y)</w:t>
            </w:r>
          </w:p>
        </w:tc>
        <w:tc>
          <w:tcPr>
            <w:tcW w:w="1183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159" w:right="154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b/>
                <w:sz w:val="18"/>
              </w:rPr>
              <w:t>Mbetje nga</w:t>
            </w:r>
            <w:r>
              <w:rPr>
                <w:rFonts w:ascii="Calibri"/>
                <w:b/>
                <w:spacing w:val="-38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demolimet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sz w:val="18"/>
              </w:rPr>
              <w:t>(t/y)</w:t>
            </w:r>
          </w:p>
        </w:tc>
        <w:tc>
          <w:tcPr>
            <w:tcW w:w="1347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183" w:right="173" w:firstLine="154"/>
              <w:rPr>
                <w:rFonts w:ascii="Calibri"/>
                <w:sz w:val="18"/>
              </w:rPr>
            </w:pPr>
            <w:r>
              <w:rPr>
                <w:rFonts w:ascii="Calibri"/>
                <w:b/>
                <w:sz w:val="18"/>
              </w:rPr>
              <w:t>Paleta te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drurit</w:t>
            </w:r>
            <w:r>
              <w:rPr>
                <w:rFonts w:ascii="Calibri"/>
                <w:b/>
                <w:spacing w:val="27"/>
                <w:sz w:val="18"/>
              </w:rPr>
              <w:t> </w:t>
            </w:r>
            <w:r>
              <w:rPr>
                <w:rFonts w:ascii="Calibri"/>
                <w:sz w:val="18"/>
              </w:rPr>
              <w:t>(m</w:t>
            </w:r>
            <w:r>
              <w:rPr>
                <w:rFonts w:ascii="Calibri"/>
                <w:position w:val="5"/>
                <w:sz w:val="12"/>
              </w:rPr>
              <w:t>3</w:t>
            </w:r>
            <w:r>
              <w:rPr>
                <w:rFonts w:ascii="Calibri"/>
                <w:sz w:val="18"/>
              </w:rPr>
              <w:t>/y)</w:t>
            </w:r>
          </w:p>
        </w:tc>
        <w:tc>
          <w:tcPr>
            <w:tcW w:w="1296" w:type="dxa"/>
            <w:shd w:val="clear" w:color="auto" w:fill="C5DFB3"/>
          </w:tcPr>
          <w:p>
            <w:pPr>
              <w:pStyle w:val="TableParagraph"/>
              <w:spacing w:line="256" w:lineRule="auto" w:before="1"/>
              <w:ind w:left="310" w:right="305" w:firstLine="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Vajra te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perdorur</w:t>
            </w:r>
          </w:p>
          <w:p>
            <w:pPr>
              <w:pStyle w:val="TableParagraph"/>
              <w:spacing w:before="161"/>
              <w:ind w:left="306" w:right="30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(t/y)</w:t>
            </w:r>
          </w:p>
        </w:tc>
      </w:tr>
      <w:tr>
        <w:trPr>
          <w:trHeight w:val="395" w:hRule="atLeast"/>
        </w:trPr>
        <w:tc>
          <w:tcPr>
            <w:tcW w:w="1448" w:type="dxa"/>
          </w:tcPr>
          <w:p>
            <w:pPr>
              <w:pStyle w:val="TableParagraph"/>
              <w:spacing w:line="219" w:lineRule="exact"/>
              <w:ind w:left="91" w:right="139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Kodi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I</w:t>
            </w:r>
            <w:r>
              <w:rPr>
                <w:rFonts w:ascii="Calibri"/>
                <w:b/>
                <w:spacing w:val="-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mbetjeve</w:t>
            </w:r>
          </w:p>
        </w:tc>
        <w:tc>
          <w:tcPr>
            <w:tcW w:w="1366" w:type="dxa"/>
          </w:tcPr>
          <w:p>
            <w:pPr>
              <w:pStyle w:val="TableParagraph"/>
              <w:spacing w:line="219" w:lineRule="exact"/>
              <w:ind w:left="307" w:right="30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200108</w:t>
            </w:r>
          </w:p>
        </w:tc>
        <w:tc>
          <w:tcPr>
            <w:tcW w:w="908" w:type="dxa"/>
          </w:tcPr>
          <w:p>
            <w:pPr>
              <w:pStyle w:val="TableParagraph"/>
              <w:spacing w:line="219" w:lineRule="exact"/>
              <w:ind w:left="158" w:right="15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170405</w:t>
            </w:r>
          </w:p>
        </w:tc>
        <w:tc>
          <w:tcPr>
            <w:tcW w:w="1181" w:type="dxa"/>
          </w:tcPr>
          <w:p>
            <w:pPr>
              <w:pStyle w:val="TableParagraph"/>
              <w:spacing w:line="219" w:lineRule="exact"/>
              <w:ind w:left="295" w:right="288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101308</w:t>
            </w:r>
          </w:p>
        </w:tc>
        <w:tc>
          <w:tcPr>
            <w:tcW w:w="1090" w:type="dxa"/>
          </w:tcPr>
          <w:p>
            <w:pPr>
              <w:pStyle w:val="TableParagraph"/>
              <w:spacing w:line="219" w:lineRule="exact"/>
              <w:ind w:left="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/</w:t>
            </w:r>
          </w:p>
        </w:tc>
        <w:tc>
          <w:tcPr>
            <w:tcW w:w="1181" w:type="dxa"/>
          </w:tcPr>
          <w:p>
            <w:pPr>
              <w:pStyle w:val="TableParagraph"/>
              <w:spacing w:line="219" w:lineRule="exact"/>
              <w:ind w:left="295" w:right="288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150101</w:t>
            </w:r>
          </w:p>
        </w:tc>
        <w:tc>
          <w:tcPr>
            <w:tcW w:w="1183" w:type="dxa"/>
          </w:tcPr>
          <w:p>
            <w:pPr>
              <w:pStyle w:val="TableParagraph"/>
              <w:spacing w:line="219" w:lineRule="exact"/>
              <w:ind w:left="158" w:right="154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885032</w:t>
            </w:r>
          </w:p>
        </w:tc>
        <w:tc>
          <w:tcPr>
            <w:tcW w:w="1347" w:type="dxa"/>
          </w:tcPr>
          <w:p>
            <w:pPr>
              <w:pStyle w:val="TableParagraph"/>
              <w:spacing w:line="219" w:lineRule="exact"/>
              <w:ind w:left="377" w:right="37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150103</w:t>
            </w:r>
          </w:p>
        </w:tc>
        <w:tc>
          <w:tcPr>
            <w:tcW w:w="1296" w:type="dxa"/>
          </w:tcPr>
          <w:p>
            <w:pPr>
              <w:pStyle w:val="TableParagraph"/>
              <w:spacing w:line="219" w:lineRule="exact"/>
              <w:ind w:left="306" w:right="30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130205*</w:t>
            </w:r>
          </w:p>
        </w:tc>
      </w:tr>
      <w:tr>
        <w:trPr>
          <w:trHeight w:val="398" w:hRule="atLeast"/>
        </w:trPr>
        <w:tc>
          <w:tcPr>
            <w:tcW w:w="1448" w:type="dxa"/>
          </w:tcPr>
          <w:p>
            <w:pPr>
              <w:pStyle w:val="TableParagraph"/>
              <w:spacing w:line="219" w:lineRule="exact"/>
              <w:ind w:left="91" w:right="8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2022</w:t>
            </w:r>
          </w:p>
        </w:tc>
        <w:tc>
          <w:tcPr>
            <w:tcW w:w="1366" w:type="dxa"/>
          </w:tcPr>
          <w:p>
            <w:pPr>
              <w:pStyle w:val="TableParagraph"/>
              <w:spacing w:line="219" w:lineRule="exact"/>
              <w:ind w:left="304" w:right="30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47.79</w:t>
            </w:r>
          </w:p>
        </w:tc>
        <w:tc>
          <w:tcPr>
            <w:tcW w:w="908" w:type="dxa"/>
          </w:tcPr>
          <w:p>
            <w:pPr>
              <w:pStyle w:val="TableParagraph"/>
              <w:spacing w:line="219" w:lineRule="exact"/>
              <w:ind w:left="155" w:right="15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211.82</w:t>
            </w:r>
          </w:p>
        </w:tc>
        <w:tc>
          <w:tcPr>
            <w:tcW w:w="1181" w:type="dxa"/>
          </w:tcPr>
          <w:p>
            <w:pPr>
              <w:pStyle w:val="TableParagraph"/>
              <w:spacing w:line="219" w:lineRule="exact"/>
              <w:ind w:left="293" w:right="28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233.2</w:t>
            </w:r>
          </w:p>
        </w:tc>
        <w:tc>
          <w:tcPr>
            <w:tcW w:w="1090" w:type="dxa"/>
          </w:tcPr>
          <w:p>
            <w:pPr>
              <w:pStyle w:val="TableParagraph"/>
              <w:spacing w:line="219" w:lineRule="exact"/>
              <w:ind w:left="362" w:right="35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15.4</w:t>
            </w:r>
          </w:p>
        </w:tc>
        <w:tc>
          <w:tcPr>
            <w:tcW w:w="1181" w:type="dxa"/>
          </w:tcPr>
          <w:p>
            <w:pPr>
              <w:pStyle w:val="TableParagraph"/>
              <w:spacing w:line="219" w:lineRule="exact"/>
              <w:ind w:left="292" w:right="28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2.5</w:t>
            </w:r>
          </w:p>
        </w:tc>
        <w:tc>
          <w:tcPr>
            <w:tcW w:w="1183" w:type="dxa"/>
          </w:tcPr>
          <w:p>
            <w:pPr>
              <w:pStyle w:val="TableParagraph"/>
              <w:spacing w:line="219" w:lineRule="exact"/>
              <w:ind w:left="156" w:right="154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466.4</w:t>
            </w:r>
          </w:p>
        </w:tc>
        <w:tc>
          <w:tcPr>
            <w:tcW w:w="1347" w:type="dxa"/>
          </w:tcPr>
          <w:p>
            <w:pPr>
              <w:pStyle w:val="TableParagraph"/>
              <w:spacing w:line="219" w:lineRule="exact"/>
              <w:ind w:left="375" w:right="37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3.86</w:t>
            </w:r>
          </w:p>
        </w:tc>
        <w:tc>
          <w:tcPr>
            <w:tcW w:w="1296" w:type="dxa"/>
          </w:tcPr>
          <w:p>
            <w:pPr>
              <w:pStyle w:val="TableParagraph"/>
              <w:spacing w:line="219" w:lineRule="exact"/>
              <w:ind w:left="305" w:right="30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0.5</w:t>
            </w:r>
          </w:p>
        </w:tc>
      </w:tr>
    </w:tbl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spacing w:before="0" w:after="7"/>
        <w:ind w:left="1238" w:right="0" w:firstLine="0"/>
        <w:jc w:val="left"/>
        <w:rPr>
          <w:b/>
          <w:sz w:val="22"/>
        </w:rPr>
      </w:pPr>
      <w:r>
        <w:rPr>
          <w:b/>
          <w:sz w:val="22"/>
        </w:rPr>
        <w:t>Table:6</w:t>
      </w:r>
    </w:p>
    <w:tbl>
      <w:tblPr>
        <w:tblW w:w="0" w:type="auto"/>
        <w:jc w:val="left"/>
        <w:tblInd w:w="4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6"/>
        <w:gridCol w:w="2014"/>
        <w:gridCol w:w="2419"/>
        <w:gridCol w:w="2282"/>
        <w:gridCol w:w="2152"/>
      </w:tblGrid>
      <w:tr>
        <w:trPr>
          <w:trHeight w:val="496" w:hRule="atLeast"/>
        </w:trPr>
        <w:tc>
          <w:tcPr>
            <w:tcW w:w="11063" w:type="dxa"/>
            <w:gridSpan w:val="5"/>
            <w:shd w:val="clear" w:color="auto" w:fill="00AF50"/>
          </w:tcPr>
          <w:p>
            <w:pPr>
              <w:pStyle w:val="TableParagraph"/>
              <w:spacing w:line="292" w:lineRule="exact"/>
              <w:ind w:left="4247" w:right="423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FFFFFF"/>
                <w:sz w:val="24"/>
              </w:rPr>
              <w:t>SHFRYTËZIMI</w:t>
            </w:r>
            <w:r>
              <w:rPr>
                <w:rFonts w:ascii="Calibri" w:hAns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I</w:t>
            </w:r>
            <w:r>
              <w:rPr>
                <w:rFonts w:ascii="Calibri" w:hAnsi="Calibri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MBETJEVE</w:t>
            </w:r>
          </w:p>
        </w:tc>
      </w:tr>
      <w:tr>
        <w:trPr>
          <w:trHeight w:val="400" w:hRule="atLeast"/>
        </w:trPr>
        <w:tc>
          <w:tcPr>
            <w:tcW w:w="2196" w:type="dxa"/>
            <w:shd w:val="clear" w:color="auto" w:fill="C5DFB3"/>
          </w:tcPr>
          <w:p>
            <w:pPr>
              <w:pStyle w:val="TableParagraph"/>
              <w:spacing w:line="219" w:lineRule="exact"/>
              <w:ind w:left="493" w:right="48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VITI</w:t>
            </w:r>
          </w:p>
        </w:tc>
        <w:tc>
          <w:tcPr>
            <w:tcW w:w="2014" w:type="dxa"/>
            <w:shd w:val="clear" w:color="auto" w:fill="C5DFB3"/>
          </w:tcPr>
          <w:p>
            <w:pPr>
              <w:pStyle w:val="TableParagraph"/>
              <w:spacing w:before="1"/>
              <w:ind w:left="521" w:right="514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FLY ASH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(t/y)</w:t>
            </w:r>
          </w:p>
        </w:tc>
        <w:tc>
          <w:tcPr>
            <w:tcW w:w="2419" w:type="dxa"/>
            <w:shd w:val="clear" w:color="auto" w:fill="C5DFB3"/>
          </w:tcPr>
          <w:p>
            <w:pPr>
              <w:pStyle w:val="TableParagraph"/>
              <w:spacing w:before="1"/>
              <w:ind w:left="518" w:right="509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BOTTOM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ASH</w:t>
            </w:r>
            <w:r>
              <w:rPr>
                <w:rFonts w:ascii="Calibri Light"/>
                <w:spacing w:val="-1"/>
                <w:sz w:val="18"/>
              </w:rPr>
              <w:t> </w:t>
            </w:r>
            <w:r>
              <w:rPr>
                <w:rFonts w:ascii="Calibri Light"/>
                <w:sz w:val="18"/>
              </w:rPr>
              <w:t>(t/y)</w:t>
            </w:r>
          </w:p>
        </w:tc>
        <w:tc>
          <w:tcPr>
            <w:tcW w:w="2282" w:type="dxa"/>
            <w:shd w:val="clear" w:color="auto" w:fill="C5DFB3"/>
          </w:tcPr>
          <w:p>
            <w:pPr>
              <w:pStyle w:val="TableParagraph"/>
              <w:spacing w:before="1"/>
              <w:ind w:left="535" w:right="522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PYRITE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ASH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(t/y)</w:t>
            </w:r>
          </w:p>
        </w:tc>
        <w:tc>
          <w:tcPr>
            <w:tcW w:w="2152" w:type="dxa"/>
            <w:shd w:val="clear" w:color="auto" w:fill="C5DFB3"/>
          </w:tcPr>
          <w:p>
            <w:pPr>
              <w:pStyle w:val="TableParagraph"/>
              <w:spacing w:before="1"/>
              <w:ind w:left="140" w:right="126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REFRACTORY</w:t>
            </w:r>
            <w:r>
              <w:rPr>
                <w:rFonts w:ascii="Calibri Light"/>
                <w:spacing w:val="-4"/>
                <w:sz w:val="18"/>
              </w:rPr>
              <w:t> </w:t>
            </w:r>
            <w:r>
              <w:rPr>
                <w:rFonts w:ascii="Calibri Light"/>
                <w:sz w:val="18"/>
              </w:rPr>
              <w:t>BRICKS</w:t>
            </w:r>
            <w:r>
              <w:rPr>
                <w:rFonts w:ascii="Calibri Light"/>
                <w:spacing w:val="-4"/>
                <w:sz w:val="18"/>
              </w:rPr>
              <w:t> </w:t>
            </w:r>
            <w:r>
              <w:rPr>
                <w:rFonts w:ascii="Calibri Light"/>
                <w:sz w:val="18"/>
              </w:rPr>
              <w:t>(t/y)</w:t>
            </w:r>
          </w:p>
        </w:tc>
      </w:tr>
      <w:tr>
        <w:trPr>
          <w:trHeight w:val="398" w:hRule="atLeast"/>
        </w:trPr>
        <w:tc>
          <w:tcPr>
            <w:tcW w:w="2196" w:type="dxa"/>
          </w:tcPr>
          <w:p>
            <w:pPr>
              <w:pStyle w:val="TableParagraph"/>
              <w:spacing w:line="219" w:lineRule="exact"/>
              <w:ind w:left="493" w:right="48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Kodi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I</w:t>
            </w:r>
            <w:r>
              <w:rPr>
                <w:rFonts w:ascii="Calibri"/>
                <w:b/>
                <w:spacing w:val="-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mbetjeve</w:t>
            </w:r>
          </w:p>
        </w:tc>
        <w:tc>
          <w:tcPr>
            <w:tcW w:w="2014" w:type="dxa"/>
          </w:tcPr>
          <w:p>
            <w:pPr>
              <w:pStyle w:val="TableParagraph"/>
              <w:spacing w:line="219" w:lineRule="exact"/>
              <w:ind w:left="521" w:right="514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10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01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02</w:t>
            </w:r>
          </w:p>
        </w:tc>
        <w:tc>
          <w:tcPr>
            <w:tcW w:w="2419" w:type="dxa"/>
          </w:tcPr>
          <w:p>
            <w:pPr>
              <w:pStyle w:val="TableParagraph"/>
              <w:spacing w:line="219" w:lineRule="exact"/>
              <w:ind w:left="518" w:right="508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10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01</w:t>
            </w:r>
            <w:r>
              <w:rPr>
                <w:rFonts w:ascii="Calibri Light"/>
                <w:spacing w:val="-2"/>
                <w:sz w:val="18"/>
              </w:rPr>
              <w:t> </w:t>
            </w:r>
            <w:r>
              <w:rPr>
                <w:rFonts w:ascii="Calibri Light"/>
                <w:sz w:val="18"/>
              </w:rPr>
              <w:t>01</w:t>
            </w:r>
          </w:p>
        </w:tc>
        <w:tc>
          <w:tcPr>
            <w:tcW w:w="2282" w:type="dxa"/>
          </w:tcPr>
          <w:p>
            <w:pPr>
              <w:pStyle w:val="TableParagraph"/>
              <w:spacing w:line="219" w:lineRule="exact"/>
              <w:ind w:left="12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/</w:t>
            </w:r>
          </w:p>
        </w:tc>
        <w:tc>
          <w:tcPr>
            <w:tcW w:w="2152" w:type="dxa"/>
          </w:tcPr>
          <w:p>
            <w:pPr>
              <w:pStyle w:val="TableParagraph"/>
              <w:spacing w:line="219" w:lineRule="exact"/>
              <w:ind w:left="138" w:right="126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101308</w:t>
            </w:r>
          </w:p>
        </w:tc>
      </w:tr>
      <w:tr>
        <w:trPr>
          <w:trHeight w:val="397" w:hRule="atLeast"/>
        </w:trPr>
        <w:tc>
          <w:tcPr>
            <w:tcW w:w="2196" w:type="dxa"/>
          </w:tcPr>
          <w:p>
            <w:pPr>
              <w:pStyle w:val="TableParagraph"/>
              <w:spacing w:line="219" w:lineRule="exact"/>
              <w:ind w:left="493" w:right="48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2022</w:t>
            </w:r>
          </w:p>
        </w:tc>
        <w:tc>
          <w:tcPr>
            <w:tcW w:w="2014" w:type="dxa"/>
          </w:tcPr>
          <w:p>
            <w:pPr>
              <w:pStyle w:val="TableParagraph"/>
              <w:spacing w:line="219" w:lineRule="exact"/>
              <w:ind w:left="521" w:right="51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96926.50</w:t>
            </w:r>
          </w:p>
        </w:tc>
        <w:tc>
          <w:tcPr>
            <w:tcW w:w="2419" w:type="dxa"/>
          </w:tcPr>
          <w:p>
            <w:pPr>
              <w:pStyle w:val="TableParagraph"/>
              <w:spacing w:line="219" w:lineRule="exact"/>
              <w:ind w:left="518" w:right="50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9,944.12</w:t>
            </w:r>
          </w:p>
        </w:tc>
        <w:tc>
          <w:tcPr>
            <w:tcW w:w="2282" w:type="dxa"/>
          </w:tcPr>
          <w:p>
            <w:pPr>
              <w:pStyle w:val="TableParagraph"/>
              <w:spacing w:line="219" w:lineRule="exact"/>
              <w:ind w:left="531" w:right="52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2,393.67</w:t>
            </w:r>
          </w:p>
        </w:tc>
        <w:tc>
          <w:tcPr>
            <w:tcW w:w="2152" w:type="dxa"/>
          </w:tcPr>
          <w:p>
            <w:pPr>
              <w:pStyle w:val="TableParagraph"/>
              <w:spacing w:line="219" w:lineRule="exact"/>
              <w:ind w:left="12"/>
              <w:jc w:val="center"/>
              <w:rPr>
                <w:rFonts w:ascii="Calibri Light"/>
                <w:sz w:val="18"/>
              </w:rPr>
            </w:pPr>
            <w:r>
              <w:rPr>
                <w:rFonts w:ascii="Calibri Light"/>
                <w:sz w:val="18"/>
              </w:rPr>
              <w:t>0</w:t>
            </w:r>
          </w:p>
        </w:tc>
      </w:tr>
    </w:tbl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88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pgSz w:w="12240" w:h="15840"/>
          <w:pgMar w:top="36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102"/>
        <w:ind w:left="880" w:right="0" w:firstLine="0"/>
        <w:jc w:val="left"/>
        <w:rPr>
          <w:sz w:val="64"/>
        </w:rPr>
      </w:pPr>
      <w:r>
        <w:rPr/>
        <w:pict>
          <v:shape style="position:absolute;margin-left:517.099976pt;margin-top:-34.531227pt;width:82.15pt;height:69.75pt;mso-position-horizontal-relative:page;mso-position-vertical-relative:paragraph;z-index:15769600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9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001F5F"/>
          <w:sz w:val="64"/>
        </w:rPr>
        <w:t>CSI</w:t>
      </w:r>
      <w:r>
        <w:rPr>
          <w:color w:val="001F5F"/>
          <w:spacing w:val="-3"/>
          <w:sz w:val="64"/>
        </w:rPr>
        <w:t> </w:t>
      </w:r>
      <w:r>
        <w:rPr>
          <w:color w:val="001F5F"/>
          <w:sz w:val="64"/>
        </w:rPr>
        <w:t>dhe</w:t>
      </w:r>
      <w:r>
        <w:rPr>
          <w:color w:val="001F5F"/>
          <w:spacing w:val="-1"/>
          <w:sz w:val="64"/>
        </w:rPr>
        <w:t> </w:t>
      </w:r>
      <w:r>
        <w:rPr>
          <w:color w:val="001F5F"/>
          <w:sz w:val="64"/>
        </w:rPr>
        <w:t>Ndryshimet</w:t>
      </w:r>
      <w:r>
        <w:rPr>
          <w:color w:val="001F5F"/>
          <w:spacing w:val="-3"/>
          <w:sz w:val="64"/>
        </w:rPr>
        <w:t> </w:t>
      </w:r>
      <w:r>
        <w:rPr>
          <w:color w:val="001F5F"/>
          <w:sz w:val="64"/>
        </w:rPr>
        <w:t>Klimatike</w:t>
      </w:r>
    </w:p>
    <w:p>
      <w:pPr>
        <w:pStyle w:val="BodyText"/>
        <w:spacing w:before="117"/>
        <w:ind w:left="880" w:right="6170"/>
        <w:rPr>
          <w:rFonts w:ascii="Arial MT" w:hAnsi="Arial MT"/>
        </w:rPr>
      </w:pPr>
      <w:r>
        <w:rPr>
          <w:rFonts w:ascii="Arial MT" w:hAnsi="Arial MT"/>
        </w:rPr>
        <w:t>TITAN Group Fusha 3 e GHG Emissionev 2022 –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  <w:color w:val="006FC0"/>
        </w:rPr>
        <w:t>Sharrcem</w:t>
      </w:r>
    </w:p>
    <w:p>
      <w:pPr>
        <w:spacing w:after="0"/>
        <w:rPr>
          <w:rFonts w:ascii="Arial MT" w:hAnsi="Arial MT"/>
        </w:rPr>
        <w:sectPr>
          <w:pgSz w:w="12240" w:h="15840"/>
          <w:pgMar w:top="360" w:bottom="280" w:left="200" w:right="140"/>
        </w:sectPr>
      </w:pPr>
    </w:p>
    <w:p>
      <w:pPr>
        <w:pStyle w:val="BodyText"/>
        <w:spacing w:before="10"/>
        <w:rPr>
          <w:rFonts w:ascii="Arial MT"/>
          <w:sz w:val="26"/>
        </w:rPr>
      </w:pPr>
    </w:p>
    <w:p>
      <w:pPr>
        <w:pStyle w:val="BodyText"/>
        <w:spacing w:line="276" w:lineRule="auto"/>
        <w:ind w:left="880" w:right="1"/>
        <w:jc w:val="both"/>
      </w:pPr>
      <w:r>
        <w:rPr>
          <w:w w:val="115"/>
        </w:rPr>
        <w:t>Për</w:t>
      </w:r>
      <w:r>
        <w:rPr>
          <w:spacing w:val="-4"/>
          <w:w w:val="115"/>
        </w:rPr>
        <w:t> </w:t>
      </w:r>
      <w:r>
        <w:rPr>
          <w:w w:val="115"/>
        </w:rPr>
        <w:t>herë</w:t>
      </w:r>
      <w:r>
        <w:rPr>
          <w:spacing w:val="-2"/>
          <w:w w:val="115"/>
        </w:rPr>
        <w:t> </w:t>
      </w:r>
      <w:r>
        <w:rPr>
          <w:w w:val="115"/>
        </w:rPr>
        <w:t>të</w:t>
      </w:r>
      <w:r>
        <w:rPr>
          <w:spacing w:val="-1"/>
          <w:w w:val="115"/>
        </w:rPr>
        <w:t> </w:t>
      </w:r>
      <w:r>
        <w:rPr>
          <w:w w:val="115"/>
        </w:rPr>
        <w:t>parë</w:t>
      </w:r>
      <w:r>
        <w:rPr>
          <w:spacing w:val="-1"/>
          <w:w w:val="115"/>
        </w:rPr>
        <w:t> </w:t>
      </w:r>
      <w:r>
        <w:rPr>
          <w:w w:val="115"/>
        </w:rPr>
        <w:t>që</w:t>
      </w:r>
      <w:r>
        <w:rPr>
          <w:spacing w:val="-1"/>
          <w:w w:val="115"/>
        </w:rPr>
        <w:t> </w:t>
      </w:r>
      <w:r>
        <w:rPr>
          <w:w w:val="115"/>
        </w:rPr>
        <w:t>nga</w:t>
      </w:r>
      <w:r>
        <w:rPr>
          <w:spacing w:val="-2"/>
          <w:w w:val="115"/>
        </w:rPr>
        <w:t> </w:t>
      </w:r>
      <w:r>
        <w:rPr>
          <w:w w:val="115"/>
        </w:rPr>
        <w:t>viti</w:t>
      </w:r>
      <w:r>
        <w:rPr>
          <w:spacing w:val="-4"/>
          <w:w w:val="115"/>
        </w:rPr>
        <w:t> </w:t>
      </w:r>
      <w:r>
        <w:rPr>
          <w:w w:val="115"/>
        </w:rPr>
        <w:t>2020,me</w:t>
      </w:r>
      <w:r>
        <w:rPr>
          <w:spacing w:val="-3"/>
          <w:w w:val="115"/>
        </w:rPr>
        <w:t> </w:t>
      </w:r>
      <w:r>
        <w:rPr>
          <w:w w:val="115"/>
        </w:rPr>
        <w:t>kërkesë</w:t>
      </w:r>
      <w:r>
        <w:rPr>
          <w:spacing w:val="-5"/>
          <w:w w:val="115"/>
        </w:rPr>
        <w:t> </w:t>
      </w:r>
      <w:r>
        <w:rPr>
          <w:w w:val="115"/>
        </w:rPr>
        <w:t>të</w:t>
      </w:r>
      <w:r>
        <w:rPr>
          <w:spacing w:val="-54"/>
          <w:w w:val="115"/>
        </w:rPr>
        <w:t> </w:t>
      </w:r>
      <w:r>
        <w:rPr>
          <w:w w:val="115"/>
        </w:rPr>
        <w:t>TITAN Grupes</w:t>
      </w:r>
      <w:r>
        <w:rPr>
          <w:spacing w:val="1"/>
          <w:w w:val="115"/>
        </w:rPr>
        <w:t> </w:t>
      </w:r>
      <w:r>
        <w:rPr>
          <w:w w:val="115"/>
        </w:rPr>
        <w:t>është filluar</w:t>
      </w:r>
      <w:r>
        <w:rPr>
          <w:spacing w:val="1"/>
          <w:w w:val="115"/>
        </w:rPr>
        <w:t> </w:t>
      </w:r>
      <w:r>
        <w:rPr>
          <w:w w:val="115"/>
        </w:rPr>
        <w:t>me monitorimin e</w:t>
      </w:r>
      <w:r>
        <w:rPr>
          <w:spacing w:val="1"/>
          <w:w w:val="115"/>
        </w:rPr>
        <w:t> </w:t>
      </w:r>
      <w:r>
        <w:rPr>
          <w:w w:val="115"/>
        </w:rPr>
        <w:t>emetimeve</w:t>
      </w:r>
      <w:r>
        <w:rPr>
          <w:spacing w:val="1"/>
          <w:w w:val="115"/>
        </w:rPr>
        <w:t> </w:t>
      </w:r>
      <w:r>
        <w:rPr>
          <w:w w:val="115"/>
        </w:rPr>
        <w:t>dhe</w:t>
      </w:r>
      <w:r>
        <w:rPr>
          <w:spacing w:val="1"/>
          <w:w w:val="115"/>
        </w:rPr>
        <w:t> </w:t>
      </w:r>
      <w:r>
        <w:rPr>
          <w:w w:val="115"/>
        </w:rPr>
        <w:t>raportimin</w:t>
      </w:r>
      <w:r>
        <w:rPr>
          <w:spacing w:val="1"/>
          <w:w w:val="115"/>
        </w:rPr>
        <w:t> </w:t>
      </w:r>
      <w:r>
        <w:rPr>
          <w:w w:val="115"/>
        </w:rPr>
        <w:t>e</w:t>
      </w:r>
      <w:r>
        <w:rPr>
          <w:spacing w:val="1"/>
          <w:w w:val="115"/>
        </w:rPr>
        <w:t> </w:t>
      </w:r>
      <w:r>
        <w:rPr>
          <w:w w:val="115"/>
        </w:rPr>
        <w:t>fushës</w:t>
      </w:r>
      <w:r>
        <w:rPr>
          <w:spacing w:val="1"/>
          <w:w w:val="115"/>
        </w:rPr>
        <w:t> </w:t>
      </w:r>
      <w:r>
        <w:rPr>
          <w:w w:val="115"/>
        </w:rPr>
        <w:t>3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-55"/>
          <w:w w:val="115"/>
        </w:rPr>
        <w:t> </w:t>
      </w:r>
      <w:r>
        <w:rPr>
          <w:w w:val="115"/>
        </w:rPr>
        <w:t>emetimeve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CO2</w:t>
      </w:r>
      <w:r>
        <w:rPr>
          <w:spacing w:val="1"/>
          <w:w w:val="115"/>
        </w:rPr>
        <w:t> </w:t>
      </w:r>
      <w:r>
        <w:rPr>
          <w:w w:val="115"/>
        </w:rPr>
        <w:t>dhe</w:t>
      </w:r>
      <w:r>
        <w:rPr>
          <w:spacing w:val="1"/>
          <w:w w:val="115"/>
        </w:rPr>
        <w:t> </w:t>
      </w:r>
      <w:r>
        <w:rPr>
          <w:w w:val="115"/>
        </w:rPr>
        <w:t>grumbullimi</w:t>
      </w:r>
      <w:r>
        <w:rPr>
          <w:spacing w:val="1"/>
          <w:w w:val="115"/>
        </w:rPr>
        <w:t> </w:t>
      </w:r>
      <w:r>
        <w:rPr>
          <w:w w:val="115"/>
        </w:rPr>
        <w:t>i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dhënave</w:t>
      </w:r>
      <w:r>
        <w:rPr>
          <w:spacing w:val="1"/>
          <w:w w:val="115"/>
        </w:rPr>
        <w:t> </w:t>
      </w:r>
      <w:r>
        <w:rPr>
          <w:w w:val="115"/>
        </w:rPr>
        <w:t>është</w:t>
      </w:r>
      <w:r>
        <w:rPr>
          <w:spacing w:val="1"/>
          <w:w w:val="115"/>
        </w:rPr>
        <w:t> </w:t>
      </w:r>
      <w:r>
        <w:rPr>
          <w:w w:val="115"/>
        </w:rPr>
        <w:t>raportuar</w:t>
      </w:r>
      <w:r>
        <w:rPr>
          <w:spacing w:val="1"/>
          <w:w w:val="115"/>
        </w:rPr>
        <w:t> </w:t>
      </w:r>
      <w:r>
        <w:rPr>
          <w:w w:val="115"/>
        </w:rPr>
        <w:t>për</w:t>
      </w:r>
      <w:r>
        <w:rPr>
          <w:spacing w:val="1"/>
          <w:w w:val="115"/>
        </w:rPr>
        <w:t> </w:t>
      </w:r>
      <w:r>
        <w:rPr>
          <w:w w:val="115"/>
        </w:rPr>
        <w:t>vitin</w:t>
      </w:r>
      <w:r>
        <w:rPr>
          <w:spacing w:val="1"/>
          <w:w w:val="115"/>
        </w:rPr>
        <w:t> </w:t>
      </w:r>
      <w:r>
        <w:rPr>
          <w:w w:val="115"/>
        </w:rPr>
        <w:t>2022</w:t>
      </w:r>
      <w:r>
        <w:rPr>
          <w:spacing w:val="1"/>
          <w:w w:val="115"/>
        </w:rPr>
        <w:t> </w:t>
      </w:r>
      <w:r>
        <w:rPr>
          <w:w w:val="115"/>
        </w:rPr>
        <w:t>në</w:t>
      </w:r>
      <w:r>
        <w:rPr>
          <w:spacing w:val="1"/>
          <w:w w:val="115"/>
        </w:rPr>
        <w:t> </w:t>
      </w:r>
      <w:r>
        <w:rPr>
          <w:w w:val="115"/>
        </w:rPr>
        <w:t>Raportin</w:t>
      </w:r>
      <w:r>
        <w:rPr>
          <w:spacing w:val="-2"/>
          <w:w w:val="115"/>
        </w:rPr>
        <w:t> </w:t>
      </w:r>
      <w:r>
        <w:rPr>
          <w:w w:val="115"/>
        </w:rPr>
        <w:t>Vjetor</w:t>
      </w:r>
      <w:r>
        <w:rPr>
          <w:spacing w:val="-2"/>
          <w:w w:val="115"/>
        </w:rPr>
        <w:t> </w:t>
      </w:r>
      <w:r>
        <w:rPr>
          <w:w w:val="115"/>
        </w:rPr>
        <w:t>të Integruar të Grupit.</w:t>
      </w:r>
    </w:p>
    <w:p>
      <w:pPr>
        <w:pStyle w:val="BodyText"/>
        <w:spacing w:line="276" w:lineRule="auto"/>
        <w:ind w:left="880"/>
        <w:jc w:val="both"/>
      </w:pPr>
      <w:r>
        <w:rPr>
          <w:w w:val="115"/>
        </w:rPr>
        <w:t>Për më tepër, ata do të jenë ndër KPI-të që do</w:t>
      </w:r>
      <w:r>
        <w:rPr>
          <w:spacing w:val="1"/>
          <w:w w:val="115"/>
        </w:rPr>
        <w:t> </w:t>
      </w:r>
      <w:r>
        <w:rPr>
          <w:w w:val="115"/>
        </w:rPr>
        <w:t>të verifikohen nga auditori i jashtëm (në nivel</w:t>
      </w:r>
      <w:r>
        <w:rPr>
          <w:spacing w:val="1"/>
          <w:w w:val="115"/>
        </w:rPr>
        <w:t> </w:t>
      </w:r>
      <w:r>
        <w:rPr>
          <w:w w:val="115"/>
        </w:rPr>
        <w:t>Grupi).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73" w:lineRule="auto" w:before="1"/>
        <w:ind w:left="880" w:right="710"/>
      </w:pPr>
      <w:r>
        <w:rPr>
          <w:w w:val="115"/>
        </w:rPr>
        <w:t>Fusha</w:t>
      </w:r>
      <w:r>
        <w:rPr>
          <w:spacing w:val="-4"/>
          <w:w w:val="115"/>
        </w:rPr>
        <w:t> </w:t>
      </w:r>
      <w:r>
        <w:rPr>
          <w:w w:val="115"/>
        </w:rPr>
        <w:t>3 Emetimi</w:t>
      </w:r>
      <w:r>
        <w:rPr>
          <w:spacing w:val="-2"/>
          <w:w w:val="115"/>
        </w:rPr>
        <w:t> </w:t>
      </w:r>
      <w:r>
        <w:rPr>
          <w:w w:val="115"/>
        </w:rPr>
        <w:t>i</w:t>
      </w:r>
      <w:r>
        <w:rPr>
          <w:spacing w:val="-2"/>
          <w:w w:val="115"/>
        </w:rPr>
        <w:t> </w:t>
      </w:r>
      <w:r>
        <w:rPr>
          <w:w w:val="115"/>
        </w:rPr>
        <w:t>CO2</w:t>
      </w:r>
      <w:r>
        <w:rPr>
          <w:spacing w:val="-3"/>
          <w:w w:val="115"/>
        </w:rPr>
        <w:t> </w:t>
      </w:r>
      <w:r>
        <w:rPr>
          <w:w w:val="115"/>
        </w:rPr>
        <w:t>është</w:t>
      </w:r>
      <w:r>
        <w:rPr>
          <w:spacing w:val="-3"/>
          <w:w w:val="115"/>
        </w:rPr>
        <w:t> </w:t>
      </w:r>
      <w:r>
        <w:rPr>
          <w:w w:val="115"/>
        </w:rPr>
        <w:t>referuar</w:t>
      </w:r>
      <w:r>
        <w:rPr>
          <w:spacing w:val="-1"/>
          <w:w w:val="115"/>
        </w:rPr>
        <w:t> </w:t>
      </w:r>
      <w:r>
        <w:rPr>
          <w:w w:val="115"/>
        </w:rPr>
        <w:t>në</w:t>
      </w:r>
      <w:r>
        <w:rPr>
          <w:spacing w:val="-55"/>
          <w:w w:val="115"/>
        </w:rPr>
        <w:t> </w:t>
      </w:r>
      <w:r>
        <w:rPr>
          <w:w w:val="115"/>
        </w:rPr>
        <w:t>burimet</w:t>
      </w:r>
      <w:r>
        <w:rPr>
          <w:spacing w:val="-1"/>
          <w:w w:val="115"/>
        </w:rPr>
        <w:t> </w:t>
      </w:r>
      <w:r>
        <w:rPr>
          <w:w w:val="115"/>
        </w:rPr>
        <w:t>e</w:t>
      </w:r>
      <w:r>
        <w:rPr>
          <w:spacing w:val="-2"/>
          <w:w w:val="115"/>
        </w:rPr>
        <w:t> </w:t>
      </w:r>
      <w:r>
        <w:rPr>
          <w:w w:val="115"/>
        </w:rPr>
        <w:t>mëposhtme: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1"/>
        <w:ind w:left="880"/>
      </w:pPr>
      <w:r>
        <w:rPr>
          <w:w w:val="115"/>
        </w:rPr>
        <w:t>Emetimet</w:t>
      </w:r>
      <w:r>
        <w:rPr>
          <w:spacing w:val="-3"/>
          <w:w w:val="115"/>
        </w:rPr>
        <w:t> </w:t>
      </w:r>
      <w:r>
        <w:rPr>
          <w:w w:val="115"/>
        </w:rPr>
        <w:t>që</w:t>
      </w:r>
      <w:r>
        <w:rPr>
          <w:spacing w:val="-1"/>
          <w:w w:val="115"/>
        </w:rPr>
        <w:t> </w:t>
      </w:r>
      <w:r>
        <w:rPr>
          <w:w w:val="115"/>
        </w:rPr>
        <w:t>lidhen</w:t>
      </w:r>
      <w:r>
        <w:rPr>
          <w:spacing w:val="-3"/>
          <w:w w:val="115"/>
        </w:rPr>
        <w:t> </w:t>
      </w:r>
      <w:r>
        <w:rPr>
          <w:w w:val="115"/>
        </w:rPr>
        <w:t>me:</w:t>
      </w:r>
    </w:p>
    <w:p>
      <w:pPr>
        <w:pStyle w:val="ListParagraph"/>
        <w:numPr>
          <w:ilvl w:val="0"/>
          <w:numId w:val="3"/>
        </w:numPr>
        <w:tabs>
          <w:tab w:pos="1600" w:val="left" w:leader="none"/>
          <w:tab w:pos="1601" w:val="left" w:leader="none"/>
        </w:tabs>
        <w:spacing w:line="240" w:lineRule="auto" w:before="38" w:after="0"/>
        <w:ind w:left="1600" w:right="0" w:hanging="361"/>
        <w:jc w:val="left"/>
        <w:rPr>
          <w:sz w:val="22"/>
        </w:rPr>
      </w:pPr>
      <w:r>
        <w:rPr>
          <w:w w:val="115"/>
          <w:sz w:val="22"/>
        </w:rPr>
        <w:t>Mallra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shërbime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-1"/>
          <w:w w:val="115"/>
          <w:sz w:val="22"/>
        </w:rPr>
        <w:t> </w:t>
      </w:r>
      <w:r>
        <w:rPr>
          <w:w w:val="115"/>
          <w:sz w:val="22"/>
        </w:rPr>
        <w:t>blera</w:t>
      </w:r>
    </w:p>
    <w:p>
      <w:pPr>
        <w:pStyle w:val="ListParagraph"/>
        <w:numPr>
          <w:ilvl w:val="0"/>
          <w:numId w:val="3"/>
        </w:numPr>
        <w:tabs>
          <w:tab w:pos="1600" w:val="left" w:leader="none"/>
          <w:tab w:pos="1601" w:val="left" w:leader="none"/>
        </w:tabs>
        <w:spacing w:line="276" w:lineRule="auto" w:before="42" w:after="0"/>
        <w:ind w:left="1600" w:right="2" w:hanging="360"/>
        <w:jc w:val="left"/>
        <w:rPr>
          <w:sz w:val="22"/>
        </w:rPr>
      </w:pPr>
      <w:r>
        <w:rPr>
          <w:w w:val="115"/>
          <w:sz w:val="22"/>
        </w:rPr>
        <w:t>Aktivitetet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e</w:t>
      </w:r>
      <w:r>
        <w:rPr>
          <w:spacing w:val="-4"/>
          <w:w w:val="115"/>
          <w:sz w:val="22"/>
        </w:rPr>
        <w:t> </w:t>
      </w:r>
      <w:r>
        <w:rPr>
          <w:w w:val="115"/>
          <w:sz w:val="22"/>
        </w:rPr>
        <w:t>lidhura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me</w:t>
      </w:r>
      <w:r>
        <w:rPr>
          <w:spacing w:val="-4"/>
          <w:w w:val="115"/>
          <w:sz w:val="22"/>
        </w:rPr>
        <w:t> </w:t>
      </w:r>
      <w:r>
        <w:rPr>
          <w:w w:val="115"/>
          <w:sz w:val="22"/>
        </w:rPr>
        <w:t>karburantin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-55"/>
          <w:w w:val="115"/>
          <w:sz w:val="22"/>
        </w:rPr>
        <w:t> </w:t>
      </w:r>
      <w:r>
        <w:rPr>
          <w:w w:val="115"/>
          <w:sz w:val="22"/>
        </w:rPr>
        <w:t>energjinë</w:t>
      </w:r>
    </w:p>
    <w:p>
      <w:pPr>
        <w:pStyle w:val="ListParagraph"/>
        <w:numPr>
          <w:ilvl w:val="0"/>
          <w:numId w:val="3"/>
        </w:numPr>
        <w:tabs>
          <w:tab w:pos="1600" w:val="left" w:leader="none"/>
          <w:tab w:pos="1601" w:val="left" w:leader="none"/>
        </w:tabs>
        <w:spacing w:line="276" w:lineRule="auto" w:before="0" w:after="0"/>
        <w:ind w:left="1600" w:right="2" w:hanging="360"/>
        <w:jc w:val="left"/>
        <w:rPr>
          <w:sz w:val="22"/>
        </w:rPr>
      </w:pPr>
      <w:r>
        <w:rPr>
          <w:w w:val="115"/>
          <w:sz w:val="22"/>
        </w:rPr>
        <w:t>Transporti</w:t>
      </w:r>
      <w:r>
        <w:rPr>
          <w:spacing w:val="14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16"/>
          <w:w w:val="115"/>
          <w:sz w:val="22"/>
        </w:rPr>
        <w:t> </w:t>
      </w:r>
      <w:r>
        <w:rPr>
          <w:w w:val="115"/>
          <w:sz w:val="22"/>
        </w:rPr>
        <w:t>shpërndarja</w:t>
      </w:r>
      <w:r>
        <w:rPr>
          <w:spacing w:val="14"/>
          <w:w w:val="115"/>
          <w:sz w:val="22"/>
        </w:rPr>
        <w:t> </w:t>
      </w:r>
      <w:r>
        <w:rPr>
          <w:w w:val="115"/>
          <w:sz w:val="22"/>
        </w:rPr>
        <w:t>në</w:t>
      </w:r>
      <w:r>
        <w:rPr>
          <w:spacing w:val="16"/>
          <w:w w:val="115"/>
          <w:sz w:val="22"/>
        </w:rPr>
        <w:t> </w:t>
      </w:r>
      <w:r>
        <w:rPr>
          <w:w w:val="115"/>
          <w:sz w:val="22"/>
        </w:rPr>
        <w:t>rrjedhën</w:t>
      </w:r>
      <w:r>
        <w:rPr>
          <w:spacing w:val="-54"/>
          <w:w w:val="115"/>
          <w:sz w:val="22"/>
        </w:rPr>
        <w:t> </w:t>
      </w:r>
      <w:r>
        <w:rPr>
          <w:w w:val="115"/>
          <w:sz w:val="22"/>
        </w:rPr>
        <w:t>e sipërme</w:t>
      </w:r>
    </w:p>
    <w:p>
      <w:pPr>
        <w:pStyle w:val="ListParagraph"/>
        <w:numPr>
          <w:ilvl w:val="0"/>
          <w:numId w:val="3"/>
        </w:numPr>
        <w:tabs>
          <w:tab w:pos="1600" w:val="left" w:leader="none"/>
          <w:tab w:pos="1601" w:val="left" w:leader="none"/>
        </w:tabs>
        <w:spacing w:line="276" w:lineRule="auto" w:before="0" w:after="0"/>
        <w:ind w:left="1600" w:right="1" w:hanging="360"/>
        <w:jc w:val="left"/>
        <w:rPr>
          <w:sz w:val="22"/>
        </w:rPr>
      </w:pPr>
      <w:r>
        <w:rPr>
          <w:w w:val="115"/>
          <w:sz w:val="22"/>
        </w:rPr>
        <w:t>Transporti</w:t>
      </w:r>
      <w:r>
        <w:rPr>
          <w:spacing w:val="5"/>
          <w:w w:val="115"/>
          <w:sz w:val="22"/>
        </w:rPr>
        <w:t> </w:t>
      </w:r>
      <w:r>
        <w:rPr>
          <w:w w:val="115"/>
          <w:sz w:val="22"/>
        </w:rPr>
        <w:t>dhe</w:t>
      </w:r>
      <w:r>
        <w:rPr>
          <w:spacing w:val="8"/>
          <w:w w:val="115"/>
          <w:sz w:val="22"/>
        </w:rPr>
        <w:t> </w:t>
      </w:r>
      <w:r>
        <w:rPr>
          <w:w w:val="115"/>
          <w:sz w:val="22"/>
        </w:rPr>
        <w:t>distribucioni</w:t>
      </w:r>
      <w:r>
        <w:rPr>
          <w:spacing w:val="6"/>
          <w:w w:val="115"/>
          <w:sz w:val="22"/>
        </w:rPr>
        <w:t> </w:t>
      </w:r>
      <w:r>
        <w:rPr>
          <w:w w:val="115"/>
          <w:sz w:val="22"/>
        </w:rPr>
        <w:t>në</w:t>
      </w:r>
      <w:r>
        <w:rPr>
          <w:spacing w:val="8"/>
          <w:w w:val="115"/>
          <w:sz w:val="22"/>
        </w:rPr>
        <w:t> </w:t>
      </w:r>
      <w:r>
        <w:rPr>
          <w:w w:val="115"/>
          <w:sz w:val="22"/>
        </w:rPr>
        <w:t>rrjedhën</w:t>
      </w:r>
      <w:r>
        <w:rPr>
          <w:spacing w:val="-54"/>
          <w:w w:val="115"/>
          <w:sz w:val="22"/>
        </w:rPr>
        <w:t> </w:t>
      </w:r>
      <w:r>
        <w:rPr>
          <w:w w:val="115"/>
          <w:sz w:val="22"/>
        </w:rPr>
        <w:t>e poshtme</w:t>
      </w:r>
    </w:p>
    <w:p>
      <w:pPr>
        <w:pStyle w:val="BodyText"/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before="1"/>
        <w:ind w:left="880"/>
      </w:pPr>
      <w:r>
        <w:rPr>
          <w:w w:val="125"/>
        </w:rPr>
        <w:t>Fusha</w:t>
      </w:r>
      <w:r>
        <w:rPr>
          <w:spacing w:val="-2"/>
          <w:w w:val="125"/>
        </w:rPr>
        <w:t> </w:t>
      </w:r>
      <w:r>
        <w:rPr>
          <w:w w:val="125"/>
        </w:rPr>
        <w:t>1</w:t>
      </w:r>
      <w:r>
        <w:rPr>
          <w:spacing w:val="-5"/>
          <w:w w:val="125"/>
        </w:rPr>
        <w:t> </w:t>
      </w:r>
      <w:r>
        <w:rPr>
          <w:w w:val="125"/>
        </w:rPr>
        <w:t>e</w:t>
      </w:r>
      <w:r>
        <w:rPr>
          <w:spacing w:val="1"/>
          <w:w w:val="125"/>
        </w:rPr>
        <w:t> </w:t>
      </w:r>
      <w:r>
        <w:rPr>
          <w:w w:val="125"/>
        </w:rPr>
        <w:t>CO2</w:t>
      </w:r>
      <w:r>
        <w:rPr>
          <w:spacing w:val="1"/>
          <w:w w:val="125"/>
        </w:rPr>
        <w:t> </w:t>
      </w:r>
      <w:r>
        <w:rPr>
          <w:w w:val="125"/>
        </w:rPr>
        <w:t>-</w:t>
      </w:r>
      <w:r>
        <w:rPr>
          <w:spacing w:val="-2"/>
          <w:w w:val="125"/>
        </w:rPr>
        <w:t> </w:t>
      </w:r>
      <w:r>
        <w:rPr>
          <w:w w:val="125"/>
        </w:rPr>
        <w:t>Emetimet</w:t>
      </w:r>
      <w:r>
        <w:rPr>
          <w:spacing w:val="-1"/>
          <w:w w:val="125"/>
        </w:rPr>
        <w:t> </w:t>
      </w:r>
      <w:r>
        <w:rPr>
          <w:w w:val="125"/>
        </w:rPr>
        <w:t>në lidhje</w:t>
      </w:r>
      <w:r>
        <w:rPr>
          <w:spacing w:val="-3"/>
          <w:w w:val="125"/>
        </w:rPr>
        <w:t> </w:t>
      </w:r>
      <w:r>
        <w:rPr>
          <w:w w:val="125"/>
        </w:rPr>
        <w:t>me:</w:t>
      </w:r>
    </w:p>
    <w:p>
      <w:pPr>
        <w:pStyle w:val="BodyText"/>
        <w:spacing w:before="41"/>
        <w:ind w:left="880"/>
      </w:pPr>
      <w:r>
        <w:rPr>
          <w:w w:val="125"/>
        </w:rPr>
        <w:t>•Lenden</w:t>
      </w:r>
      <w:r>
        <w:rPr>
          <w:spacing w:val="-6"/>
          <w:w w:val="125"/>
        </w:rPr>
        <w:t> </w:t>
      </w:r>
      <w:r>
        <w:rPr>
          <w:w w:val="125"/>
        </w:rPr>
        <w:t>e pare,</w:t>
      </w:r>
      <w:r>
        <w:rPr>
          <w:spacing w:val="-3"/>
          <w:w w:val="125"/>
        </w:rPr>
        <w:t> </w:t>
      </w:r>
      <w:r>
        <w:rPr>
          <w:w w:val="125"/>
        </w:rPr>
        <w:t>lendet</w:t>
      </w:r>
      <w:r>
        <w:rPr>
          <w:spacing w:val="-4"/>
          <w:w w:val="125"/>
        </w:rPr>
        <w:t> </w:t>
      </w:r>
      <w:r>
        <w:rPr>
          <w:w w:val="125"/>
        </w:rPr>
        <w:t>e</w:t>
      </w:r>
      <w:r>
        <w:rPr>
          <w:spacing w:val="-1"/>
          <w:w w:val="125"/>
        </w:rPr>
        <w:t> </w:t>
      </w:r>
      <w:r>
        <w:rPr>
          <w:w w:val="125"/>
        </w:rPr>
        <w:t>paperpunuara</w:t>
      </w:r>
    </w:p>
    <w:p>
      <w:pPr>
        <w:pStyle w:val="BodyText"/>
        <w:spacing w:line="276" w:lineRule="auto" w:before="38"/>
        <w:ind w:left="880" w:right="2"/>
      </w:pPr>
      <w:r>
        <w:rPr>
          <w:w w:val="125"/>
        </w:rPr>
        <w:t>•Djegia</w:t>
      </w:r>
      <w:r>
        <w:rPr>
          <w:spacing w:val="1"/>
          <w:w w:val="125"/>
        </w:rPr>
        <w:t> </w:t>
      </w:r>
      <w:r>
        <w:rPr>
          <w:w w:val="125"/>
        </w:rPr>
        <w:t>e</w:t>
      </w:r>
      <w:r>
        <w:rPr>
          <w:spacing w:val="1"/>
          <w:w w:val="125"/>
        </w:rPr>
        <w:t> </w:t>
      </w:r>
      <w:r>
        <w:rPr>
          <w:w w:val="125"/>
        </w:rPr>
        <w:t>karburantit</w:t>
      </w:r>
      <w:r>
        <w:rPr>
          <w:spacing w:val="1"/>
          <w:w w:val="125"/>
        </w:rPr>
        <w:t> </w:t>
      </w:r>
      <w:r>
        <w:rPr>
          <w:w w:val="125"/>
        </w:rPr>
        <w:t>(përfshirë</w:t>
      </w:r>
      <w:r>
        <w:rPr>
          <w:spacing w:val="5"/>
          <w:w w:val="125"/>
        </w:rPr>
        <w:t> </w:t>
      </w:r>
      <w:r>
        <w:rPr>
          <w:w w:val="125"/>
        </w:rPr>
        <w:t>furrën,</w:t>
      </w:r>
      <w:r>
        <w:rPr>
          <w:spacing w:val="4"/>
          <w:w w:val="125"/>
        </w:rPr>
        <w:t> </w:t>
      </w:r>
      <w:r>
        <w:rPr>
          <w:w w:val="125"/>
        </w:rPr>
        <w:t>dhe</w:t>
      </w:r>
      <w:r>
        <w:rPr>
          <w:spacing w:val="-59"/>
          <w:w w:val="125"/>
        </w:rPr>
        <w:t> </w:t>
      </w:r>
      <w:r>
        <w:rPr>
          <w:w w:val="125"/>
        </w:rPr>
        <w:t>pajisjet</w:t>
      </w:r>
      <w:r>
        <w:rPr>
          <w:spacing w:val="-1"/>
          <w:w w:val="125"/>
        </w:rPr>
        <w:t> </w:t>
      </w:r>
      <w:r>
        <w:rPr>
          <w:w w:val="125"/>
        </w:rPr>
        <w:t>percjllese)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880"/>
      </w:pPr>
      <w:r>
        <w:rPr>
          <w:w w:val="125"/>
        </w:rPr>
        <w:t>Fusha</w:t>
      </w:r>
      <w:r>
        <w:rPr>
          <w:spacing w:val="-2"/>
          <w:w w:val="125"/>
        </w:rPr>
        <w:t> </w:t>
      </w:r>
      <w:r>
        <w:rPr>
          <w:w w:val="125"/>
        </w:rPr>
        <w:t>2</w:t>
      </w:r>
      <w:r>
        <w:rPr>
          <w:spacing w:val="-4"/>
          <w:w w:val="125"/>
        </w:rPr>
        <w:t> </w:t>
      </w:r>
      <w:r>
        <w:rPr>
          <w:w w:val="125"/>
        </w:rPr>
        <w:t>e</w:t>
      </w:r>
      <w:r>
        <w:rPr>
          <w:spacing w:val="61"/>
          <w:w w:val="125"/>
        </w:rPr>
        <w:t> </w:t>
      </w:r>
      <w:r>
        <w:rPr>
          <w:w w:val="125"/>
        </w:rPr>
        <w:t>CO2</w:t>
      </w:r>
      <w:r>
        <w:rPr>
          <w:spacing w:val="2"/>
          <w:w w:val="125"/>
        </w:rPr>
        <w:t> </w:t>
      </w:r>
      <w:r>
        <w:rPr>
          <w:w w:val="125"/>
        </w:rPr>
        <w:t>-</w:t>
      </w:r>
      <w:r>
        <w:rPr>
          <w:spacing w:val="-2"/>
          <w:w w:val="125"/>
        </w:rPr>
        <w:t> </w:t>
      </w:r>
      <w:r>
        <w:rPr>
          <w:w w:val="125"/>
        </w:rPr>
        <w:t>Emetimet</w:t>
      </w:r>
      <w:r>
        <w:rPr>
          <w:spacing w:val="-1"/>
          <w:w w:val="125"/>
        </w:rPr>
        <w:t> </w:t>
      </w:r>
      <w:r>
        <w:rPr>
          <w:w w:val="125"/>
        </w:rPr>
        <w:t>në lidhje</w:t>
      </w:r>
      <w:r>
        <w:rPr>
          <w:spacing w:val="-2"/>
          <w:w w:val="125"/>
        </w:rPr>
        <w:t> </w:t>
      </w:r>
      <w:r>
        <w:rPr>
          <w:w w:val="125"/>
        </w:rPr>
        <w:t>me:</w:t>
      </w:r>
    </w:p>
    <w:p>
      <w:pPr>
        <w:pStyle w:val="ListParagraph"/>
        <w:numPr>
          <w:ilvl w:val="0"/>
          <w:numId w:val="4"/>
        </w:numPr>
        <w:tabs>
          <w:tab w:pos="1082" w:val="left" w:leader="none"/>
        </w:tabs>
        <w:spacing w:line="240" w:lineRule="auto" w:before="41" w:after="0"/>
        <w:ind w:left="1081" w:right="0" w:hanging="202"/>
        <w:jc w:val="left"/>
        <w:rPr>
          <w:sz w:val="22"/>
        </w:rPr>
      </w:pPr>
      <w:r>
        <w:rPr>
          <w:w w:val="125"/>
          <w:sz w:val="22"/>
        </w:rPr>
        <w:t>Furnizimin</w:t>
      </w:r>
      <w:r>
        <w:rPr>
          <w:spacing w:val="-7"/>
          <w:w w:val="125"/>
          <w:sz w:val="22"/>
        </w:rPr>
        <w:t> </w:t>
      </w:r>
      <w:r>
        <w:rPr>
          <w:w w:val="125"/>
          <w:sz w:val="22"/>
        </w:rPr>
        <w:t>me</w:t>
      </w:r>
      <w:r>
        <w:rPr>
          <w:spacing w:val="-5"/>
          <w:w w:val="125"/>
          <w:sz w:val="22"/>
        </w:rPr>
        <w:t> </w:t>
      </w:r>
      <w:r>
        <w:rPr>
          <w:w w:val="125"/>
          <w:sz w:val="22"/>
        </w:rPr>
        <w:t>energji</w:t>
      </w:r>
      <w:r>
        <w:rPr>
          <w:spacing w:val="-4"/>
          <w:w w:val="125"/>
          <w:sz w:val="22"/>
        </w:rPr>
        <w:t> </w:t>
      </w:r>
      <w:r>
        <w:rPr>
          <w:w w:val="125"/>
          <w:sz w:val="22"/>
        </w:rPr>
        <w:t>Elektrike</w:t>
      </w:r>
    </w:p>
    <w:p>
      <w:pPr>
        <w:pStyle w:val="BodyText"/>
        <w:tabs>
          <w:tab w:pos="2893" w:val="left" w:leader="none"/>
        </w:tabs>
        <w:spacing w:line="276" w:lineRule="auto" w:before="41"/>
        <w:ind w:left="880" w:right="37" w:firstLine="187"/>
      </w:pPr>
      <w:r>
        <w:rPr>
          <w:w w:val="125"/>
        </w:rPr>
        <w:t>Fushëveprimi 1 dhe fushëveprimi 2 i</w:t>
      </w:r>
      <w:r>
        <w:rPr>
          <w:spacing w:val="1"/>
          <w:w w:val="125"/>
        </w:rPr>
        <w:t> </w:t>
      </w:r>
      <w:r>
        <w:rPr>
          <w:w w:val="125"/>
        </w:rPr>
        <w:t>Emetimeve</w:t>
      </w:r>
      <w:r>
        <w:rPr>
          <w:spacing w:val="-3"/>
          <w:w w:val="125"/>
        </w:rPr>
        <w:t> </w:t>
      </w:r>
      <w:r>
        <w:rPr>
          <w:w w:val="125"/>
        </w:rPr>
        <w:t>te</w:t>
      </w:r>
      <w:r>
        <w:rPr>
          <w:spacing w:val="2"/>
          <w:w w:val="125"/>
        </w:rPr>
        <w:t> </w:t>
      </w:r>
      <w:r>
        <w:rPr>
          <w:w w:val="125"/>
        </w:rPr>
        <w:t>CO2</w:t>
      </w:r>
      <w:r>
        <w:rPr>
          <w:spacing w:val="2"/>
          <w:w w:val="125"/>
        </w:rPr>
        <w:t> </w:t>
      </w:r>
      <w:r>
        <w:rPr>
          <w:w w:val="125"/>
        </w:rPr>
        <w:t>nga industria e</w:t>
      </w:r>
      <w:r>
        <w:rPr>
          <w:spacing w:val="1"/>
          <w:w w:val="125"/>
        </w:rPr>
        <w:t> </w:t>
      </w:r>
      <w:r>
        <w:rPr>
          <w:w w:val="125"/>
        </w:rPr>
        <w:t>çimentos</w:t>
      </w:r>
      <w:r>
        <w:rPr>
          <w:spacing w:val="59"/>
          <w:w w:val="125"/>
        </w:rPr>
        <w:t> </w:t>
      </w:r>
      <w:r>
        <w:rPr>
          <w:w w:val="125"/>
        </w:rPr>
        <w:t>është</w:t>
        <w:tab/>
        <w:t>e rregulluar në përputhje</w:t>
      </w:r>
      <w:r>
        <w:rPr>
          <w:spacing w:val="-59"/>
          <w:w w:val="125"/>
        </w:rPr>
        <w:t> </w:t>
      </w:r>
      <w:r>
        <w:rPr>
          <w:w w:val="125"/>
        </w:rPr>
        <w:t>me protokollin WBSCD - CSI</w:t>
      </w:r>
      <w:r>
        <w:rPr>
          <w:spacing w:val="1"/>
          <w:w w:val="125"/>
        </w:rPr>
        <w:t> </w:t>
      </w:r>
      <w:r>
        <w:rPr>
          <w:w w:val="125"/>
        </w:rPr>
        <w:t>per CO2</w:t>
      </w:r>
      <w:r>
        <w:rPr>
          <w:spacing w:val="1"/>
          <w:w w:val="125"/>
        </w:rPr>
        <w:t> </w:t>
      </w:r>
      <w:r>
        <w:rPr>
          <w:w w:val="125"/>
        </w:rPr>
        <w:t>versioni 3.0 per industrinë e çimentos në</w:t>
      </w:r>
      <w:r>
        <w:rPr>
          <w:spacing w:val="1"/>
          <w:w w:val="125"/>
        </w:rPr>
        <w:t> </w:t>
      </w:r>
      <w:r>
        <w:rPr>
          <w:w w:val="125"/>
        </w:rPr>
        <w:t>nivel</w:t>
      </w:r>
      <w:r>
        <w:rPr>
          <w:spacing w:val="-2"/>
          <w:w w:val="125"/>
        </w:rPr>
        <w:t> </w:t>
      </w:r>
      <w:r>
        <w:rPr>
          <w:w w:val="125"/>
        </w:rPr>
        <w:t>të</w:t>
      </w:r>
      <w:r>
        <w:rPr>
          <w:spacing w:val="61"/>
          <w:w w:val="125"/>
        </w:rPr>
        <w:t> </w:t>
      </w:r>
      <w:r>
        <w:rPr>
          <w:w w:val="125"/>
        </w:rPr>
        <w:t>Grupit</w:t>
      </w:r>
      <w:r>
        <w:rPr>
          <w:spacing w:val="-1"/>
          <w:w w:val="125"/>
        </w:rPr>
        <w:t> </w:t>
      </w:r>
      <w:r>
        <w:rPr>
          <w:w w:val="125"/>
        </w:rPr>
        <w:t>Titan.</w:t>
      </w:r>
    </w:p>
    <w:p>
      <w:pPr>
        <w:spacing w:before="1"/>
        <w:ind w:left="317" w:right="0" w:firstLine="0"/>
        <w:jc w:val="left"/>
        <w:rPr>
          <w:i/>
          <w:sz w:val="18"/>
        </w:rPr>
      </w:pPr>
      <w:r>
        <w:rPr/>
        <w:br w:type="column"/>
      </w:r>
      <w:r>
        <w:rPr>
          <w:i/>
          <w:color w:val="44536A"/>
          <w:sz w:val="18"/>
        </w:rPr>
        <w:t>Figure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7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Emisionet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totale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të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CO2</w:t>
      </w:r>
      <w:r>
        <w:rPr>
          <w:i/>
          <w:color w:val="44536A"/>
          <w:spacing w:val="-5"/>
          <w:sz w:val="18"/>
        </w:rPr>
        <w:t> </w:t>
      </w:r>
      <w:r>
        <w:rPr>
          <w:i/>
          <w:color w:val="44536A"/>
          <w:sz w:val="18"/>
        </w:rPr>
        <w:t>nga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fabrika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cimetos</w:t>
      </w:r>
    </w:p>
    <w:p>
      <w:pPr>
        <w:pStyle w:val="BodyText"/>
        <w:spacing w:before="8"/>
        <w:rPr>
          <w:i/>
          <w:sz w:val="14"/>
        </w:rPr>
      </w:pPr>
    </w:p>
    <w:tbl>
      <w:tblPr>
        <w:tblW w:w="0" w:type="auto"/>
        <w:jc w:val="left"/>
        <w:tblInd w:w="341" w:type="dxa"/>
        <w:tblBorders>
          <w:top w:val="single" w:sz="18" w:space="0" w:color="6FAC46"/>
          <w:left w:val="single" w:sz="18" w:space="0" w:color="6FAC46"/>
          <w:bottom w:val="single" w:sz="18" w:space="0" w:color="6FAC46"/>
          <w:right w:val="single" w:sz="18" w:space="0" w:color="6FAC46"/>
          <w:insideH w:val="single" w:sz="18" w:space="0" w:color="6FAC46"/>
          <w:insideV w:val="single" w:sz="18" w:space="0" w:color="6FAC4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8"/>
        <w:gridCol w:w="1388"/>
        <w:gridCol w:w="1422"/>
        <w:gridCol w:w="1349"/>
      </w:tblGrid>
      <w:tr>
        <w:trPr>
          <w:trHeight w:val="434" w:hRule="atLeast"/>
        </w:trPr>
        <w:tc>
          <w:tcPr>
            <w:tcW w:w="698" w:type="dxa"/>
            <w:vMerge w:val="restart"/>
            <w:tcBorders>
              <w:bottom w:val="nil"/>
              <w:right w:val="nil"/>
            </w:tcBorders>
          </w:tcPr>
          <w:p>
            <w:pPr>
              <w:pStyle w:val="TableParagraph"/>
              <w:spacing w:before="4"/>
              <w:ind w:left="0"/>
              <w:rPr>
                <w:rFonts w:ascii="Calibri"/>
                <w:i/>
                <w:sz w:val="26"/>
              </w:rPr>
            </w:pPr>
          </w:p>
          <w:p>
            <w:pPr>
              <w:pStyle w:val="TableParagraph"/>
              <w:ind w:left="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400.00</w:t>
            </w:r>
          </w:p>
        </w:tc>
        <w:tc>
          <w:tcPr>
            <w:tcW w:w="4159" w:type="dxa"/>
            <w:gridSpan w:val="3"/>
            <w:tcBorders>
              <w:left w:val="nil"/>
              <w:bottom w:val="single" w:sz="6" w:space="0" w:color="D9D9D9"/>
            </w:tcBorders>
          </w:tcPr>
          <w:p>
            <w:pPr>
              <w:pStyle w:val="TableParagraph"/>
              <w:spacing w:before="49"/>
              <w:ind w:left="234"/>
              <w:rPr>
                <w:rFonts w:ascii="Calibri"/>
                <w:sz w:val="22"/>
              </w:rPr>
            </w:pPr>
            <w:r>
              <w:rPr>
                <w:rFonts w:ascii="Calibri"/>
                <w:b/>
                <w:sz w:val="28"/>
              </w:rPr>
              <w:t>Total</w:t>
            </w:r>
            <w:r>
              <w:rPr>
                <w:rFonts w:ascii="Calibri"/>
                <w:b/>
                <w:spacing w:val="-1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CO2</w:t>
            </w:r>
            <w:r>
              <w:rPr>
                <w:rFonts w:ascii="Calibri"/>
                <w:b/>
                <w:spacing w:val="-1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Emmision</w:t>
            </w:r>
            <w:r>
              <w:rPr>
                <w:rFonts w:ascii="Calibri"/>
                <w:b/>
                <w:spacing w:val="-4"/>
                <w:sz w:val="28"/>
              </w:rPr>
              <w:t> </w:t>
            </w:r>
            <w:r>
              <w:rPr>
                <w:rFonts w:ascii="Calibri"/>
                <w:b/>
                <w:sz w:val="28"/>
              </w:rPr>
              <w:t>[ktCO2</w:t>
            </w:r>
            <w:r>
              <w:rPr>
                <w:rFonts w:ascii="Calibri"/>
                <w:sz w:val="22"/>
              </w:rPr>
              <w:t>]</w:t>
            </w:r>
          </w:p>
        </w:tc>
      </w:tr>
      <w:tr>
        <w:trPr>
          <w:trHeight w:val="175" w:hRule="atLeast"/>
        </w:trPr>
        <w:tc>
          <w:tcPr>
            <w:tcW w:w="698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  <w:vMerge w:val="restart"/>
            <w:tcBorders>
              <w:top w:val="single" w:sz="6" w:space="0" w:color="D9D9D9"/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spacing w:line="211" w:lineRule="exact"/>
              <w:ind w:left="512" w:right="39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331</w:t>
            </w:r>
          </w:p>
        </w:tc>
        <w:tc>
          <w:tcPr>
            <w:tcW w:w="1422" w:type="dxa"/>
            <w:vMerge w:val="restart"/>
            <w:tcBorders>
              <w:top w:val="single" w:sz="6" w:space="0" w:color="D9D9D9"/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spacing w:before="22"/>
              <w:ind w:left="69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319</w:t>
            </w:r>
          </w:p>
        </w:tc>
        <w:tc>
          <w:tcPr>
            <w:tcW w:w="1349" w:type="dxa"/>
            <w:vMerge w:val="restart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spacing w:before="68"/>
              <w:ind w:left="85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349.5</w:t>
            </w:r>
          </w:p>
        </w:tc>
      </w:tr>
      <w:tr>
        <w:trPr>
          <w:trHeight w:val="162" w:hRule="atLeast"/>
        </w:trPr>
        <w:tc>
          <w:tcPr>
            <w:tcW w:w="698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50"/>
              <w:ind w:left="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300.00</w:t>
            </w:r>
          </w:p>
        </w:tc>
        <w:tc>
          <w:tcPr>
            <w:tcW w:w="1388" w:type="dxa"/>
            <w:vMerge/>
            <w:tcBorders>
              <w:top w:val="nil"/>
              <w:left w:val="nil"/>
              <w:bottom w:val="single" w:sz="6" w:space="0" w:color="D9D9D9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22" w:type="dxa"/>
            <w:vMerge/>
            <w:tcBorders>
              <w:top w:val="nil"/>
              <w:left w:val="nil"/>
              <w:bottom w:val="single" w:sz="6" w:space="0" w:color="D9D9D9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9" w:type="dxa"/>
            <w:vMerge/>
            <w:tcBorders>
              <w:top w:val="nil"/>
              <w:left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6" w:hRule="atLeast"/>
        </w:trPr>
        <w:tc>
          <w:tcPr>
            <w:tcW w:w="698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3"/>
            <w:vMerge w:val="restart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163" w:hRule="atLeast"/>
        </w:trPr>
        <w:tc>
          <w:tcPr>
            <w:tcW w:w="698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50"/>
              <w:ind w:left="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200.00</w:t>
            </w:r>
          </w:p>
        </w:tc>
        <w:tc>
          <w:tcPr>
            <w:tcW w:w="4159" w:type="dxa"/>
            <w:gridSpan w:val="3"/>
            <w:vMerge/>
            <w:tcBorders>
              <w:top w:val="nil"/>
              <w:left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5" w:hRule="atLeast"/>
        </w:trPr>
        <w:tc>
          <w:tcPr>
            <w:tcW w:w="698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3"/>
            <w:vMerge w:val="restart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163" w:hRule="atLeast"/>
        </w:trPr>
        <w:tc>
          <w:tcPr>
            <w:tcW w:w="698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50"/>
              <w:ind w:left="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100.00</w:t>
            </w:r>
          </w:p>
        </w:tc>
        <w:tc>
          <w:tcPr>
            <w:tcW w:w="4159" w:type="dxa"/>
            <w:gridSpan w:val="3"/>
            <w:vMerge/>
            <w:tcBorders>
              <w:top w:val="nil"/>
              <w:left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5" w:hRule="atLeast"/>
        </w:trPr>
        <w:tc>
          <w:tcPr>
            <w:tcW w:w="698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3"/>
            <w:vMerge w:val="restart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148" w:hRule="atLeast"/>
        </w:trPr>
        <w:tc>
          <w:tcPr>
            <w:tcW w:w="698" w:type="dxa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spacing w:before="50"/>
              <w:ind w:left="21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0.00</w:t>
            </w:r>
          </w:p>
        </w:tc>
        <w:tc>
          <w:tcPr>
            <w:tcW w:w="4159" w:type="dxa"/>
            <w:gridSpan w:val="3"/>
            <w:vMerge/>
            <w:tcBorders>
              <w:top w:val="nil"/>
              <w:left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9" w:hRule="atLeast"/>
        </w:trPr>
        <w:tc>
          <w:tcPr>
            <w:tcW w:w="698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  <w:tcBorders>
              <w:top w:val="single" w:sz="6" w:space="0" w:color="D9D9D9"/>
              <w:left w:val="nil"/>
              <w:right w:val="nil"/>
            </w:tcBorders>
          </w:tcPr>
          <w:p>
            <w:pPr>
              <w:pStyle w:val="TableParagraph"/>
              <w:spacing w:line="207" w:lineRule="exact" w:before="91"/>
              <w:ind w:left="512" w:right="470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2020</w:t>
            </w:r>
          </w:p>
        </w:tc>
        <w:tc>
          <w:tcPr>
            <w:tcW w:w="1422" w:type="dxa"/>
            <w:tcBorders>
              <w:top w:val="single" w:sz="6" w:space="0" w:color="D9D9D9"/>
              <w:left w:val="nil"/>
              <w:right w:val="nil"/>
            </w:tcBorders>
          </w:tcPr>
          <w:p>
            <w:pPr>
              <w:pStyle w:val="TableParagraph"/>
              <w:spacing w:line="207" w:lineRule="exact" w:before="91"/>
              <w:ind w:left="512" w:right="50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1349" w:type="dxa"/>
            <w:tcBorders>
              <w:top w:val="single" w:sz="6" w:space="0" w:color="D9D9D9"/>
              <w:left w:val="nil"/>
            </w:tcBorders>
          </w:tcPr>
          <w:p>
            <w:pPr>
              <w:pStyle w:val="TableParagraph"/>
              <w:spacing w:line="207" w:lineRule="exact" w:before="91"/>
              <w:ind w:left="477" w:right="443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2022</w:t>
            </w:r>
          </w:p>
        </w:tc>
      </w:tr>
    </w:tbl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2"/>
        <w:rPr>
          <w:i/>
          <w:sz w:val="18"/>
        </w:rPr>
      </w:pPr>
    </w:p>
    <w:p>
      <w:pPr>
        <w:spacing w:before="0"/>
        <w:ind w:left="317" w:right="0" w:firstLine="0"/>
        <w:jc w:val="left"/>
        <w:rPr>
          <w:i/>
          <w:sz w:val="18"/>
        </w:rPr>
      </w:pPr>
      <w:r>
        <w:rPr/>
        <w:pict>
          <v:group style="position:absolute;margin-left:381.704987pt;margin-top:-119.64566pt;width:144.550pt;height:11.45pt;mso-position-horizontal-relative:page;mso-position-vertical-relative:paragraph;z-index:-17336832" coordorigin="7634,-2393" coordsize="2891,229">
            <v:shape style="position:absolute;left:7692;top:-2335;width:2775;height:113" coordorigin="7692,-2335" coordsize="2775,113" path="m7692,-2266l9079,-2222,10466,-2335e" filled="false" stroked="true" strokeweight="2.25pt" strokecolor="#4f81bc">
              <v:path arrowok="t"/>
              <v:stroke dashstyle="solid"/>
            </v:shape>
            <v:shape style="position:absolute;left:7634;top:-2324;width:116;height:116" type="#_x0000_t75" stroked="false">
              <v:imagedata r:id="rId152" o:title=""/>
            </v:shape>
            <v:shape style="position:absolute;left:9021;top:-2281;width:116;height:116" type="#_x0000_t75" stroked="false">
              <v:imagedata r:id="rId153" o:title=""/>
            </v:shape>
            <v:shape style="position:absolute;left:10408;top:-2393;width:116;height:116" type="#_x0000_t75" stroked="false">
              <v:imagedata r:id="rId15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980160">
            <wp:simplePos x="0" y="0"/>
            <wp:positionH relativeFrom="page">
              <wp:posOffset>4847653</wp:posOffset>
            </wp:positionH>
            <wp:positionV relativeFrom="paragraph">
              <wp:posOffset>-702635</wp:posOffset>
            </wp:positionV>
            <wp:extent cx="73152" cy="73151"/>
            <wp:effectExtent l="0" t="0" r="0" b="0"/>
            <wp:wrapNone/>
            <wp:docPr id="5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44536A"/>
          <w:sz w:val="18"/>
        </w:rPr>
        <w:t>Figure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8</w:t>
      </w:r>
      <w:r>
        <w:rPr>
          <w:i/>
          <w:color w:val="44536A"/>
          <w:spacing w:val="36"/>
          <w:sz w:val="18"/>
        </w:rPr>
        <w:t> </w:t>
      </w:r>
      <w:r>
        <w:rPr>
          <w:i/>
          <w:color w:val="44536A"/>
          <w:sz w:val="18"/>
        </w:rPr>
        <w:t>Hargjimi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specific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i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nxehtesise</w:t>
      </w:r>
      <w:r>
        <w:rPr>
          <w:i/>
          <w:color w:val="44536A"/>
          <w:spacing w:val="-4"/>
          <w:sz w:val="18"/>
        </w:rPr>
        <w:t> </w:t>
      </w:r>
      <w:r>
        <w:rPr>
          <w:i/>
          <w:color w:val="44536A"/>
          <w:sz w:val="18"/>
        </w:rPr>
        <w:t>për</w:t>
      </w:r>
      <w:r>
        <w:rPr>
          <w:i/>
          <w:color w:val="44536A"/>
          <w:spacing w:val="1"/>
          <w:sz w:val="18"/>
        </w:rPr>
        <w:t> </w:t>
      </w:r>
      <w:r>
        <w:rPr>
          <w:i/>
          <w:color w:val="44536A"/>
          <w:sz w:val="18"/>
        </w:rPr>
        <w:t>prodhim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të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clinkerit</w:t>
      </w:r>
    </w:p>
    <w:p>
      <w:pPr>
        <w:pStyle w:val="BodyText"/>
        <w:spacing w:before="4"/>
        <w:rPr>
          <w:i/>
          <w:sz w:val="11"/>
        </w:rPr>
      </w:pPr>
      <w:r>
        <w:rPr/>
        <w:pict>
          <v:group style="position:absolute;margin-left:314pt;margin-top:8.874687pt;width:245pt;height:121.25pt;mso-position-horizontal-relative:page;mso-position-vertical-relative:paragraph;z-index:-15689728;mso-wrap-distance-left:0;mso-wrap-distance-right:0" coordorigin="6280,177" coordsize="4900,2425">
            <v:shape style="position:absolute;left:7098;top:1030;width:3842;height:785" coordorigin="7098,1031" coordsize="3842,785" path="m7098,1816l10940,1816m7098,1424l10940,1424m7098,1031l10940,1031e" filled="false" stroked="true" strokeweight=".75pt" strokecolor="#d9d9d9">
              <v:path arrowok="t"/>
              <v:stroke dashstyle="solid"/>
            </v:shape>
            <v:shape style="position:absolute;left:7738;top:972;width:2562;height:667" coordorigin="7739,973" coordsize="2562,667" path="m7739,1639l9019,973,10300,1619e" filled="false" stroked="true" strokeweight="2.25pt" strokecolor="#4f81bc">
              <v:path arrowok="t"/>
              <v:stroke dashstyle="solid"/>
            </v:shape>
            <v:shape style="position:absolute;left:7679;top:1579;width:116;height:116" type="#_x0000_t75" stroked="false">
              <v:imagedata r:id="rId155" o:title=""/>
            </v:shape>
            <v:shape style="position:absolute;left:8961;top:914;width:116;height:116" type="#_x0000_t75" stroked="false">
              <v:imagedata r:id="rId156" o:title=""/>
            </v:shape>
            <v:shape style="position:absolute;left:10242;top:1560;width:116;height:116" type="#_x0000_t75" stroked="false">
              <v:imagedata r:id="rId156" o:title=""/>
            </v:shape>
            <v:shape style="position:absolute;left:7098;top:639;width:3842;height:1568" coordorigin="7098,640" coordsize="3842,1568" path="m7098,640l10940,640m7098,2207l10940,2207e" filled="false" stroked="true" strokeweight=".75pt" strokecolor="#d9d9d9">
              <v:path arrowok="t"/>
              <v:stroke dashstyle="solid"/>
            </v:shape>
            <v:rect style="position:absolute;left:6300;top:197;width:4860;height:2385" filled="false" stroked="true" strokeweight="2pt" strokecolor="#6fac46">
              <v:stroke dashstyle="solid"/>
            </v:rect>
            <v:shape style="position:absolute;left:6431;top:326;width:4298;height:1194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446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8"/>
                      </w:rPr>
                      <w:t>Total</w:t>
                    </w:r>
                    <w:r>
                      <w:rPr>
                        <w:b/>
                        <w:spacing w:val="-2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Plant</w:t>
                    </w:r>
                    <w:r>
                      <w:rPr>
                        <w:b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SFHC</w:t>
                    </w:r>
                    <w:r>
                      <w:rPr>
                        <w:b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[kcal/kg</w:t>
                    </w:r>
                    <w:r>
                      <w:rPr>
                        <w:b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clinker</w:t>
                    </w:r>
                    <w:r>
                      <w:rPr>
                        <w:b/>
                        <w:sz w:val="22"/>
                      </w:rPr>
                      <w:t>]</w:t>
                    </w:r>
                  </w:p>
                  <w:p>
                    <w:pPr>
                      <w:spacing w:line="16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860.00</w:t>
                    </w:r>
                  </w:p>
                  <w:p>
                    <w:pPr>
                      <w:spacing w:line="196" w:lineRule="exact" w:before="0"/>
                      <w:ind w:left="258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843</w:t>
                    </w:r>
                  </w:p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840.00</w:t>
                    </w:r>
                  </w:p>
                  <w:p>
                    <w:pPr>
                      <w:spacing w:line="240" w:lineRule="auto" w:before="1"/>
                      <w:rPr>
                        <w:sz w:val="14"/>
                      </w:rPr>
                    </w:pP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820.00</w:t>
                    </w:r>
                  </w:p>
                </w:txbxContent>
              </v:textbox>
              <w10:wrap type="none"/>
            </v:shape>
            <v:shape style="position:absolute;left:6431;top:1732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800.00</w:t>
                    </w:r>
                  </w:p>
                </w:txbxContent>
              </v:textbox>
              <w10:wrap type="none"/>
            </v:shape>
            <v:shape style="position:absolute;left:7666;top:1698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809</w:t>
                    </w:r>
                  </w:p>
                </w:txbxContent>
              </v:textbox>
              <w10:wrap type="none"/>
            </v:shape>
            <v:shape style="position:absolute;left:10370;top:1667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810</w:t>
                    </w:r>
                  </w:p>
                </w:txbxContent>
              </v:textbox>
              <w10:wrap type="none"/>
            </v:shape>
            <v:shape style="position:absolute;left:6431;top:2124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780.00</w:t>
                    </w:r>
                  </w:p>
                </w:txbxContent>
              </v:textbox>
              <w10:wrap type="none"/>
            </v:shape>
            <v:shape style="position:absolute;left:7557;top:2358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8838;top:2358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10119;top:2358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spacing w:before="8"/>
        <w:rPr>
          <w:i/>
          <w:sz w:val="14"/>
        </w:rPr>
      </w:pPr>
    </w:p>
    <w:p>
      <w:pPr>
        <w:spacing w:before="0"/>
        <w:ind w:left="317" w:right="907" w:firstLine="0"/>
        <w:jc w:val="left"/>
        <w:rPr>
          <w:i/>
          <w:sz w:val="18"/>
        </w:rPr>
      </w:pPr>
      <w:r>
        <w:rPr/>
        <w:pict>
          <v:group style="position:absolute;margin-left:382.545013pt;margin-top:82.344353pt;width:143.8pt;height:10.6pt;mso-position-horizontal-relative:page;mso-position-vertical-relative:paragraph;z-index:-17335808" coordorigin="7651,1647" coordsize="2876,212">
            <v:shape style="position:absolute;left:7708;top:1702;width:2762;height:96" coordorigin="7709,1703" coordsize="2762,96" path="m7709,1703l9089,1799,10470,1704e" filled="false" stroked="true" strokeweight="2.25pt" strokecolor="#4f81bc">
              <v:path arrowok="t"/>
              <v:stroke dashstyle="solid"/>
            </v:shape>
            <v:shape style="position:absolute;left:7650;top:1646;width:116;height:116" type="#_x0000_t75" stroked="false">
              <v:imagedata r:id="rId157" o:title=""/>
            </v:shape>
            <v:shape style="position:absolute;left:9030;top:1742;width:116;height:116" type="#_x0000_t75" stroked="false">
              <v:imagedata r:id="rId157" o:title=""/>
            </v:shape>
            <v:shape style="position:absolute;left:10410;top:1646;width:116;height:116" type="#_x0000_t75" stroked="false">
              <v:imagedata r:id="rId157" o:title=""/>
            </v:shape>
            <w10:wrap type="none"/>
          </v:group>
        </w:pict>
      </w:r>
      <w:r>
        <w:rPr>
          <w:i/>
          <w:color w:val="44536A"/>
          <w:sz w:val="18"/>
        </w:rPr>
        <w:t>Figure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3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Hargjimi</w:t>
      </w:r>
      <w:r>
        <w:rPr>
          <w:i/>
          <w:color w:val="44536A"/>
          <w:spacing w:val="-3"/>
          <w:sz w:val="18"/>
        </w:rPr>
        <w:t> </w:t>
      </w:r>
      <w:r>
        <w:rPr>
          <w:i/>
          <w:color w:val="44536A"/>
          <w:sz w:val="18"/>
        </w:rPr>
        <w:t>specifiki</w:t>
      </w:r>
      <w:r>
        <w:rPr>
          <w:i/>
          <w:color w:val="44536A"/>
          <w:spacing w:val="-4"/>
          <w:sz w:val="18"/>
        </w:rPr>
        <w:t> </w:t>
      </w:r>
      <w:r>
        <w:rPr>
          <w:i/>
          <w:color w:val="44536A"/>
          <w:sz w:val="18"/>
        </w:rPr>
        <w:t>energjise</w:t>
      </w:r>
      <w:r>
        <w:rPr>
          <w:i/>
          <w:color w:val="44536A"/>
          <w:spacing w:val="-4"/>
          <w:sz w:val="18"/>
        </w:rPr>
        <w:t> </w:t>
      </w:r>
      <w:r>
        <w:rPr>
          <w:i/>
          <w:color w:val="44536A"/>
          <w:sz w:val="18"/>
        </w:rPr>
        <w:t>elektrike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per</w:t>
      </w:r>
      <w:r>
        <w:rPr>
          <w:i/>
          <w:color w:val="44536A"/>
          <w:spacing w:val="-5"/>
          <w:sz w:val="18"/>
        </w:rPr>
        <w:t> </w:t>
      </w:r>
      <w:r>
        <w:rPr>
          <w:i/>
          <w:color w:val="44536A"/>
          <w:sz w:val="18"/>
        </w:rPr>
        <w:t>prodhim</w:t>
      </w:r>
      <w:r>
        <w:rPr>
          <w:i/>
          <w:color w:val="44536A"/>
          <w:spacing w:val="-4"/>
          <w:sz w:val="18"/>
        </w:rPr>
        <w:t> </w:t>
      </w:r>
      <w:r>
        <w:rPr>
          <w:i/>
          <w:color w:val="44536A"/>
          <w:sz w:val="18"/>
        </w:rPr>
        <w:t>te</w:t>
      </w:r>
      <w:r>
        <w:rPr>
          <w:i/>
          <w:color w:val="44536A"/>
          <w:spacing w:val="-37"/>
          <w:sz w:val="18"/>
        </w:rPr>
        <w:t> </w:t>
      </w:r>
      <w:r>
        <w:rPr>
          <w:i/>
          <w:color w:val="44536A"/>
          <w:sz w:val="18"/>
        </w:rPr>
        <w:t>cimetos</w:t>
      </w:r>
    </w:p>
    <w:p>
      <w:pPr>
        <w:pStyle w:val="BodyText"/>
        <w:spacing w:before="6"/>
        <w:rPr>
          <w:i/>
          <w:sz w:val="14"/>
        </w:rPr>
      </w:pPr>
    </w:p>
    <w:tbl>
      <w:tblPr>
        <w:tblW w:w="0" w:type="auto"/>
        <w:jc w:val="left"/>
        <w:tblInd w:w="341" w:type="dxa"/>
        <w:tblBorders>
          <w:top w:val="single" w:sz="18" w:space="0" w:color="6FAC46"/>
          <w:left w:val="single" w:sz="18" w:space="0" w:color="6FAC46"/>
          <w:bottom w:val="single" w:sz="18" w:space="0" w:color="6FAC46"/>
          <w:right w:val="single" w:sz="18" w:space="0" w:color="6FAC46"/>
          <w:insideH w:val="single" w:sz="18" w:space="0" w:color="6FAC46"/>
          <w:insideV w:val="single" w:sz="18" w:space="0" w:color="6FAC4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8"/>
        <w:gridCol w:w="1382"/>
        <w:gridCol w:w="1381"/>
        <w:gridCol w:w="1379"/>
      </w:tblGrid>
      <w:tr>
        <w:trPr>
          <w:trHeight w:val="934" w:hRule="atLeast"/>
        </w:trPr>
        <w:tc>
          <w:tcPr>
            <w:tcW w:w="4860" w:type="dxa"/>
            <w:gridSpan w:val="4"/>
            <w:tcBorders>
              <w:bottom w:val="nil"/>
            </w:tcBorders>
          </w:tcPr>
          <w:p>
            <w:pPr>
              <w:pStyle w:val="TableParagraph"/>
              <w:spacing w:before="86"/>
              <w:ind w:left="1662" w:right="212" w:hanging="152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Specific electrical energy consumption(SEEC)</w:t>
            </w:r>
            <w:r>
              <w:rPr>
                <w:rFonts w:ascii="Calibri"/>
                <w:b/>
                <w:spacing w:val="-52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kWh/tCement</w:t>
            </w:r>
          </w:p>
        </w:tc>
      </w:tr>
      <w:tr>
        <w:trPr>
          <w:trHeight w:val="382" w:hRule="atLeast"/>
        </w:trPr>
        <w:tc>
          <w:tcPr>
            <w:tcW w:w="718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3"/>
              <w:ind w:left="0"/>
              <w:rPr>
                <w:rFonts w:ascii="Calibri"/>
                <w:i/>
                <w:sz w:val="22"/>
              </w:rPr>
            </w:pPr>
          </w:p>
          <w:p>
            <w:pPr>
              <w:pStyle w:val="TableParagraph"/>
              <w:ind w:left="14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80.00</w:t>
            </w:r>
          </w:p>
        </w:tc>
        <w:tc>
          <w:tcPr>
            <w:tcW w:w="4142" w:type="dxa"/>
            <w:gridSpan w:val="3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spacing w:before="28"/>
              <w:ind w:left="0" w:right="12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94.83</w:t>
            </w:r>
          </w:p>
        </w:tc>
      </w:tr>
      <w:tr>
        <w:trPr>
          <w:trHeight w:val="192" w:hRule="atLeast"/>
        </w:trPr>
        <w:tc>
          <w:tcPr>
            <w:tcW w:w="718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2" w:type="dxa"/>
            <w:gridSpan w:val="3"/>
            <w:vMerge w:val="restart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176" w:hRule="atLeast"/>
        </w:trPr>
        <w:tc>
          <w:tcPr>
            <w:tcW w:w="718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65"/>
              <w:ind w:left="14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60.00</w:t>
            </w:r>
          </w:p>
        </w:tc>
        <w:tc>
          <w:tcPr>
            <w:tcW w:w="4142" w:type="dxa"/>
            <w:gridSpan w:val="3"/>
            <w:vMerge/>
            <w:tcBorders>
              <w:top w:val="nil"/>
              <w:left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1" w:hRule="atLeast"/>
        </w:trPr>
        <w:tc>
          <w:tcPr>
            <w:tcW w:w="718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42" w:type="dxa"/>
            <w:gridSpan w:val="3"/>
            <w:vMerge w:val="restart"/>
            <w:tcBorders>
              <w:top w:val="single" w:sz="6" w:space="0" w:color="D9D9D9"/>
              <w:left w:val="nil"/>
              <w:bottom w:val="single" w:sz="6" w:space="0" w:color="D9D9D9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161" w:hRule="atLeast"/>
        </w:trPr>
        <w:tc>
          <w:tcPr>
            <w:tcW w:w="718" w:type="dxa"/>
            <w:vMerge w:val="restart"/>
            <w:tcBorders>
              <w:top w:val="nil"/>
              <w:right w:val="nil"/>
            </w:tcBorders>
          </w:tcPr>
          <w:p>
            <w:pPr>
              <w:pStyle w:val="TableParagraph"/>
              <w:spacing w:before="65"/>
              <w:ind w:left="14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40.00</w:t>
            </w:r>
          </w:p>
        </w:tc>
        <w:tc>
          <w:tcPr>
            <w:tcW w:w="4142" w:type="dxa"/>
            <w:gridSpan w:val="3"/>
            <w:vMerge/>
            <w:tcBorders>
              <w:top w:val="nil"/>
              <w:left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0" w:hRule="atLeast"/>
        </w:trPr>
        <w:tc>
          <w:tcPr>
            <w:tcW w:w="718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tcBorders>
              <w:top w:val="single" w:sz="6" w:space="0" w:color="D9D9D9"/>
              <w:left w:val="nil"/>
              <w:right w:val="nil"/>
            </w:tcBorders>
          </w:tcPr>
          <w:p>
            <w:pPr>
              <w:pStyle w:val="TableParagraph"/>
              <w:spacing w:line="208" w:lineRule="exact" w:before="92"/>
              <w:ind w:left="509" w:right="46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2020</w:t>
            </w:r>
          </w:p>
        </w:tc>
        <w:tc>
          <w:tcPr>
            <w:tcW w:w="1381" w:type="dxa"/>
            <w:tcBorders>
              <w:top w:val="single" w:sz="6" w:space="0" w:color="D9D9D9"/>
              <w:left w:val="nil"/>
              <w:right w:val="nil"/>
            </w:tcBorders>
          </w:tcPr>
          <w:p>
            <w:pPr>
              <w:pStyle w:val="TableParagraph"/>
              <w:spacing w:line="208" w:lineRule="exact" w:before="92"/>
              <w:ind w:left="508" w:right="46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1379" w:type="dxa"/>
            <w:tcBorders>
              <w:top w:val="single" w:sz="6" w:space="0" w:color="D9D9D9"/>
              <w:left w:val="nil"/>
            </w:tcBorders>
          </w:tcPr>
          <w:p>
            <w:pPr>
              <w:pStyle w:val="TableParagraph"/>
              <w:spacing w:line="208" w:lineRule="exact" w:before="92"/>
              <w:ind w:left="507" w:right="443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2022</w:t>
            </w:r>
          </w:p>
        </w:tc>
      </w:tr>
    </w:tbl>
    <w:p>
      <w:pPr>
        <w:spacing w:after="0" w:line="208" w:lineRule="exact"/>
        <w:jc w:val="center"/>
        <w:rPr>
          <w:rFonts w:ascii="Calibri"/>
          <w:sz w:val="18"/>
        </w:rPr>
        <w:sectPr>
          <w:type w:val="continuous"/>
          <w:pgSz w:w="12240" w:h="15840"/>
          <w:pgMar w:top="1500" w:bottom="280" w:left="200" w:right="140"/>
          <w:cols w:num="2" w:equalWidth="0">
            <w:col w:w="5744" w:space="40"/>
            <w:col w:w="6116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7"/>
        </w:rPr>
      </w:pPr>
    </w:p>
    <w:p>
      <w:pPr>
        <w:spacing w:before="91"/>
        <w:ind w:left="88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2240" w:h="15840"/>
          <w:pgMar w:top="1500" w:bottom="280" w:left="200" w:right="1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tabs>
          <w:tab w:pos="6100" w:val="left" w:leader="none"/>
        </w:tabs>
        <w:spacing w:before="64"/>
        <w:ind w:left="880" w:right="0" w:firstLine="0"/>
        <w:jc w:val="left"/>
        <w:rPr>
          <w:b/>
          <w:sz w:val="22"/>
        </w:rPr>
      </w:pPr>
      <w:r>
        <w:rPr/>
        <w:pict>
          <v:shape style="position:absolute;margin-left:517.099976pt;margin-top:-36.470654pt;width:82.15pt;height:69.75pt;mso-position-horizontal-relative:page;mso-position-vertical-relative:paragraph;z-index:-17333760" type="#_x0000_t202" filled="true" fillcolor="#92d050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rFonts w:ascii="Times New Roman"/>
                      <w:sz w:val="32"/>
                    </w:rPr>
                  </w:pPr>
                </w:p>
                <w:p>
                  <w:pPr>
                    <w:spacing w:before="0"/>
                    <w:ind w:left="1007" w:right="0" w:firstLine="0"/>
                    <w:jc w:val="lef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FFFFFF"/>
                      <w:sz w:val="24"/>
                    </w:rPr>
                    <w:t>10</w:t>
                  </w:r>
                </w:p>
              </w:txbxContent>
            </v:textbox>
            <v:fill type="solid"/>
            <w10:wrap type="none"/>
          </v:shape>
        </w:pict>
      </w:r>
      <w:r>
        <w:rPr>
          <w:i/>
          <w:color w:val="44536A"/>
          <w:sz w:val="18"/>
        </w:rPr>
        <w:t>Figure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9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Emisionet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specifike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te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CO2per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produkte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te</w:t>
      </w:r>
      <w:r>
        <w:rPr>
          <w:i/>
          <w:color w:val="44536A"/>
          <w:spacing w:val="-2"/>
          <w:sz w:val="18"/>
        </w:rPr>
        <w:t> </w:t>
      </w:r>
      <w:r>
        <w:rPr>
          <w:i/>
          <w:color w:val="44536A"/>
          <w:sz w:val="18"/>
        </w:rPr>
        <w:t>cimetos</w:t>
        <w:tab/>
      </w:r>
      <w:r>
        <w:rPr>
          <w:b/>
          <w:w w:val="105"/>
          <w:position w:val="-3"/>
          <w:sz w:val="22"/>
        </w:rPr>
        <w:t>Komente:</w:t>
      </w:r>
    </w:p>
    <w:p>
      <w:pPr>
        <w:pStyle w:val="BodyText"/>
        <w:spacing w:before="9"/>
        <w:rPr>
          <w:b/>
          <w:sz w:val="21"/>
        </w:rPr>
      </w:pPr>
    </w:p>
    <w:p>
      <w:pPr>
        <w:pStyle w:val="ListParagraph"/>
        <w:numPr>
          <w:ilvl w:val="1"/>
          <w:numId w:val="4"/>
        </w:numPr>
        <w:tabs>
          <w:tab w:pos="6822" w:val="left" w:leader="none"/>
        </w:tabs>
        <w:spacing w:line="240" w:lineRule="auto" w:before="0" w:after="0"/>
        <w:ind w:left="6821" w:right="1396" w:hanging="360"/>
        <w:jc w:val="left"/>
        <w:rPr>
          <w:sz w:val="22"/>
        </w:rPr>
      </w:pPr>
      <w:r>
        <w:rPr/>
        <w:pict>
          <v:group style="position:absolute;margin-left:53.5pt;margin-top:-6.376369pt;width:244pt;height:120.25pt;mso-position-horizontal-relative:page;mso-position-vertical-relative:paragraph;z-index:15770112" coordorigin="1070,-128" coordsize="4880,2405">
            <v:shape style="position:absolute;left:1878;top:966;width:3842;height:419" coordorigin="1878,966" coordsize="3842,419" path="m1878,1385l5720,1385m1878,966l5720,966e" filled="false" stroked="true" strokeweight=".75pt" strokecolor="#d9d9d9">
              <v:path arrowok="t"/>
              <v:stroke dashstyle="solid"/>
            </v:shape>
            <v:shape style="position:absolute;left:2518;top:1007;width:2562;height:419" coordorigin="2519,1008" coordsize="2562,419" path="m2519,1030l3799,1427,5080,1008e" filled="false" stroked="true" strokeweight="2.25pt" strokecolor="#5b9bd4">
              <v:path arrowok="t"/>
              <v:stroke dashstyle="solid"/>
            </v:shape>
            <v:shape style="position:absolute;left:2459;top:971;width:116;height:116" type="#_x0000_t75" stroked="false">
              <v:imagedata r:id="rId158" o:title=""/>
            </v:shape>
            <v:shape style="position:absolute;left:3741;top:1367;width:116;height:116" type="#_x0000_t75" stroked="false">
              <v:imagedata r:id="rId158" o:title=""/>
            </v:shape>
            <v:shape style="position:absolute;left:5022;top:950;width:116;height:116" type="#_x0000_t75" stroked="false">
              <v:imagedata r:id="rId158" o:title=""/>
            </v:shape>
            <v:line style="position:absolute" from="1878,1803" to="5720,1803" stroked="true" strokeweight=".75pt" strokecolor="#d9d9d9">
              <v:stroke dashstyle="solid"/>
            </v:line>
            <v:rect style="position:absolute;left:1080;top:-118;width:4860;height:2385" filled="false" stroked="true" strokeweight="1pt" strokecolor="#6fac46">
              <v:stroke dashstyle="solid"/>
            </v:rect>
            <v:shape style="position:absolute;left:1919;top:88;width:3366;height:779" type="#_x0000_t202" filled="false" stroked="false">
              <v:textbox inset="0,0,0,0">
                <w:txbxContent>
                  <w:p>
                    <w:pPr>
                      <w:spacing w:line="286" w:lineRule="exact" w:before="0"/>
                      <w:ind w:left="0" w:right="185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Specific</w:t>
                    </w:r>
                    <w:r>
                      <w:rPr>
                        <w:b/>
                        <w:spacing w:val="-6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Net</w:t>
                    </w:r>
                    <w:r>
                      <w:rPr>
                        <w:b/>
                        <w:spacing w:val="58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CO2</w:t>
                    </w:r>
                    <w:r>
                      <w:rPr>
                        <w:b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Emissions</w:t>
                    </w:r>
                  </w:p>
                  <w:p>
                    <w:pPr>
                      <w:spacing w:line="308" w:lineRule="exact" w:before="1"/>
                      <w:ind w:left="0" w:right="177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[kgCO2/tCementitios]</w:t>
                    </w:r>
                  </w:p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598</w:t>
                    </w:r>
                  </w:p>
                </w:txbxContent>
              </v:textbox>
              <w10:wrap type="none"/>
            </v:shape>
            <v:shape style="position:absolute;left:1210;top:881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600.00</w:t>
                    </w:r>
                  </w:p>
                </w:txbxContent>
              </v:textbox>
              <w10:wrap type="none"/>
            </v:shape>
            <v:shape style="position:absolute;left:2459;top:1157;width:2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597</w:t>
                    </w:r>
                  </w:p>
                </w:txbxContent>
              </v:textbox>
              <w10:wrap type="none"/>
            </v:shape>
            <v:shape style="position:absolute;left:1210;top:1300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580.00</w:t>
                    </w:r>
                  </w:p>
                </w:txbxContent>
              </v:textbox>
              <w10:wrap type="none"/>
            </v:shape>
            <v:shape style="position:absolute;left:3847;top:1178;width:2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578</w:t>
                    </w:r>
                  </w:p>
                </w:txbxContent>
              </v:textbox>
              <w10:wrap type="none"/>
            </v:shape>
            <v:shape style="position:absolute;left:1210;top:1719;width:52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560.00</w:t>
                    </w:r>
                  </w:p>
                </w:txbxContent>
              </v:textbox>
              <w10:wrap type="none"/>
            </v:shape>
            <v:shape style="position:absolute;left:2336;top:19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2020</w:t>
                    </w:r>
                  </w:p>
                </w:txbxContent>
              </v:textbox>
              <w10:wrap type="none"/>
            </v:shape>
            <v:shape style="position:absolute;left:3617;top:19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4898;top:1953;width:38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25"/>
          <w:sz w:val="22"/>
        </w:rPr>
        <w:t>Rritja</w:t>
      </w:r>
      <w:r>
        <w:rPr>
          <w:spacing w:val="-6"/>
          <w:w w:val="125"/>
          <w:sz w:val="22"/>
        </w:rPr>
        <w:t> </w:t>
      </w:r>
      <w:r>
        <w:rPr>
          <w:w w:val="125"/>
          <w:sz w:val="22"/>
        </w:rPr>
        <w:t>e</w:t>
      </w:r>
      <w:r>
        <w:rPr>
          <w:spacing w:val="-4"/>
          <w:w w:val="125"/>
          <w:sz w:val="22"/>
        </w:rPr>
        <w:t> </w:t>
      </w:r>
      <w:r>
        <w:rPr>
          <w:w w:val="125"/>
          <w:sz w:val="22"/>
        </w:rPr>
        <w:t>emisioneve</w:t>
      </w:r>
      <w:r>
        <w:rPr>
          <w:spacing w:val="-3"/>
          <w:w w:val="125"/>
          <w:sz w:val="22"/>
        </w:rPr>
        <w:t> </w:t>
      </w:r>
      <w:r>
        <w:rPr>
          <w:w w:val="125"/>
          <w:sz w:val="22"/>
        </w:rPr>
        <w:t>totale</w:t>
      </w:r>
      <w:r>
        <w:rPr>
          <w:spacing w:val="-1"/>
          <w:w w:val="125"/>
          <w:sz w:val="22"/>
        </w:rPr>
        <w:t> </w:t>
      </w:r>
      <w:r>
        <w:rPr>
          <w:w w:val="125"/>
          <w:sz w:val="22"/>
        </w:rPr>
        <w:t>të</w:t>
      </w:r>
      <w:r>
        <w:rPr>
          <w:spacing w:val="-2"/>
          <w:w w:val="125"/>
          <w:sz w:val="22"/>
        </w:rPr>
        <w:t> </w:t>
      </w:r>
      <w:r>
        <w:rPr>
          <w:w w:val="125"/>
          <w:sz w:val="22"/>
        </w:rPr>
        <w:t>CO2</w:t>
      </w:r>
      <w:r>
        <w:rPr>
          <w:spacing w:val="-59"/>
          <w:w w:val="125"/>
          <w:sz w:val="22"/>
        </w:rPr>
        <w:t> </w:t>
      </w:r>
      <w:r>
        <w:rPr>
          <w:w w:val="125"/>
          <w:sz w:val="22"/>
        </w:rPr>
        <w:t>lidhet me</w:t>
      </w:r>
      <w:r>
        <w:rPr>
          <w:spacing w:val="1"/>
          <w:w w:val="125"/>
          <w:sz w:val="22"/>
        </w:rPr>
        <w:t> </w:t>
      </w:r>
      <w:r>
        <w:rPr>
          <w:w w:val="125"/>
          <w:sz w:val="22"/>
        </w:rPr>
        <w:t>rritjen e prodhimit në</w:t>
      </w:r>
      <w:r>
        <w:rPr>
          <w:spacing w:val="1"/>
          <w:w w:val="125"/>
          <w:sz w:val="22"/>
        </w:rPr>
        <w:t> </w:t>
      </w:r>
      <w:r>
        <w:rPr>
          <w:w w:val="125"/>
          <w:sz w:val="22"/>
        </w:rPr>
        <w:t>fabrikën</w:t>
      </w:r>
      <w:r>
        <w:rPr>
          <w:spacing w:val="-2"/>
          <w:w w:val="125"/>
          <w:sz w:val="22"/>
        </w:rPr>
        <w:t> </w:t>
      </w:r>
      <w:r>
        <w:rPr>
          <w:w w:val="125"/>
          <w:sz w:val="22"/>
        </w:rPr>
        <w:t>tonë.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4"/>
        </w:numPr>
        <w:tabs>
          <w:tab w:pos="6822" w:val="left" w:leader="none"/>
        </w:tabs>
        <w:spacing w:line="240" w:lineRule="auto" w:before="1" w:after="0"/>
        <w:ind w:left="6821" w:right="1340" w:hanging="360"/>
        <w:jc w:val="left"/>
        <w:rPr>
          <w:sz w:val="22"/>
        </w:rPr>
      </w:pPr>
      <w:r>
        <w:rPr>
          <w:w w:val="125"/>
          <w:sz w:val="22"/>
        </w:rPr>
        <w:t>Emisionet specifike të CO2 për</w:t>
      </w:r>
      <w:r>
        <w:rPr>
          <w:spacing w:val="1"/>
          <w:w w:val="125"/>
          <w:sz w:val="22"/>
        </w:rPr>
        <w:t> </w:t>
      </w:r>
      <w:r>
        <w:rPr>
          <w:w w:val="125"/>
          <w:sz w:val="22"/>
        </w:rPr>
        <w:t>produkte të cimentos është rritur</w:t>
      </w:r>
      <w:r>
        <w:rPr>
          <w:spacing w:val="-61"/>
          <w:w w:val="125"/>
          <w:sz w:val="22"/>
        </w:rPr>
        <w:t> </w:t>
      </w:r>
      <w:r>
        <w:rPr>
          <w:w w:val="125"/>
          <w:sz w:val="22"/>
        </w:rPr>
        <w:t>sepse këtë vit kemi pasur më pak</w:t>
      </w:r>
      <w:r>
        <w:rPr>
          <w:spacing w:val="-60"/>
          <w:w w:val="125"/>
          <w:sz w:val="22"/>
        </w:rPr>
        <w:t> </w:t>
      </w:r>
      <w:r>
        <w:rPr>
          <w:w w:val="125"/>
          <w:sz w:val="22"/>
        </w:rPr>
        <w:t>klinker</w:t>
      </w:r>
      <w:r>
        <w:rPr>
          <w:spacing w:val="-3"/>
          <w:w w:val="125"/>
          <w:sz w:val="22"/>
        </w:rPr>
        <w:t> </w:t>
      </w:r>
      <w:r>
        <w:rPr>
          <w:w w:val="125"/>
          <w:sz w:val="22"/>
        </w:rPr>
        <w:t>të</w:t>
      </w:r>
      <w:r>
        <w:rPr>
          <w:spacing w:val="1"/>
          <w:w w:val="125"/>
          <w:sz w:val="22"/>
        </w:rPr>
        <w:t> </w:t>
      </w:r>
      <w:r>
        <w:rPr>
          <w:w w:val="125"/>
          <w:sz w:val="22"/>
        </w:rPr>
        <w:t>importuar.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2"/>
        <w:spacing w:before="135"/>
        <w:ind w:left="5268" w:right="1477"/>
      </w:pPr>
      <w:r>
        <w:rPr>
          <w:color w:val="001F5F"/>
          <w:spacing w:val="-6"/>
        </w:rPr>
        <w:t>Plani</w:t>
      </w:r>
      <w:r>
        <w:rPr>
          <w:color w:val="001F5F"/>
          <w:spacing w:val="-16"/>
        </w:rPr>
        <w:t> </w:t>
      </w:r>
      <w:r>
        <w:rPr>
          <w:color w:val="001F5F"/>
          <w:spacing w:val="-6"/>
        </w:rPr>
        <w:t>i</w:t>
      </w:r>
      <w:r>
        <w:rPr>
          <w:color w:val="001F5F"/>
          <w:spacing w:val="-16"/>
        </w:rPr>
        <w:t> </w:t>
      </w:r>
      <w:r>
        <w:rPr>
          <w:color w:val="001F5F"/>
          <w:spacing w:val="-6"/>
        </w:rPr>
        <w:t>Rehabilitimit</w:t>
      </w:r>
      <w:r>
        <w:rPr>
          <w:color w:val="001F5F"/>
          <w:spacing w:val="-14"/>
        </w:rPr>
        <w:t> </w:t>
      </w:r>
      <w:r>
        <w:rPr>
          <w:color w:val="001F5F"/>
          <w:spacing w:val="-6"/>
        </w:rPr>
        <w:t>të</w:t>
      </w:r>
      <w:r>
        <w:rPr>
          <w:color w:val="001F5F"/>
          <w:spacing w:val="-15"/>
        </w:rPr>
        <w:t> </w:t>
      </w:r>
      <w:r>
        <w:rPr>
          <w:color w:val="001F5F"/>
          <w:spacing w:val="-6"/>
        </w:rPr>
        <w:t>Minierës</w:t>
      </w:r>
      <w:r>
        <w:rPr>
          <w:color w:val="001F5F"/>
          <w:spacing w:val="-15"/>
        </w:rPr>
        <w:t> </w:t>
      </w:r>
      <w:r>
        <w:rPr>
          <w:color w:val="001F5F"/>
          <w:spacing w:val="-6"/>
        </w:rPr>
        <w:t>së</w:t>
      </w:r>
      <w:r>
        <w:rPr>
          <w:color w:val="001F5F"/>
          <w:spacing w:val="-15"/>
        </w:rPr>
        <w:t> </w:t>
      </w:r>
      <w:r>
        <w:rPr>
          <w:color w:val="001F5F"/>
          <w:spacing w:val="-6"/>
        </w:rPr>
        <w:t>Mergeles</w:t>
      </w:r>
      <w:r>
        <w:rPr>
          <w:color w:val="313D4F"/>
          <w:spacing w:val="-6"/>
        </w:rPr>
        <w:t>,</w:t>
      </w:r>
      <w:r>
        <w:rPr>
          <w:color w:val="313D4F"/>
          <w:spacing w:val="-87"/>
        </w:rPr>
        <w:t> </w:t>
      </w:r>
      <w:r>
        <w:rPr>
          <w:color w:val="1F3863"/>
        </w:rPr>
        <w:t>DIMCE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top="360" w:bottom="280" w:left="200" w:right="140"/>
        </w:sectPr>
      </w:pPr>
    </w:p>
    <w:p>
      <w:pPr>
        <w:pStyle w:val="Heading7"/>
        <w:tabs>
          <w:tab w:pos="2453" w:val="left" w:leader="none"/>
          <w:tab w:pos="2779" w:val="left" w:leader="none"/>
          <w:tab w:pos="4247" w:val="left" w:leader="none"/>
          <w:tab w:pos="4794" w:val="left" w:leader="none"/>
          <w:tab w:pos="5613" w:val="left" w:leader="none"/>
        </w:tabs>
        <w:spacing w:before="56"/>
      </w:pPr>
      <w:r>
        <w:rPr>
          <w:color w:val="252525"/>
          <w:w w:val="115"/>
        </w:rPr>
        <w:t>MENAXHIMI</w:t>
        <w:tab/>
        <w:t>I</w:t>
        <w:tab/>
        <w:t>NDIKIMEVE</w:t>
        <w:tab/>
        <w:t>NË</w:t>
        <w:tab/>
        <w:t>TOKË</w:t>
        <w:tab/>
      </w:r>
      <w:r>
        <w:rPr>
          <w:color w:val="252525"/>
          <w:spacing w:val="-7"/>
          <w:w w:val="115"/>
        </w:rPr>
        <w:t>–</w:t>
      </w:r>
    </w:p>
    <w:p>
      <w:pPr>
        <w:spacing w:before="1"/>
        <w:ind w:left="880" w:right="0" w:firstLine="0"/>
        <w:jc w:val="left"/>
        <w:rPr>
          <w:b/>
          <w:sz w:val="22"/>
        </w:rPr>
      </w:pPr>
      <w:r>
        <w:rPr>
          <w:b/>
          <w:color w:val="252525"/>
          <w:w w:val="115"/>
          <w:sz w:val="22"/>
        </w:rPr>
        <w:t>REHABILITIMI</w:t>
      </w:r>
      <w:r>
        <w:rPr>
          <w:b/>
          <w:color w:val="252525"/>
          <w:spacing w:val="-4"/>
          <w:w w:val="115"/>
          <w:sz w:val="22"/>
        </w:rPr>
        <w:t> </w:t>
      </w:r>
      <w:r>
        <w:rPr>
          <w:b/>
          <w:color w:val="252525"/>
          <w:w w:val="115"/>
          <w:sz w:val="22"/>
        </w:rPr>
        <w:t>I</w:t>
      </w:r>
      <w:r>
        <w:rPr>
          <w:b/>
          <w:color w:val="252525"/>
          <w:spacing w:val="-2"/>
          <w:w w:val="115"/>
          <w:sz w:val="22"/>
        </w:rPr>
        <w:t> </w:t>
      </w:r>
      <w:r>
        <w:rPr>
          <w:b/>
          <w:color w:val="252525"/>
          <w:w w:val="115"/>
          <w:sz w:val="22"/>
        </w:rPr>
        <w:t>MINIERES</w:t>
      </w:r>
    </w:p>
    <w:p>
      <w:pPr>
        <w:pStyle w:val="BodyText"/>
        <w:rPr>
          <w:b/>
        </w:rPr>
      </w:pPr>
    </w:p>
    <w:p>
      <w:pPr>
        <w:spacing w:line="240" w:lineRule="auto" w:before="0"/>
        <w:ind w:left="880" w:right="475" w:firstLine="0"/>
        <w:jc w:val="left"/>
        <w:rPr>
          <w:sz w:val="22"/>
        </w:rPr>
      </w:pPr>
      <w:r>
        <w:rPr>
          <w:b/>
          <w:w w:val="115"/>
          <w:sz w:val="22"/>
        </w:rPr>
        <w:t>Miniera</w:t>
      </w:r>
      <w:r>
        <w:rPr>
          <w:b/>
          <w:spacing w:val="-7"/>
          <w:w w:val="115"/>
          <w:sz w:val="22"/>
        </w:rPr>
        <w:t> </w:t>
      </w:r>
      <w:r>
        <w:rPr>
          <w:b/>
          <w:w w:val="115"/>
          <w:sz w:val="22"/>
        </w:rPr>
        <w:t>e</w:t>
      </w:r>
      <w:r>
        <w:rPr>
          <w:b/>
          <w:spacing w:val="-1"/>
          <w:w w:val="115"/>
          <w:sz w:val="22"/>
        </w:rPr>
        <w:t> </w:t>
      </w:r>
      <w:r>
        <w:rPr>
          <w:b/>
          <w:w w:val="115"/>
          <w:sz w:val="22"/>
        </w:rPr>
        <w:t>Mergeles-</w:t>
      </w:r>
      <w:r>
        <w:rPr>
          <w:b/>
          <w:spacing w:val="-4"/>
          <w:w w:val="115"/>
          <w:sz w:val="22"/>
        </w:rPr>
        <w:t> </w:t>
      </w:r>
      <w:r>
        <w:rPr>
          <w:b/>
          <w:w w:val="115"/>
          <w:sz w:val="22"/>
        </w:rPr>
        <w:t>Dimce</w:t>
      </w:r>
      <w:r>
        <w:rPr>
          <w:b/>
          <w:spacing w:val="-3"/>
          <w:w w:val="115"/>
          <w:sz w:val="22"/>
        </w:rPr>
        <w:t> </w:t>
      </w:r>
      <w:r>
        <w:rPr>
          <w:b/>
          <w:w w:val="115"/>
          <w:sz w:val="22"/>
        </w:rPr>
        <w:t>-</w:t>
      </w:r>
      <w:r>
        <w:rPr>
          <w:b/>
          <w:spacing w:val="-4"/>
          <w:w w:val="115"/>
          <w:sz w:val="22"/>
        </w:rPr>
        <w:t> </w:t>
      </w:r>
      <w:r>
        <w:rPr>
          <w:b/>
          <w:w w:val="115"/>
          <w:sz w:val="22"/>
        </w:rPr>
        <w:t>Objektivat</w:t>
      </w:r>
      <w:r>
        <w:rPr>
          <w:w w:val="115"/>
          <w:sz w:val="22"/>
        </w:rPr>
        <w:t>:</w:t>
      </w:r>
      <w:r>
        <w:rPr>
          <w:spacing w:val="-54"/>
          <w:w w:val="115"/>
          <w:sz w:val="22"/>
        </w:rPr>
        <w:t> </w:t>
      </w:r>
      <w:r>
        <w:rPr>
          <w:w w:val="115"/>
          <w:sz w:val="22"/>
        </w:rPr>
        <w:t>Faza e operimit : Rehabilitimi progresiv i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etaxhave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të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shfrytezuara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me</w:t>
      </w:r>
      <w:r>
        <w:rPr>
          <w:spacing w:val="-2"/>
          <w:w w:val="115"/>
          <w:sz w:val="22"/>
        </w:rPr>
        <w:t> </w:t>
      </w:r>
      <w:r>
        <w:rPr>
          <w:w w:val="115"/>
          <w:sz w:val="22"/>
        </w:rPr>
        <w:t>aplikimin</w:t>
      </w:r>
      <w:r>
        <w:rPr>
          <w:spacing w:val="-3"/>
          <w:w w:val="115"/>
          <w:sz w:val="22"/>
        </w:rPr>
        <w:t> </w:t>
      </w:r>
      <w:r>
        <w:rPr>
          <w:w w:val="115"/>
          <w:sz w:val="22"/>
        </w:rPr>
        <w:t>e</w:t>
      </w:r>
    </w:p>
    <w:p>
      <w:pPr>
        <w:pStyle w:val="BodyText"/>
        <w:spacing w:line="267" w:lineRule="exact"/>
        <w:ind w:left="880"/>
      </w:pPr>
      <w:r>
        <w:rPr>
          <w:w w:val="115"/>
        </w:rPr>
        <w:t>rimbushje</w:t>
      </w:r>
      <w:r>
        <w:rPr>
          <w:spacing w:val="-2"/>
          <w:w w:val="115"/>
        </w:rPr>
        <w:t> </w:t>
      </w:r>
      <w:r>
        <w:rPr>
          <w:w w:val="115"/>
        </w:rPr>
        <w:t>me</w:t>
      </w:r>
      <w:r>
        <w:rPr>
          <w:spacing w:val="-4"/>
          <w:w w:val="115"/>
        </w:rPr>
        <w:t> </w:t>
      </w:r>
      <w:r>
        <w:rPr>
          <w:w w:val="115"/>
        </w:rPr>
        <w:t>dhe</w:t>
      </w:r>
      <w:r>
        <w:rPr>
          <w:spacing w:val="-2"/>
          <w:w w:val="115"/>
        </w:rPr>
        <w:t> </w:t>
      </w:r>
      <w:r>
        <w:rPr>
          <w:w w:val="115"/>
        </w:rPr>
        <w:t>si</w:t>
      </w:r>
      <w:r>
        <w:rPr>
          <w:spacing w:val="52"/>
          <w:w w:val="115"/>
        </w:rPr>
        <w:t> </w:t>
      </w:r>
      <w:r>
        <w:rPr>
          <w:w w:val="115"/>
        </w:rPr>
        <w:t>dhe</w:t>
      </w:r>
      <w:r>
        <w:rPr>
          <w:spacing w:val="-1"/>
          <w:w w:val="115"/>
        </w:rPr>
        <w:t> </w:t>
      </w:r>
      <w:r>
        <w:rPr>
          <w:w w:val="115"/>
        </w:rPr>
        <w:t>mbjelljen</w:t>
      </w:r>
      <w:r>
        <w:rPr>
          <w:spacing w:val="-4"/>
          <w:w w:val="115"/>
        </w:rPr>
        <w:t> </w:t>
      </w:r>
      <w:r>
        <w:rPr>
          <w:w w:val="115"/>
        </w:rPr>
        <w:t>e</w:t>
      </w:r>
      <w:r>
        <w:rPr>
          <w:spacing w:val="-4"/>
          <w:w w:val="115"/>
        </w:rPr>
        <w:t> </w:t>
      </w:r>
      <w:r>
        <w:rPr>
          <w:w w:val="115"/>
        </w:rPr>
        <w:t>fidaneve</w:t>
      </w:r>
      <w:r>
        <w:rPr>
          <w:spacing w:val="-3"/>
          <w:w w:val="115"/>
        </w:rPr>
        <w:t> </w:t>
      </w:r>
      <w:r>
        <w:rPr>
          <w:w w:val="115"/>
        </w:rPr>
        <w:t>.</w:t>
      </w:r>
    </w:p>
    <w:p>
      <w:pPr>
        <w:pStyle w:val="BodyText"/>
        <w:spacing w:before="1"/>
      </w:pPr>
    </w:p>
    <w:p>
      <w:pPr>
        <w:pStyle w:val="BodyText"/>
        <w:ind w:left="880" w:right="475"/>
      </w:pPr>
      <w:r>
        <w:rPr>
          <w:w w:val="115"/>
        </w:rPr>
        <w:t>Pas vendimit për zgjerimin e etaxhave</w:t>
      </w:r>
      <w:r>
        <w:rPr>
          <w:spacing w:val="1"/>
          <w:w w:val="115"/>
        </w:rPr>
        <w:t> </w:t>
      </w:r>
      <w:r>
        <w:rPr>
          <w:w w:val="115"/>
        </w:rPr>
        <w:t>në</w:t>
      </w:r>
      <w:r>
        <w:rPr>
          <w:spacing w:val="1"/>
          <w:w w:val="115"/>
        </w:rPr>
        <w:t> </w:t>
      </w:r>
      <w:r>
        <w:rPr>
          <w:w w:val="115"/>
        </w:rPr>
        <w:t>lindje të minieres</w:t>
      </w:r>
      <w:r>
        <w:rPr>
          <w:spacing w:val="1"/>
          <w:w w:val="115"/>
        </w:rPr>
        <w:t> </w:t>
      </w:r>
      <w:r>
        <w:rPr>
          <w:w w:val="115"/>
        </w:rPr>
        <w:t>për shfrytëzimin sa më</w:t>
      </w:r>
      <w:r>
        <w:rPr>
          <w:spacing w:val="1"/>
          <w:w w:val="115"/>
        </w:rPr>
        <w:t> </w:t>
      </w:r>
      <w:r>
        <w:rPr>
          <w:w w:val="115"/>
        </w:rPr>
        <w:t>racional</w:t>
      </w:r>
      <w:r>
        <w:rPr>
          <w:spacing w:val="-3"/>
          <w:w w:val="115"/>
        </w:rPr>
        <w:t> </w:t>
      </w:r>
      <w:r>
        <w:rPr>
          <w:w w:val="115"/>
        </w:rPr>
        <w:t>te</w:t>
      </w:r>
      <w:r>
        <w:rPr>
          <w:spacing w:val="-1"/>
          <w:w w:val="115"/>
        </w:rPr>
        <w:t> </w:t>
      </w:r>
      <w:r>
        <w:rPr>
          <w:w w:val="115"/>
        </w:rPr>
        <w:t>lendes</w:t>
      </w:r>
      <w:r>
        <w:rPr>
          <w:spacing w:val="-3"/>
          <w:w w:val="115"/>
        </w:rPr>
        <w:t> </w:t>
      </w:r>
      <w:r>
        <w:rPr>
          <w:w w:val="115"/>
        </w:rPr>
        <w:t>se</w:t>
      </w:r>
      <w:r>
        <w:rPr>
          <w:spacing w:val="-4"/>
          <w:w w:val="115"/>
        </w:rPr>
        <w:t> </w:t>
      </w:r>
      <w:r>
        <w:rPr>
          <w:w w:val="115"/>
        </w:rPr>
        <w:t>pare,</w:t>
      </w:r>
      <w:r>
        <w:rPr>
          <w:spacing w:val="-3"/>
          <w:w w:val="115"/>
        </w:rPr>
        <w:t> </w:t>
      </w:r>
      <w:r>
        <w:rPr>
          <w:w w:val="115"/>
        </w:rPr>
        <w:t>plani</w:t>
      </w:r>
      <w:r>
        <w:rPr>
          <w:spacing w:val="-3"/>
          <w:w w:val="115"/>
        </w:rPr>
        <w:t> </w:t>
      </w:r>
      <w:r>
        <w:rPr>
          <w:w w:val="115"/>
        </w:rPr>
        <w:t>progresiv</w:t>
      </w:r>
      <w:r>
        <w:rPr>
          <w:spacing w:val="-1"/>
          <w:w w:val="115"/>
        </w:rPr>
        <w:t> </w:t>
      </w:r>
      <w:r>
        <w:rPr>
          <w:w w:val="115"/>
        </w:rPr>
        <w:t>i</w:t>
      </w:r>
      <w:r>
        <w:rPr>
          <w:spacing w:val="-54"/>
          <w:w w:val="115"/>
        </w:rPr>
        <w:t> </w:t>
      </w:r>
      <w:r>
        <w:rPr>
          <w:w w:val="115"/>
        </w:rPr>
        <w:t>rehabilitimit të minieres</w:t>
      </w:r>
      <w:r>
        <w:rPr>
          <w:spacing w:val="1"/>
          <w:w w:val="115"/>
        </w:rPr>
        <w:t> </w:t>
      </w:r>
      <w:r>
        <w:rPr>
          <w:w w:val="115"/>
        </w:rPr>
        <w:t>së mergeles ne</w:t>
      </w:r>
      <w:r>
        <w:rPr>
          <w:spacing w:val="1"/>
          <w:w w:val="115"/>
        </w:rPr>
        <w:t> </w:t>
      </w:r>
      <w:r>
        <w:rPr>
          <w:w w:val="115"/>
        </w:rPr>
        <w:t>Dimce (plani rehabilitues 15 vjeçar) do të</w:t>
      </w:r>
      <w:r>
        <w:rPr>
          <w:spacing w:val="1"/>
          <w:w w:val="115"/>
        </w:rPr>
        <w:t> </w:t>
      </w:r>
      <w:r>
        <w:rPr>
          <w:w w:val="115"/>
        </w:rPr>
        <w:t>vazhdojë vitin</w:t>
      </w:r>
      <w:r>
        <w:rPr>
          <w:spacing w:val="-2"/>
          <w:w w:val="115"/>
        </w:rPr>
        <w:t> </w:t>
      </w:r>
      <w:r>
        <w:rPr>
          <w:w w:val="115"/>
        </w:rPr>
        <w:t>e ardhshëm.</w:t>
      </w:r>
    </w:p>
    <w:p>
      <w:pPr>
        <w:pStyle w:val="BodyText"/>
        <w:ind w:left="880" w:right="427"/>
      </w:pPr>
      <w:r>
        <w:rPr>
          <w:w w:val="115"/>
        </w:rPr>
        <w:t>Përqindja aktuale (%) e minierave</w:t>
      </w:r>
      <w:r>
        <w:rPr>
          <w:spacing w:val="1"/>
          <w:w w:val="115"/>
        </w:rPr>
        <w:t> </w:t>
      </w:r>
      <w:r>
        <w:rPr>
          <w:w w:val="115"/>
        </w:rPr>
        <w:t>të</w:t>
      </w:r>
      <w:r>
        <w:rPr>
          <w:spacing w:val="1"/>
          <w:w w:val="115"/>
        </w:rPr>
        <w:t> </w:t>
      </w:r>
      <w:r>
        <w:rPr>
          <w:w w:val="115"/>
        </w:rPr>
        <w:t>rehabilituara/të</w:t>
      </w:r>
      <w:r>
        <w:rPr>
          <w:spacing w:val="-3"/>
          <w:w w:val="115"/>
        </w:rPr>
        <w:t> </w:t>
      </w:r>
      <w:r>
        <w:rPr>
          <w:w w:val="115"/>
        </w:rPr>
        <w:t>afektuara</w:t>
      </w:r>
      <w:r>
        <w:rPr>
          <w:spacing w:val="50"/>
          <w:w w:val="115"/>
        </w:rPr>
        <w:t> </w:t>
      </w:r>
      <w:r>
        <w:rPr>
          <w:w w:val="115"/>
        </w:rPr>
        <w:t>është</w:t>
      </w:r>
      <w:r>
        <w:rPr>
          <w:spacing w:val="-3"/>
          <w:w w:val="115"/>
        </w:rPr>
        <w:t> </w:t>
      </w:r>
      <w:r>
        <w:rPr>
          <w:w w:val="115"/>
        </w:rPr>
        <w:t>rreth</w:t>
      </w:r>
      <w:r>
        <w:rPr>
          <w:spacing w:val="-5"/>
          <w:w w:val="115"/>
        </w:rPr>
        <w:t> </w:t>
      </w:r>
      <w:r>
        <w:rPr>
          <w:w w:val="115"/>
        </w:rPr>
        <w:t>23%</w:t>
      </w:r>
    </w:p>
    <w:p>
      <w:pPr>
        <w:pStyle w:val="BodyText"/>
      </w:pPr>
    </w:p>
    <w:p>
      <w:pPr>
        <w:pStyle w:val="BodyText"/>
        <w:ind w:left="880" w:right="285"/>
      </w:pPr>
      <w:r>
        <w:rPr>
          <w:w w:val="115"/>
        </w:rPr>
        <w:t>Deri</w:t>
      </w:r>
      <w:r>
        <w:rPr>
          <w:spacing w:val="-4"/>
          <w:w w:val="115"/>
        </w:rPr>
        <w:t> </w:t>
      </w:r>
      <w:r>
        <w:rPr>
          <w:w w:val="115"/>
        </w:rPr>
        <w:t>më</w:t>
      </w:r>
      <w:r>
        <w:rPr>
          <w:spacing w:val="-3"/>
          <w:w w:val="115"/>
        </w:rPr>
        <w:t> </w:t>
      </w:r>
      <w:r>
        <w:rPr>
          <w:w w:val="115"/>
        </w:rPr>
        <w:t>tani</w:t>
      </w:r>
      <w:r>
        <w:rPr>
          <w:spacing w:val="-2"/>
          <w:w w:val="115"/>
        </w:rPr>
        <w:t> </w:t>
      </w:r>
      <w:r>
        <w:rPr>
          <w:w w:val="115"/>
        </w:rPr>
        <w:t>janë</w:t>
      </w:r>
      <w:r>
        <w:rPr>
          <w:spacing w:val="-1"/>
          <w:w w:val="115"/>
        </w:rPr>
        <w:t> </w:t>
      </w:r>
      <w:r>
        <w:rPr>
          <w:w w:val="115"/>
        </w:rPr>
        <w:t>mbjellë</w:t>
      </w:r>
      <w:r>
        <w:rPr>
          <w:spacing w:val="-1"/>
          <w:w w:val="115"/>
        </w:rPr>
        <w:t> </w:t>
      </w:r>
      <w:r>
        <w:rPr>
          <w:w w:val="115"/>
        </w:rPr>
        <w:t>më</w:t>
      </w:r>
      <w:r>
        <w:rPr>
          <w:spacing w:val="-1"/>
          <w:w w:val="115"/>
        </w:rPr>
        <w:t> </w:t>
      </w:r>
      <w:r>
        <w:rPr>
          <w:w w:val="115"/>
        </w:rPr>
        <w:t>shumë</w:t>
      </w:r>
      <w:r>
        <w:rPr>
          <w:spacing w:val="-3"/>
          <w:w w:val="115"/>
        </w:rPr>
        <w:t> </w:t>
      </w:r>
      <w:r>
        <w:rPr>
          <w:w w:val="115"/>
        </w:rPr>
        <w:t>se</w:t>
      </w:r>
      <w:r>
        <w:rPr>
          <w:spacing w:val="-3"/>
          <w:w w:val="115"/>
        </w:rPr>
        <w:t> </w:t>
      </w:r>
      <w:r>
        <w:rPr>
          <w:w w:val="115"/>
        </w:rPr>
        <w:t>1200</w:t>
      </w:r>
      <w:r>
        <w:rPr>
          <w:spacing w:val="-54"/>
          <w:w w:val="115"/>
        </w:rPr>
        <w:t> </w:t>
      </w:r>
      <w:r>
        <w:rPr>
          <w:w w:val="115"/>
        </w:rPr>
        <w:t>fidane</w:t>
      </w:r>
      <w:r>
        <w:rPr>
          <w:spacing w:val="1"/>
          <w:w w:val="115"/>
        </w:rPr>
        <w:t> </w:t>
      </w:r>
      <w:r>
        <w:rPr>
          <w:w w:val="115"/>
        </w:rPr>
        <w:t>të reja, që nga fillimi i programit të</w:t>
      </w:r>
      <w:r>
        <w:rPr>
          <w:spacing w:val="1"/>
          <w:w w:val="115"/>
        </w:rPr>
        <w:t> </w:t>
      </w:r>
      <w:r>
        <w:rPr>
          <w:w w:val="115"/>
        </w:rPr>
        <w:t>rehabilitimit</w:t>
      </w:r>
      <w:r>
        <w:rPr>
          <w:spacing w:val="-2"/>
          <w:w w:val="115"/>
        </w:rPr>
        <w:t> </w:t>
      </w:r>
      <w:r>
        <w:rPr>
          <w:w w:val="115"/>
        </w:rPr>
        <w:t>të guroreve në</w:t>
      </w:r>
      <w:r>
        <w:rPr>
          <w:spacing w:val="-3"/>
          <w:w w:val="115"/>
        </w:rPr>
        <w:t> </w:t>
      </w:r>
      <w:r>
        <w:rPr>
          <w:w w:val="115"/>
        </w:rPr>
        <w:t>2014.</w:t>
      </w:r>
    </w:p>
    <w:p>
      <w:pPr>
        <w:pStyle w:val="BodyText"/>
        <w:spacing w:before="56"/>
        <w:ind w:left="321" w:right="1666"/>
        <w:jc w:val="both"/>
      </w:pPr>
      <w:r>
        <w:rPr/>
        <w:br w:type="column"/>
      </w:r>
      <w:r>
        <w:rPr>
          <w:b/>
          <w:w w:val="115"/>
        </w:rPr>
        <w:t>Faza pas mbylljes: </w:t>
      </w:r>
      <w:r>
        <w:rPr>
          <w:w w:val="115"/>
        </w:rPr>
        <w:t>Kthimi i sipërfaqes së</w:t>
      </w:r>
      <w:r>
        <w:rPr>
          <w:spacing w:val="-56"/>
          <w:w w:val="115"/>
        </w:rPr>
        <w:t> </w:t>
      </w:r>
      <w:r>
        <w:rPr>
          <w:w w:val="115"/>
        </w:rPr>
        <w:t>përgjithshme në komunitetet lokale pas</w:t>
      </w:r>
      <w:r>
        <w:rPr>
          <w:spacing w:val="-55"/>
          <w:w w:val="115"/>
        </w:rPr>
        <w:t> </w:t>
      </w:r>
      <w:r>
        <w:rPr>
          <w:w w:val="115"/>
        </w:rPr>
        <w:t>mbushjes dhe nivelimit të siperfaqes së</w:t>
      </w:r>
      <w:r>
        <w:rPr>
          <w:spacing w:val="1"/>
          <w:w w:val="115"/>
        </w:rPr>
        <w:t> </w:t>
      </w:r>
      <w:r>
        <w:rPr>
          <w:w w:val="115"/>
        </w:rPr>
        <w:t>gurores</w:t>
      </w:r>
      <w:r>
        <w:rPr>
          <w:spacing w:val="-1"/>
          <w:w w:val="115"/>
        </w:rPr>
        <w:t> </w:t>
      </w:r>
      <w:r>
        <w:rPr>
          <w:w w:val="115"/>
        </w:rPr>
        <w:t>në nivelin</w:t>
      </w:r>
      <w:r>
        <w:rPr>
          <w:spacing w:val="-2"/>
          <w:w w:val="115"/>
        </w:rPr>
        <w:t> </w:t>
      </w:r>
      <w:r>
        <w:rPr>
          <w:w w:val="115"/>
        </w:rPr>
        <w:t>+375.</w:t>
      </w:r>
    </w:p>
    <w:p>
      <w:pPr>
        <w:pStyle w:val="BodyText"/>
        <w:spacing w:before="11"/>
        <w:rPr>
          <w:sz w:val="21"/>
        </w:rPr>
      </w:pPr>
    </w:p>
    <w:p>
      <w:pPr>
        <w:pStyle w:val="Heading7"/>
        <w:spacing w:before="1"/>
        <w:ind w:left="321"/>
        <w:jc w:val="both"/>
      </w:pPr>
      <w:r>
        <w:rPr>
          <w:color w:val="252525"/>
          <w:w w:val="115"/>
        </w:rPr>
        <w:t>Miniera</w:t>
      </w:r>
      <w:r>
        <w:rPr>
          <w:color w:val="252525"/>
          <w:spacing w:val="-5"/>
          <w:w w:val="115"/>
        </w:rPr>
        <w:t> </w:t>
      </w:r>
      <w:r>
        <w:rPr>
          <w:color w:val="252525"/>
          <w:w w:val="115"/>
        </w:rPr>
        <w:t>e</w:t>
      </w:r>
      <w:r>
        <w:rPr>
          <w:color w:val="252525"/>
          <w:spacing w:val="-3"/>
          <w:w w:val="115"/>
        </w:rPr>
        <w:t> </w:t>
      </w:r>
      <w:r>
        <w:rPr>
          <w:color w:val="252525"/>
          <w:w w:val="115"/>
        </w:rPr>
        <w:t>gurit</w:t>
      </w:r>
      <w:r>
        <w:rPr>
          <w:color w:val="252525"/>
          <w:spacing w:val="54"/>
          <w:w w:val="115"/>
        </w:rPr>
        <w:t> </w:t>
      </w:r>
      <w:r>
        <w:rPr>
          <w:color w:val="252525"/>
          <w:w w:val="115"/>
        </w:rPr>
        <w:t>gëlqeror</w:t>
      </w:r>
      <w:r>
        <w:rPr>
          <w:color w:val="252525"/>
          <w:spacing w:val="-1"/>
          <w:w w:val="115"/>
        </w:rPr>
        <w:t> </w:t>
      </w:r>
      <w:r>
        <w:rPr>
          <w:color w:val="252525"/>
          <w:w w:val="115"/>
        </w:rPr>
        <w:t>në</w:t>
      </w:r>
      <w:r>
        <w:rPr>
          <w:color w:val="252525"/>
          <w:spacing w:val="-3"/>
          <w:w w:val="115"/>
        </w:rPr>
        <w:t> </w:t>
      </w:r>
      <w:r>
        <w:rPr>
          <w:color w:val="252525"/>
          <w:w w:val="115"/>
        </w:rPr>
        <w:t>Seqishtë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:</w:t>
      </w:r>
    </w:p>
    <w:p>
      <w:pPr>
        <w:pStyle w:val="BodyText"/>
        <w:spacing w:before="8"/>
        <w:rPr>
          <w:b/>
          <w:sz w:val="28"/>
        </w:rPr>
      </w:pPr>
    </w:p>
    <w:p>
      <w:pPr>
        <w:pStyle w:val="BodyText"/>
        <w:spacing w:line="276" w:lineRule="auto"/>
        <w:ind w:left="321" w:right="981"/>
      </w:pPr>
      <w:r>
        <w:rPr>
          <w:color w:val="252525"/>
          <w:w w:val="115"/>
        </w:rPr>
        <w:t>Miniera e gurit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gëlqeror në Seqishtë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funksionon për nevojat e uzinës Sharrcem e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cila</w:t>
      </w:r>
      <w:r>
        <w:rPr>
          <w:color w:val="252525"/>
          <w:spacing w:val="-5"/>
          <w:w w:val="115"/>
        </w:rPr>
        <w:t> </w:t>
      </w:r>
      <w:r>
        <w:rPr>
          <w:color w:val="252525"/>
          <w:w w:val="115"/>
        </w:rPr>
        <w:t>është</w:t>
      </w:r>
      <w:r>
        <w:rPr>
          <w:color w:val="252525"/>
          <w:spacing w:val="-2"/>
          <w:w w:val="115"/>
        </w:rPr>
        <w:t> </w:t>
      </w:r>
      <w:r>
        <w:rPr>
          <w:color w:val="252525"/>
          <w:w w:val="115"/>
        </w:rPr>
        <w:t>në</w:t>
      </w:r>
      <w:r>
        <w:rPr>
          <w:color w:val="252525"/>
          <w:spacing w:val="-3"/>
          <w:w w:val="115"/>
        </w:rPr>
        <w:t> </w:t>
      </w:r>
      <w:r>
        <w:rPr>
          <w:color w:val="252525"/>
          <w:w w:val="115"/>
        </w:rPr>
        <w:t>fazën</w:t>
      </w:r>
      <w:r>
        <w:rPr>
          <w:color w:val="252525"/>
          <w:spacing w:val="-4"/>
          <w:w w:val="115"/>
        </w:rPr>
        <w:t> </w:t>
      </w:r>
      <w:r>
        <w:rPr>
          <w:color w:val="252525"/>
          <w:w w:val="115"/>
        </w:rPr>
        <w:t>fillestare</w:t>
      </w:r>
      <w:r>
        <w:rPr>
          <w:color w:val="252525"/>
          <w:spacing w:val="-3"/>
          <w:w w:val="115"/>
        </w:rPr>
        <w:t> </w:t>
      </w:r>
      <w:r>
        <w:rPr>
          <w:color w:val="252525"/>
          <w:w w:val="115"/>
        </w:rPr>
        <w:t>të</w:t>
      </w:r>
      <w:r>
        <w:rPr>
          <w:color w:val="252525"/>
          <w:spacing w:val="-4"/>
          <w:w w:val="115"/>
        </w:rPr>
        <w:t> </w:t>
      </w:r>
      <w:r>
        <w:rPr>
          <w:color w:val="252525"/>
          <w:w w:val="115"/>
        </w:rPr>
        <w:t>shfrytëzimit,</w:t>
      </w:r>
      <w:r>
        <w:rPr>
          <w:color w:val="252525"/>
          <w:spacing w:val="-5"/>
          <w:w w:val="115"/>
        </w:rPr>
        <w:t> </w:t>
      </w:r>
      <w:r>
        <w:rPr>
          <w:color w:val="252525"/>
          <w:w w:val="115"/>
        </w:rPr>
        <w:t>ka</w:t>
      </w:r>
      <w:r>
        <w:rPr>
          <w:color w:val="252525"/>
          <w:spacing w:val="-54"/>
          <w:w w:val="115"/>
        </w:rPr>
        <w:t> </w:t>
      </w:r>
      <w:r>
        <w:rPr>
          <w:color w:val="252525"/>
          <w:w w:val="115"/>
        </w:rPr>
        <w:t>Leje Mjedisore të lëshuar nga MMPH në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dhjetor</w:t>
      </w:r>
      <w:r>
        <w:rPr>
          <w:color w:val="252525"/>
          <w:spacing w:val="-3"/>
          <w:w w:val="115"/>
        </w:rPr>
        <w:t> </w:t>
      </w:r>
      <w:r>
        <w:rPr>
          <w:color w:val="252525"/>
          <w:w w:val="115"/>
        </w:rPr>
        <w:t>2018</w:t>
      </w:r>
      <w:r>
        <w:rPr>
          <w:color w:val="252525"/>
          <w:spacing w:val="-2"/>
          <w:w w:val="115"/>
        </w:rPr>
        <w:t> </w:t>
      </w:r>
      <w:r>
        <w:rPr>
          <w:color w:val="252525"/>
          <w:w w:val="115"/>
        </w:rPr>
        <w:t>për një</w:t>
      </w:r>
      <w:r>
        <w:rPr>
          <w:color w:val="252525"/>
          <w:spacing w:val="-1"/>
          <w:w w:val="115"/>
        </w:rPr>
        <w:t> </w:t>
      </w:r>
      <w:r>
        <w:rPr>
          <w:color w:val="252525"/>
          <w:w w:val="115"/>
        </w:rPr>
        <w:t>periudhë 5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vjeçare.</w:t>
      </w:r>
    </w:p>
    <w:p>
      <w:pPr>
        <w:pStyle w:val="BodyText"/>
        <w:spacing w:line="276" w:lineRule="auto"/>
        <w:ind w:left="321" w:right="1103"/>
      </w:pPr>
      <w:r>
        <w:rPr>
          <w:color w:val="252525"/>
          <w:w w:val="115"/>
        </w:rPr>
        <w:t>Rehabilitimi teknik i etazhave do të bëhet pas</w:t>
      </w:r>
      <w:r>
        <w:rPr>
          <w:color w:val="252525"/>
          <w:spacing w:val="-55"/>
          <w:w w:val="115"/>
        </w:rPr>
        <w:t> </w:t>
      </w:r>
      <w:r>
        <w:rPr>
          <w:color w:val="252525"/>
          <w:w w:val="115"/>
        </w:rPr>
        <w:t>zgjerimit të tyre në zonat për të cilat do të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aplikohet një leje e re shfrytëzimi gjatë vitit</w:t>
      </w:r>
      <w:r>
        <w:rPr>
          <w:color w:val="252525"/>
          <w:spacing w:val="1"/>
          <w:w w:val="115"/>
        </w:rPr>
        <w:t> </w:t>
      </w:r>
      <w:r>
        <w:rPr>
          <w:color w:val="252525"/>
          <w:w w:val="115"/>
        </w:rPr>
        <w:t>2022.</w:t>
      </w:r>
    </w:p>
    <w:p>
      <w:pPr>
        <w:spacing w:after="0" w:line="276" w:lineRule="auto"/>
        <w:sectPr>
          <w:type w:val="continuous"/>
          <w:pgSz w:w="12240" w:h="15840"/>
          <w:pgMar w:top="1500" w:bottom="280" w:left="200" w:right="140"/>
          <w:cols w:num="2" w:equalWidth="0">
            <w:col w:w="5740" w:space="40"/>
            <w:col w:w="612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before="91"/>
        <w:ind w:left="880" w:right="0" w:firstLine="0"/>
        <w:jc w:val="left"/>
        <w:rPr>
          <w:rFonts w:ascii="Times New Roman" w:hAnsi="Times New Roman"/>
          <w:sz w:val="20"/>
        </w:rPr>
      </w:pPr>
      <w:r>
        <w:rPr/>
        <w:pict>
          <v:group style="position:absolute;margin-left:315pt;margin-top:-185.148514pt;width:222.75pt;height:204.5pt;mso-position-horizontal-relative:page;mso-position-vertical-relative:paragraph;z-index:15770624" coordorigin="6300,-3703" coordsize="4455,4090">
            <v:shape style="position:absolute;left:7445;top:-3703;width:3310;height:4090" type="#_x0000_t75" stroked="false">
              <v:imagedata r:id="rId159" o:title=""/>
            </v:shape>
            <v:shape style="position:absolute;left:7707;top:-2747;width:1679;height:1871" coordorigin="7707,-2746" coordsize="1679,1871" path="m9348,-2656l9288,-2686,9168,-2746,9168,-2686,7707,-2686,7707,-2626,9168,-2626,9168,-2566,9288,-2626,9348,-2656xm9386,-934l9224,-1053,9213,-994,8014,-1201,8003,-1142,9203,-935,9193,-875,9372,-929,9386,-934xe" filled="true" fillcolor="#ff0000" stroked="false">
              <v:path arrowok="t"/>
              <v:fill type="solid"/>
            </v:shape>
            <v:shape style="position:absolute;left:6300;top:-1572;width:1814;height:903" type="#_x0000_t202" filled="true" fillcolor="#00ff00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Times New Roman"/>
                        <w:sz w:val="19"/>
                      </w:rPr>
                    </w:pPr>
                  </w:p>
                  <w:p>
                    <w:pPr>
                      <w:spacing w:line="259" w:lineRule="auto" w:before="0"/>
                      <w:ind w:left="522" w:right="464" w:hanging="36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Final pit</w:t>
                    </w:r>
                    <w:r>
                      <w:rPr>
                        <w:rFonts w:ascii="Arial"/>
                        <w:b/>
                        <w:spacing w:val="-59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plateau</w:t>
                    </w:r>
                  </w:p>
                </w:txbxContent>
              </v:textbox>
              <v:fill type="solid"/>
              <w10:wrap type="none"/>
            </v:shape>
            <v:shape style="position:absolute;left:6300;top:-2914;width:1407;height:903" type="#_x0000_t202" filled="true" fillcolor="#00ff00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Times New Roman"/>
                        <w:sz w:val="19"/>
                      </w:rPr>
                    </w:pPr>
                  </w:p>
                  <w:p>
                    <w:pPr>
                      <w:spacing w:line="259" w:lineRule="auto" w:before="0"/>
                      <w:ind w:left="275" w:right="256" w:firstLine="134"/>
                      <w:jc w:val="left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sz w:val="22"/>
                      </w:rPr>
                      <w:t>Trees</w:t>
                    </w:r>
                    <w:r>
                      <w:rPr>
                        <w:rFonts w:ascii="Arial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sz w:val="22"/>
                      </w:rPr>
                      <w:t>planting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 2022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2240" w:h="15840"/>
          <w:pgMar w:top="1500" w:bottom="280" w:left="200" w:right="140"/>
        </w:sectPr>
      </w:pPr>
    </w:p>
    <w:p>
      <w:pPr>
        <w:pStyle w:val="BodyText"/>
        <w:ind w:left="121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28.7pt;height:81.05pt;mso-position-horizontal-relative:char;mso-position-vertical-relative:line" coordorigin="0,0" coordsize="10574,1621">
            <v:shape style="position:absolute;left:8930;top:0;width:1643;height:1395" coordorigin="8930,0" coordsize="1643,1395" path="m10573,0l8930,0,8930,1080,8930,1395,10573,1395,10573,1080,10573,0xe" filled="true" fillcolor="#92d050" stroked="false">
              <v:path arrowok="t"/>
              <v:fill type="solid"/>
            </v:shape>
            <v:rect style="position:absolute;left:0;top:1079;width:9419;height:541" filled="true" fillcolor="#ffffff" stroked="false">
              <v:fill type="solid"/>
            </v:rect>
            <v:shape style="position:absolute;left:9937;top:388;width:2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FFFFFF"/>
                        <w:sz w:val="24"/>
                      </w:rPr>
                      <w:t>11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spacing w:before="61"/>
        <w:ind w:left="1240" w:right="0" w:firstLine="0"/>
        <w:jc w:val="both"/>
        <w:rPr>
          <w:b/>
          <w:sz w:val="36"/>
        </w:rPr>
      </w:pPr>
      <w:r>
        <w:rPr>
          <w:b/>
          <w:color w:val="00AF50"/>
          <w:sz w:val="36"/>
        </w:rPr>
        <w:t>Performanca</w:t>
      </w:r>
      <w:r>
        <w:rPr>
          <w:b/>
          <w:color w:val="00AF50"/>
          <w:spacing w:val="-4"/>
          <w:sz w:val="36"/>
        </w:rPr>
        <w:t> </w:t>
      </w:r>
      <w:r>
        <w:rPr>
          <w:b/>
          <w:color w:val="00AF50"/>
          <w:sz w:val="36"/>
        </w:rPr>
        <w:t>e</w:t>
      </w:r>
      <w:r>
        <w:rPr>
          <w:b/>
          <w:color w:val="00AF50"/>
          <w:spacing w:val="-1"/>
          <w:sz w:val="36"/>
        </w:rPr>
        <w:t> </w:t>
      </w:r>
      <w:r>
        <w:rPr>
          <w:b/>
          <w:color w:val="00AF50"/>
          <w:sz w:val="36"/>
        </w:rPr>
        <w:t>ESG</w:t>
      </w:r>
      <w:r>
        <w:rPr>
          <w:b/>
          <w:color w:val="00AF50"/>
          <w:spacing w:val="-3"/>
          <w:sz w:val="36"/>
        </w:rPr>
        <w:t> </w:t>
      </w:r>
      <w:r>
        <w:rPr>
          <w:b/>
          <w:color w:val="00AF50"/>
          <w:sz w:val="36"/>
        </w:rPr>
        <w:t>(Qeverisja</w:t>
      </w:r>
      <w:r>
        <w:rPr>
          <w:b/>
          <w:color w:val="00AF50"/>
          <w:spacing w:val="-3"/>
          <w:sz w:val="36"/>
        </w:rPr>
        <w:t> </w:t>
      </w:r>
      <w:r>
        <w:rPr>
          <w:b/>
          <w:color w:val="00AF50"/>
          <w:sz w:val="36"/>
        </w:rPr>
        <w:t>Mjedisore</w:t>
      </w:r>
      <w:r>
        <w:rPr>
          <w:b/>
          <w:color w:val="00AF50"/>
          <w:spacing w:val="-5"/>
          <w:sz w:val="36"/>
        </w:rPr>
        <w:t> </w:t>
      </w:r>
      <w:r>
        <w:rPr>
          <w:b/>
          <w:color w:val="00AF50"/>
          <w:sz w:val="36"/>
        </w:rPr>
        <w:t>dhe</w:t>
      </w:r>
      <w:r>
        <w:rPr>
          <w:b/>
          <w:color w:val="00AF50"/>
          <w:spacing w:val="-2"/>
          <w:sz w:val="36"/>
        </w:rPr>
        <w:t> </w:t>
      </w:r>
      <w:r>
        <w:rPr>
          <w:b/>
          <w:color w:val="00AF50"/>
          <w:sz w:val="36"/>
        </w:rPr>
        <w:t>Sociale)</w:t>
      </w:r>
      <w:r>
        <w:rPr>
          <w:b/>
          <w:color w:val="00AF50"/>
          <w:spacing w:val="-2"/>
          <w:sz w:val="36"/>
        </w:rPr>
        <w:t> </w:t>
      </w:r>
      <w:r>
        <w:rPr>
          <w:b/>
          <w:color w:val="00AF50"/>
          <w:sz w:val="36"/>
        </w:rPr>
        <w:t>2022</w:t>
      </w:r>
    </w:p>
    <w:p>
      <w:pPr>
        <w:pStyle w:val="BodyText"/>
        <w:spacing w:before="2"/>
        <w:rPr>
          <w:b/>
          <w:sz w:val="44"/>
        </w:rPr>
      </w:pPr>
    </w:p>
    <w:p>
      <w:pPr>
        <w:spacing w:before="0"/>
        <w:ind w:left="1240" w:right="1488" w:firstLine="0"/>
        <w:jc w:val="both"/>
        <w:rPr>
          <w:sz w:val="24"/>
        </w:rPr>
      </w:pPr>
      <w:r>
        <w:rPr>
          <w:sz w:val="24"/>
        </w:rPr>
        <w:t>Për sa i përket dekarbonizimit, janë bërë përpjekje për optimizimin e portofolit të produkteve,</w:t>
      </w:r>
      <w:r>
        <w:rPr>
          <w:spacing w:val="-52"/>
          <w:sz w:val="24"/>
        </w:rPr>
        <w:t> </w:t>
      </w:r>
      <w:r>
        <w:rPr>
          <w:sz w:val="24"/>
        </w:rPr>
        <w:t>duke u fokusuar në prodhimin e produkteve me klinker më të ulët dhe përgatitjen e një lloji të</w:t>
      </w:r>
      <w:r>
        <w:rPr>
          <w:spacing w:val="-52"/>
          <w:sz w:val="24"/>
        </w:rPr>
        <w:t> </w:t>
      </w:r>
      <w:r>
        <w:rPr>
          <w:sz w:val="24"/>
        </w:rPr>
        <w:t>ri çimentoje me përmbajtje më të ulët klinker, e cila është testuar teknikisht me sukses dhe ka</w:t>
      </w:r>
      <w:r>
        <w:rPr>
          <w:spacing w:val="-52"/>
          <w:sz w:val="24"/>
        </w:rPr>
        <w:t> </w:t>
      </w:r>
      <w:r>
        <w:rPr>
          <w:sz w:val="24"/>
        </w:rPr>
        <w:t>qenë</w:t>
      </w:r>
      <w:r>
        <w:rPr>
          <w:spacing w:val="-3"/>
          <w:sz w:val="24"/>
        </w:rPr>
        <w:t> </w:t>
      </w:r>
      <w:r>
        <w:rPr>
          <w:sz w:val="24"/>
        </w:rPr>
        <w:t>në</w:t>
      </w:r>
      <w:r>
        <w:rPr>
          <w:spacing w:val="-3"/>
          <w:sz w:val="24"/>
        </w:rPr>
        <w:t> </w:t>
      </w:r>
      <w:r>
        <w:rPr>
          <w:sz w:val="24"/>
        </w:rPr>
        <w:t>treg</w:t>
      </w:r>
      <w:r>
        <w:rPr>
          <w:spacing w:val="-3"/>
          <w:sz w:val="24"/>
        </w:rPr>
        <w:t> </w:t>
      </w:r>
      <w:r>
        <w:rPr>
          <w:sz w:val="24"/>
        </w:rPr>
        <w:t>që</w:t>
      </w:r>
      <w:r>
        <w:rPr>
          <w:spacing w:val="-2"/>
          <w:sz w:val="24"/>
        </w:rPr>
        <w:t> </w:t>
      </w:r>
      <w:r>
        <w:rPr>
          <w:sz w:val="24"/>
        </w:rPr>
        <w:t>nga korriku 2021.</w:t>
      </w:r>
      <w:r>
        <w:rPr>
          <w:spacing w:val="-1"/>
          <w:sz w:val="24"/>
        </w:rPr>
        <w:t> </w:t>
      </w:r>
      <w:r>
        <w:rPr>
          <w:sz w:val="24"/>
        </w:rPr>
        <w:t>Ndikimi i</w:t>
      </w:r>
      <w:r>
        <w:rPr>
          <w:spacing w:val="-3"/>
          <w:sz w:val="24"/>
        </w:rPr>
        <w:t> </w:t>
      </w:r>
      <w:r>
        <w:rPr>
          <w:sz w:val="24"/>
        </w:rPr>
        <w:t>plotë</w:t>
      </w:r>
      <w:r>
        <w:rPr>
          <w:spacing w:val="-2"/>
          <w:sz w:val="24"/>
        </w:rPr>
        <w:t> </w:t>
      </w:r>
      <w:r>
        <w:rPr>
          <w:sz w:val="24"/>
        </w:rPr>
        <w:t>pozitiv do</w:t>
      </w:r>
      <w:r>
        <w:rPr>
          <w:spacing w:val="-3"/>
          <w:sz w:val="24"/>
        </w:rPr>
        <w:t> </w:t>
      </w:r>
      <w:r>
        <w:rPr>
          <w:sz w:val="24"/>
        </w:rPr>
        <w:t>të jepet gjatë</w:t>
      </w:r>
      <w:r>
        <w:rPr>
          <w:spacing w:val="-2"/>
          <w:sz w:val="24"/>
        </w:rPr>
        <w:t> </w:t>
      </w:r>
      <w:r>
        <w:rPr>
          <w:sz w:val="24"/>
        </w:rPr>
        <w:t>viteve</w:t>
      </w:r>
      <w:r>
        <w:rPr>
          <w:spacing w:val="-1"/>
          <w:sz w:val="24"/>
        </w:rPr>
        <w:t> </w:t>
      </w:r>
      <w:r>
        <w:rPr>
          <w:sz w:val="24"/>
        </w:rPr>
        <w:t>në vijim.</w:t>
      </w:r>
    </w:p>
    <w:p>
      <w:pPr>
        <w:spacing w:before="0"/>
        <w:ind w:left="1240" w:right="1446" w:firstLine="0"/>
        <w:jc w:val="both"/>
        <w:rPr>
          <w:sz w:val="24"/>
        </w:rPr>
      </w:pPr>
      <w:r>
        <w:rPr>
          <w:sz w:val="24"/>
        </w:rPr>
        <w:t>Për më tepër, për performancën mjedisore, duhet të theksojmë se të gjitha emetimet mbahen</w:t>
      </w:r>
      <w:r>
        <w:rPr>
          <w:spacing w:val="-52"/>
          <w:sz w:val="24"/>
        </w:rPr>
        <w:t> </w:t>
      </w:r>
      <w:r>
        <w:rPr>
          <w:sz w:val="24"/>
        </w:rPr>
        <w:t>shumë</w:t>
      </w:r>
      <w:r>
        <w:rPr>
          <w:spacing w:val="-2"/>
          <w:sz w:val="24"/>
        </w:rPr>
        <w:t> </w:t>
      </w:r>
      <w:r>
        <w:rPr>
          <w:sz w:val="24"/>
        </w:rPr>
        <w:t>më</w:t>
      </w:r>
      <w:r>
        <w:rPr>
          <w:spacing w:val="-1"/>
          <w:sz w:val="24"/>
        </w:rPr>
        <w:t> </w:t>
      </w:r>
      <w:r>
        <w:rPr>
          <w:sz w:val="24"/>
        </w:rPr>
        <w:t>poshtë</w:t>
      </w:r>
      <w:r>
        <w:rPr>
          <w:spacing w:val="1"/>
          <w:sz w:val="24"/>
        </w:rPr>
        <w:t> </w:t>
      </w:r>
      <w:r>
        <w:rPr>
          <w:sz w:val="24"/>
        </w:rPr>
        <w:t>se  nivelet</w:t>
      </w:r>
      <w:r>
        <w:rPr>
          <w:spacing w:val="-1"/>
          <w:sz w:val="24"/>
        </w:rPr>
        <w:t> </w:t>
      </w:r>
      <w:r>
        <w:rPr>
          <w:sz w:val="24"/>
        </w:rPr>
        <w:t>e lejes</w:t>
      </w:r>
      <w:r>
        <w:rPr>
          <w:spacing w:val="1"/>
          <w:sz w:val="24"/>
        </w:rPr>
        <w:t> </w:t>
      </w:r>
      <w:r>
        <w:rPr>
          <w:sz w:val="24"/>
        </w:rPr>
        <w:t>së integruar.</w:t>
      </w:r>
    </w:p>
    <w:p>
      <w:pPr>
        <w:pStyle w:val="BodyText"/>
        <w:rPr>
          <w:sz w:val="24"/>
        </w:rPr>
      </w:pPr>
    </w:p>
    <w:p>
      <w:pPr>
        <w:spacing w:before="201"/>
        <w:ind w:left="1240" w:right="1281" w:firstLine="0"/>
        <w:jc w:val="left"/>
        <w:rPr>
          <w:rFonts w:ascii="Cambria" w:hAnsi="Cambria"/>
          <w:sz w:val="42"/>
        </w:rPr>
      </w:pPr>
      <w:r>
        <w:rPr>
          <w:rFonts w:ascii="Cambria" w:hAnsi="Cambria"/>
          <w:color w:val="1F4E79"/>
          <w:sz w:val="42"/>
        </w:rPr>
        <w:t>Vizitë e ekipit të ekspertëve të Agjencisë Japoneze të</w:t>
      </w:r>
      <w:r>
        <w:rPr>
          <w:rFonts w:ascii="Cambria" w:hAnsi="Cambria"/>
          <w:color w:val="1F4E79"/>
          <w:spacing w:val="-91"/>
          <w:sz w:val="42"/>
        </w:rPr>
        <w:t> </w:t>
      </w:r>
      <w:r>
        <w:rPr>
          <w:rFonts w:ascii="Cambria" w:hAnsi="Cambria"/>
          <w:color w:val="1F4E79"/>
          <w:sz w:val="42"/>
        </w:rPr>
        <w:t>Bashkëpunimit Ndërkombëtar</w:t>
      </w:r>
      <w:r>
        <w:rPr>
          <w:rFonts w:ascii="Cambria" w:hAnsi="Cambria"/>
          <w:color w:val="1F4E79"/>
          <w:spacing w:val="-1"/>
          <w:sz w:val="42"/>
        </w:rPr>
        <w:t> </w:t>
      </w:r>
      <w:r>
        <w:rPr>
          <w:rFonts w:ascii="Cambria" w:hAnsi="Cambria"/>
          <w:color w:val="1F4E79"/>
          <w:sz w:val="42"/>
        </w:rPr>
        <w:t>(JICA)</w:t>
      </w:r>
    </w:p>
    <w:p>
      <w:pPr>
        <w:pStyle w:val="BodyText"/>
        <w:spacing w:before="10"/>
        <w:rPr>
          <w:rFonts w:ascii="Cambria"/>
          <w:sz w:val="41"/>
        </w:rPr>
      </w:pPr>
    </w:p>
    <w:p>
      <w:pPr>
        <w:spacing w:before="1"/>
        <w:ind w:left="1240" w:right="1289" w:firstLine="0"/>
        <w:jc w:val="left"/>
        <w:rPr>
          <w:sz w:val="24"/>
        </w:rPr>
      </w:pPr>
      <w:r>
        <w:rPr>
          <w:color w:val="1F2023"/>
          <w:sz w:val="24"/>
        </w:rPr>
        <w:t>MMPH me ekipin e ekspertëve të Agjencisë Japoneze për Bashkëpunim Ndërkombëtar (JICA) do</w:t>
      </w:r>
      <w:r>
        <w:rPr>
          <w:color w:val="1F2023"/>
          <w:spacing w:val="-52"/>
          <w:sz w:val="24"/>
        </w:rPr>
        <w:t> </w:t>
      </w:r>
      <w:r>
        <w:rPr>
          <w:color w:val="1F2023"/>
          <w:sz w:val="24"/>
        </w:rPr>
        <w:t>të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qëndrojnë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në Kosovë</w:t>
      </w:r>
      <w:r>
        <w:rPr>
          <w:color w:val="1F2023"/>
          <w:spacing w:val="-4"/>
          <w:sz w:val="24"/>
        </w:rPr>
        <w:t> </w:t>
      </w:r>
      <w:r>
        <w:rPr>
          <w:color w:val="1F2023"/>
          <w:sz w:val="24"/>
        </w:rPr>
        <w:t>për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përgatitjen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e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fazës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së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dytë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të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Projektit,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të</w:t>
      </w:r>
      <w:r>
        <w:rPr>
          <w:color w:val="1F2023"/>
          <w:spacing w:val="-1"/>
          <w:sz w:val="24"/>
        </w:rPr>
        <w:t> </w:t>
      </w:r>
      <w:r>
        <w:rPr>
          <w:color w:val="1F2023"/>
          <w:sz w:val="24"/>
        </w:rPr>
        <w:t>mbështetur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nga</w:t>
      </w:r>
      <w:r>
        <w:rPr>
          <w:color w:val="1F2023"/>
          <w:spacing w:val="-3"/>
          <w:sz w:val="24"/>
        </w:rPr>
        <w:t> </w:t>
      </w:r>
      <w:r>
        <w:rPr>
          <w:color w:val="1F2023"/>
          <w:sz w:val="24"/>
        </w:rPr>
        <w:t>JICA,</w:t>
      </w:r>
    </w:p>
    <w:p>
      <w:pPr>
        <w:pStyle w:val="BodyText"/>
        <w:spacing w:before="11"/>
        <w:rPr>
          <w:sz w:val="23"/>
        </w:rPr>
      </w:pPr>
    </w:p>
    <w:p>
      <w:pPr>
        <w:spacing w:line="240" w:lineRule="auto" w:before="0"/>
        <w:ind w:left="1240" w:right="1411" w:firstLine="0"/>
        <w:jc w:val="left"/>
        <w:rPr>
          <w:sz w:val="24"/>
        </w:rPr>
      </w:pPr>
      <w:r>
        <w:rPr>
          <w:color w:val="1F2023"/>
          <w:sz w:val="24"/>
        </w:rPr>
        <w:t>“Zhvillimi i kapaciteteve për kontrollin e ndotjes së ajrit në Republikën e Kosovës në vitin 2022.</w:t>
      </w:r>
      <w:r>
        <w:rPr>
          <w:color w:val="1F2023"/>
          <w:spacing w:val="-52"/>
          <w:sz w:val="24"/>
        </w:rPr>
        <w:t> </w:t>
      </w:r>
      <w:r>
        <w:rPr>
          <w:color w:val="1F2023"/>
          <w:sz w:val="24"/>
        </w:rPr>
        <w:t>Në kuadër të këtij projekti ishte vizita në kompanitë kryesore industriale që operojnë në vend,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të cilat ekzekutojnë sistemin e monitorimit të emetimeve në ajër, dhe zbatimin e standardeve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mjedisore. Prandaj, Sharrcem u zgjodh si kompani shembull që është e pajisur me Leje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Mjedisore</w:t>
      </w:r>
      <w:r>
        <w:rPr>
          <w:color w:val="1F2023"/>
          <w:spacing w:val="-2"/>
          <w:sz w:val="24"/>
        </w:rPr>
        <w:t> </w:t>
      </w:r>
      <w:r>
        <w:rPr>
          <w:color w:val="1F2023"/>
          <w:sz w:val="24"/>
        </w:rPr>
        <w:t>te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Integruar</w:t>
      </w:r>
      <w:r>
        <w:rPr>
          <w:color w:val="1F2023"/>
          <w:spacing w:val="1"/>
          <w:sz w:val="24"/>
        </w:rPr>
        <w:t> </w:t>
      </w:r>
      <w:r>
        <w:rPr>
          <w:color w:val="1F2023"/>
          <w:sz w:val="24"/>
        </w:rPr>
        <w:t>(IPPC).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914400</wp:posOffset>
            </wp:positionH>
            <wp:positionV relativeFrom="paragraph">
              <wp:posOffset>186981</wp:posOffset>
            </wp:positionV>
            <wp:extent cx="2323032" cy="1456944"/>
            <wp:effectExtent l="0" t="0" r="0" b="0"/>
            <wp:wrapTopAndBottom/>
            <wp:docPr id="61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5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032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0"/>
        <w:ind w:left="1240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Raporti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Vjetor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për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Mjedisin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2022</w:t>
      </w:r>
    </w:p>
    <w:sectPr>
      <w:pgSz w:w="12240" w:h="15840"/>
      <w:pgMar w:top="360" w:bottom="280" w:left="200" w:right="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Segoe UI Symbol">
    <w:altName w:val="Segoe UI Symbol"/>
    <w:charset w:val="1"/>
    <w:family w:val="swiss"/>
    <w:pitch w:val="variable"/>
  </w:font>
  <w:font w:name="Calibri Light">
    <w:altName w:val="Calibri Light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">
    <w:altName w:val="Cambria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•"/>
      <w:lvlJc w:val="left"/>
      <w:pPr>
        <w:ind w:left="1081" w:hanging="202"/>
      </w:pPr>
      <w:rPr>
        <w:rFonts w:hint="default" w:ascii="Calibri" w:hAnsi="Calibri" w:eastAsia="Calibri" w:cs="Calibri"/>
        <w:w w:val="125"/>
        <w:sz w:val="22"/>
        <w:szCs w:val="22"/>
        <w:lang w:val="sq-AL" w:eastAsia="en-US" w:bidi="ar-SA"/>
      </w:rPr>
    </w:lvl>
    <w:lvl w:ilvl="1">
      <w:start w:val="0"/>
      <w:numFmt w:val="bullet"/>
      <w:lvlText w:val=""/>
      <w:lvlJc w:val="left"/>
      <w:pPr>
        <w:ind w:left="6821" w:hanging="360"/>
      </w:pPr>
      <w:rPr>
        <w:rFonts w:hint="default" w:ascii="Wingdings" w:hAnsi="Wingdings" w:eastAsia="Wingdings" w:cs="Wingdings"/>
        <w:w w:val="124"/>
        <w:sz w:val="22"/>
        <w:szCs w:val="22"/>
        <w:lang w:val="sq-AL" w:eastAsia="en-US" w:bidi="ar-SA"/>
      </w:rPr>
    </w:lvl>
    <w:lvl w:ilvl="2">
      <w:start w:val="0"/>
      <w:numFmt w:val="bullet"/>
      <w:lvlText w:val="•"/>
      <w:lvlJc w:val="left"/>
      <w:pPr>
        <w:ind w:left="6700" w:hanging="36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6580" w:hanging="36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6461" w:hanging="36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6341" w:hanging="36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222" w:hanging="36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6102" w:hanging="36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5983" w:hanging="360"/>
      </w:pPr>
      <w:rPr>
        <w:rFonts w:hint="default"/>
        <w:lang w:val="sq-AL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1600" w:hanging="360"/>
      </w:pPr>
      <w:rPr>
        <w:rFonts w:hint="default" w:ascii="Symbol" w:hAnsi="Symbol" w:eastAsia="Symbol" w:cs="Symbol"/>
        <w:w w:val="114"/>
        <w:sz w:val="22"/>
        <w:szCs w:val="22"/>
        <w:lang w:val="sq-AL" w:eastAsia="en-US" w:bidi="ar-SA"/>
      </w:rPr>
    </w:lvl>
    <w:lvl w:ilvl="1">
      <w:start w:val="0"/>
      <w:numFmt w:val="bullet"/>
      <w:lvlText w:val="•"/>
      <w:lvlJc w:val="left"/>
      <w:pPr>
        <w:ind w:left="2014" w:hanging="36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428" w:hanging="36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2843" w:hanging="36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3257" w:hanging="36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3671" w:hanging="36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4086" w:hanging="36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4500" w:hanging="36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4915" w:hanging="360"/>
      </w:pPr>
      <w:rPr>
        <w:rFonts w:hint="default"/>
        <w:lang w:val="sq-AL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."/>
      <w:lvlJc w:val="left"/>
      <w:pPr>
        <w:ind w:left="1240" w:hanging="320"/>
        <w:jc w:val="left"/>
      </w:pPr>
      <w:rPr>
        <w:rFonts w:hint="default" w:ascii="Calibri" w:hAnsi="Calibri" w:eastAsia="Calibri" w:cs="Calibri"/>
        <w:b/>
        <w:bCs/>
        <w:spacing w:val="-3"/>
        <w:w w:val="114"/>
        <w:sz w:val="22"/>
        <w:szCs w:val="22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672" w:hanging="3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104" w:hanging="3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2536" w:hanging="3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2968" w:hanging="3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3401" w:hanging="3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3833" w:hanging="3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4265" w:hanging="3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4697" w:hanging="320"/>
      </w:pPr>
      <w:rPr>
        <w:rFonts w:hint="default"/>
        <w:lang w:val="sq-AL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"/>
      <w:lvlJc w:val="left"/>
      <w:pPr>
        <w:ind w:left="1960" w:hanging="360"/>
      </w:pPr>
      <w:rPr>
        <w:rFonts w:hint="default" w:ascii="Wingdings" w:hAnsi="Wingdings" w:eastAsia="Wingdings" w:cs="Wingdings"/>
        <w:w w:val="115"/>
        <w:sz w:val="22"/>
        <w:szCs w:val="22"/>
        <w:lang w:val="sq-AL" w:eastAsia="en-US" w:bidi="ar-SA"/>
      </w:rPr>
    </w:lvl>
    <w:lvl w:ilvl="1">
      <w:start w:val="0"/>
      <w:numFmt w:val="bullet"/>
      <w:lvlText w:val="•"/>
      <w:lvlJc w:val="left"/>
      <w:pPr>
        <w:ind w:left="2954" w:hanging="36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3948" w:hanging="36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4942" w:hanging="36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5936" w:hanging="36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6930" w:hanging="36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7924" w:hanging="36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8918" w:hanging="36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9912" w:hanging="360"/>
      </w:pPr>
      <w:rPr>
        <w:rFonts w:hint="default"/>
        <w:lang w:val="sq-AL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sq-AL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sq-AL" w:eastAsia="en-US" w:bidi="ar-SA"/>
    </w:rPr>
  </w:style>
  <w:style w:styleId="Heading1" w:type="paragraph">
    <w:name w:val="Heading 1"/>
    <w:basedOn w:val="Normal"/>
    <w:uiPriority w:val="1"/>
    <w:qFormat/>
    <w:pPr>
      <w:spacing w:before="20"/>
      <w:ind w:left="78"/>
      <w:jc w:val="center"/>
      <w:outlineLvl w:val="1"/>
    </w:pPr>
    <w:rPr>
      <w:rFonts w:ascii="Calibri" w:hAnsi="Calibri" w:eastAsia="Calibri" w:cs="Calibri"/>
      <w:b/>
      <w:bCs/>
      <w:sz w:val="40"/>
      <w:szCs w:val="40"/>
      <w:lang w:val="sq-AL" w:eastAsia="en-US" w:bidi="ar-SA"/>
    </w:rPr>
  </w:style>
  <w:style w:styleId="Heading2" w:type="paragraph">
    <w:name w:val="Heading 2"/>
    <w:basedOn w:val="Normal"/>
    <w:uiPriority w:val="1"/>
    <w:qFormat/>
    <w:pPr>
      <w:spacing w:before="20"/>
      <w:ind w:left="880" w:hanging="2826"/>
      <w:outlineLvl w:val="2"/>
    </w:pPr>
    <w:rPr>
      <w:rFonts w:ascii="Calibri" w:hAnsi="Calibri" w:eastAsia="Calibri" w:cs="Calibri"/>
      <w:sz w:val="40"/>
      <w:szCs w:val="40"/>
      <w:lang w:val="sq-AL" w:eastAsia="en-US" w:bidi="ar-SA"/>
    </w:rPr>
  </w:style>
  <w:style w:styleId="Heading3" w:type="paragraph">
    <w:name w:val="Heading 3"/>
    <w:basedOn w:val="Normal"/>
    <w:uiPriority w:val="1"/>
    <w:qFormat/>
    <w:pPr>
      <w:ind w:left="880"/>
      <w:outlineLvl w:val="3"/>
    </w:pPr>
    <w:rPr>
      <w:rFonts w:ascii="Calibri" w:hAnsi="Calibri" w:eastAsia="Calibri" w:cs="Calibri"/>
      <w:sz w:val="36"/>
      <w:szCs w:val="36"/>
      <w:lang w:val="sq-AL" w:eastAsia="en-US" w:bidi="ar-SA"/>
    </w:rPr>
  </w:style>
  <w:style w:styleId="Heading4" w:type="paragraph">
    <w:name w:val="Heading 4"/>
    <w:basedOn w:val="Normal"/>
    <w:uiPriority w:val="1"/>
    <w:qFormat/>
    <w:pPr>
      <w:spacing w:before="35"/>
      <w:ind w:left="880"/>
      <w:outlineLvl w:val="4"/>
    </w:pPr>
    <w:rPr>
      <w:rFonts w:ascii="Calibri" w:hAnsi="Calibri" w:eastAsia="Calibri" w:cs="Calibri"/>
      <w:sz w:val="32"/>
      <w:szCs w:val="32"/>
      <w:lang w:val="sq-AL" w:eastAsia="en-US" w:bidi="ar-SA"/>
    </w:rPr>
  </w:style>
  <w:style w:styleId="Heading5" w:type="paragraph">
    <w:name w:val="Heading 5"/>
    <w:basedOn w:val="Normal"/>
    <w:uiPriority w:val="1"/>
    <w:qFormat/>
    <w:pPr>
      <w:ind w:left="78"/>
      <w:outlineLvl w:val="5"/>
    </w:pPr>
    <w:rPr>
      <w:rFonts w:ascii="Times New Roman" w:hAnsi="Times New Roman" w:eastAsia="Times New Roman" w:cs="Times New Roman"/>
      <w:b/>
      <w:bCs/>
      <w:sz w:val="24"/>
      <w:szCs w:val="24"/>
      <w:lang w:val="sq-AL" w:eastAsia="en-US" w:bidi="ar-SA"/>
    </w:rPr>
  </w:style>
  <w:style w:styleId="Heading6" w:type="paragraph">
    <w:name w:val="Heading 6"/>
    <w:basedOn w:val="Normal"/>
    <w:uiPriority w:val="1"/>
    <w:qFormat/>
    <w:pPr>
      <w:ind w:left="1240"/>
      <w:outlineLvl w:val="6"/>
    </w:pPr>
    <w:rPr>
      <w:rFonts w:ascii="Times New Roman" w:hAnsi="Times New Roman" w:eastAsia="Times New Roman" w:cs="Times New Roman"/>
      <w:sz w:val="24"/>
      <w:szCs w:val="24"/>
      <w:lang w:val="sq-AL" w:eastAsia="en-US" w:bidi="ar-SA"/>
    </w:rPr>
  </w:style>
  <w:style w:styleId="Heading7" w:type="paragraph">
    <w:name w:val="Heading 7"/>
    <w:basedOn w:val="Normal"/>
    <w:uiPriority w:val="1"/>
    <w:qFormat/>
    <w:pPr>
      <w:ind w:left="880"/>
      <w:outlineLvl w:val="7"/>
    </w:pPr>
    <w:rPr>
      <w:rFonts w:ascii="Calibri" w:hAnsi="Calibri" w:eastAsia="Calibri" w:cs="Calibri"/>
      <w:b/>
      <w:bCs/>
      <w:sz w:val="22"/>
      <w:szCs w:val="22"/>
      <w:lang w:val="sq-AL" w:eastAsia="en-US" w:bidi="ar-SA"/>
    </w:rPr>
  </w:style>
  <w:style w:styleId="ListParagraph" w:type="paragraph">
    <w:name w:val="List Paragraph"/>
    <w:basedOn w:val="Normal"/>
    <w:uiPriority w:val="1"/>
    <w:qFormat/>
    <w:pPr>
      <w:ind w:left="1600" w:hanging="360"/>
    </w:pPr>
    <w:rPr>
      <w:rFonts w:ascii="Calibri" w:hAnsi="Calibri" w:eastAsia="Calibri" w:cs="Calibri"/>
      <w:lang w:val="sq-AL" w:eastAsia="en-US" w:bidi="ar-SA"/>
    </w:rPr>
  </w:style>
  <w:style w:styleId="TableParagraph" w:type="paragraph">
    <w:name w:val="Table Paragraph"/>
    <w:basedOn w:val="Normal"/>
    <w:uiPriority w:val="1"/>
    <w:qFormat/>
    <w:pPr>
      <w:ind w:left="107"/>
    </w:pPr>
    <w:rPr>
      <w:rFonts w:ascii="Times New Roman" w:hAnsi="Times New Roman" w:eastAsia="Times New Roman" w:cs="Times New Roman"/>
      <w:lang w:val="sq-AL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jpe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2023-05-23T07:18:18Z</dcterms:created>
  <dcterms:modified xsi:type="dcterms:W3CDTF">2023-05-23T07:18:18Z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2023-05-23T00:00:00Z</vt:filetime>
  </property>
</Properties>
</file>