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A4" w:rsidRPr="00262EBE" w:rsidRDefault="00AE24A4" w:rsidP="00AE24A4">
      <w:pPr>
        <w:tabs>
          <w:tab w:val="left" w:pos="7035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Pr="00262EBE">
        <w:rPr>
          <w:b/>
          <w:sz w:val="30"/>
          <w:szCs w:val="30"/>
        </w:rPr>
        <w:t xml:space="preserve">  </w:t>
      </w:r>
    </w:p>
    <w:p w:rsidR="00AE24A4" w:rsidRPr="00B96EC6" w:rsidRDefault="00AE24A4" w:rsidP="00A80B11">
      <w:pPr>
        <w:rPr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n-US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-104775</wp:posOffset>
            </wp:positionV>
            <wp:extent cx="942975" cy="819150"/>
            <wp:effectExtent l="19050" t="0" r="0" b="0"/>
            <wp:wrapNone/>
            <wp:docPr id="3" name="Picture 3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A2B">
        <w:rPr>
          <w:rFonts w:asciiTheme="majorHAnsi" w:hAnsi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-190500</wp:posOffset>
            </wp:positionV>
            <wp:extent cx="752475" cy="857250"/>
            <wp:effectExtent l="19050" t="0" r="9525" b="0"/>
            <wp:wrapSquare wrapText="right"/>
            <wp:docPr id="4" name="Picture 2" descr="stema e kos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sov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B11">
        <w:rPr>
          <w:b/>
          <w:sz w:val="28"/>
          <w:szCs w:val="28"/>
        </w:rPr>
        <w:t xml:space="preserve">         </w:t>
      </w:r>
      <w:r w:rsidRPr="00B96EC6">
        <w:rPr>
          <w:b/>
          <w:sz w:val="28"/>
          <w:szCs w:val="28"/>
        </w:rPr>
        <w:t>Republika e Kosovës  -  Republic of  Kosova</w:t>
      </w:r>
    </w:p>
    <w:p w:rsidR="00AE24A4" w:rsidRPr="00B96EC6" w:rsidRDefault="00A80B11" w:rsidP="00A8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E24A4" w:rsidRPr="00B96EC6">
        <w:rPr>
          <w:b/>
          <w:sz w:val="28"/>
          <w:szCs w:val="28"/>
        </w:rPr>
        <w:t>Komuna – Municipality</w:t>
      </w:r>
    </w:p>
    <w:p w:rsidR="00AE24A4" w:rsidRDefault="00A80B11" w:rsidP="00A8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Hani i Elezi</w:t>
      </w:r>
      <w:r w:rsidR="00AE24A4" w:rsidRPr="00B96EC6">
        <w:rPr>
          <w:b/>
          <w:sz w:val="28"/>
          <w:szCs w:val="28"/>
        </w:rPr>
        <w:t>t</w:t>
      </w:r>
    </w:p>
    <w:p w:rsidR="00AE24A4" w:rsidRPr="00E637A5" w:rsidRDefault="00AE24A4" w:rsidP="00AE24A4">
      <w:pPr>
        <w:rPr>
          <w:b/>
          <w:sz w:val="28"/>
          <w:szCs w:val="28"/>
        </w:rPr>
      </w:pPr>
    </w:p>
    <w:p w:rsidR="00AE24A4" w:rsidRDefault="00C57D5C" w:rsidP="00AE24A4">
      <w:pPr>
        <w:pBdr>
          <w:top w:val="single" w:sz="4" w:space="1" w:color="auto"/>
        </w:pBdr>
        <w:jc w:val="both"/>
        <w:rPr>
          <w:rFonts w:ascii="Calibri" w:eastAsia="MS Mincho" w:hAnsi="Calibri"/>
          <w:bCs/>
        </w:rPr>
      </w:pPr>
      <w:r w:rsidRPr="00C57D5C">
        <w:rPr>
          <w:rFonts w:ascii="Calibri" w:eastAsia="MS Mincho" w:hAnsi="Calibri"/>
          <w:bCs/>
        </w:rPr>
        <w:pict>
          <v:rect id="_x0000_i1025" style="width:0;height:1.5pt" o:hralign="center" o:hrstd="t" o:hr="t" fillcolor="#a0a0a0" stroked="f"/>
        </w:pict>
      </w:r>
    </w:p>
    <w:p w:rsidR="00AE24A4" w:rsidRPr="00FF276B" w:rsidRDefault="003B7E17" w:rsidP="00AE24A4">
      <w:pPr>
        <w:rPr>
          <w:b/>
          <w:u w:val="single"/>
        </w:rPr>
      </w:pPr>
      <w:r w:rsidRPr="00FF276B">
        <w:rPr>
          <w:b/>
          <w:u w:val="single"/>
        </w:rPr>
        <w:t>Nr. 04</w:t>
      </w:r>
      <w:r w:rsidR="00951D94" w:rsidRPr="00FF276B">
        <w:rPr>
          <w:b/>
          <w:u w:val="single"/>
        </w:rPr>
        <w:t>/</w:t>
      </w:r>
      <w:r w:rsidR="003C7576" w:rsidRPr="00FF276B">
        <w:rPr>
          <w:b/>
          <w:u w:val="single"/>
        </w:rPr>
        <w:t xml:space="preserve"> </w:t>
      </w:r>
      <w:r w:rsidR="00FF276B" w:rsidRPr="00FF276B">
        <w:rPr>
          <w:b/>
          <w:u w:val="single"/>
        </w:rPr>
        <w:t>9301</w:t>
      </w:r>
      <w:r w:rsidR="00335DF7" w:rsidRPr="00FF276B">
        <w:rPr>
          <w:b/>
          <w:u w:val="single"/>
        </w:rPr>
        <w:t xml:space="preserve"> /2019</w:t>
      </w:r>
    </w:p>
    <w:p w:rsidR="00AE24A4" w:rsidRPr="003B7E17" w:rsidRDefault="00CC584A" w:rsidP="00445B9F">
      <w:pPr>
        <w:tabs>
          <w:tab w:val="left" w:pos="1845"/>
        </w:tabs>
      </w:pPr>
      <w:r>
        <w:t>Data:14.10.2019</w:t>
      </w:r>
      <w:r w:rsidR="00445B9F">
        <w:tab/>
      </w:r>
    </w:p>
    <w:p w:rsidR="00AE24A4" w:rsidRDefault="00DF0C91" w:rsidP="00DF0C91">
      <w:pPr>
        <w:tabs>
          <w:tab w:val="left" w:pos="3705"/>
        </w:tabs>
        <w:rPr>
          <w:sz w:val="50"/>
          <w:szCs w:val="50"/>
        </w:rPr>
      </w:pPr>
      <w:r>
        <w:rPr>
          <w:sz w:val="50"/>
          <w:szCs w:val="50"/>
        </w:rPr>
        <w:tab/>
      </w:r>
    </w:p>
    <w:p w:rsidR="00BE7DEA" w:rsidRDefault="00BE7DEA" w:rsidP="00AE24A4">
      <w:pPr>
        <w:jc w:val="center"/>
        <w:rPr>
          <w:sz w:val="50"/>
          <w:szCs w:val="50"/>
        </w:rPr>
      </w:pPr>
    </w:p>
    <w:p w:rsidR="00AE24A4" w:rsidRPr="00E637A5" w:rsidRDefault="00AE24A4" w:rsidP="00AE24A4">
      <w:pPr>
        <w:jc w:val="center"/>
        <w:rPr>
          <w:color w:val="C00000"/>
          <w:sz w:val="50"/>
          <w:szCs w:val="50"/>
        </w:rPr>
      </w:pPr>
      <w:r w:rsidRPr="00E637A5">
        <w:rPr>
          <w:color w:val="C00000"/>
          <w:sz w:val="50"/>
          <w:szCs w:val="50"/>
        </w:rPr>
        <w:t>DREJTORIA PËR BUXHET DHE FINANCA</w:t>
      </w: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Pr="00E637A5" w:rsidRDefault="00AE24A4" w:rsidP="00AE24A4">
      <w:pPr>
        <w:shd w:val="clear" w:color="auto" w:fill="C4BC96" w:themeFill="background2" w:themeFillShade="BF"/>
        <w:jc w:val="center"/>
        <w:rPr>
          <w:b/>
          <w:color w:val="17365D" w:themeColor="text2" w:themeShade="BF"/>
          <w:sz w:val="50"/>
          <w:szCs w:val="50"/>
        </w:rPr>
      </w:pPr>
      <w:r w:rsidRPr="00E637A5">
        <w:rPr>
          <w:b/>
          <w:color w:val="17365D" w:themeColor="text2" w:themeShade="BF"/>
          <w:sz w:val="50"/>
          <w:szCs w:val="50"/>
        </w:rPr>
        <w:t xml:space="preserve">RAPORT FINANCIAR PËR PERIUDHËN </w:t>
      </w:r>
      <w:r w:rsidR="00FD0F70">
        <w:rPr>
          <w:b/>
          <w:color w:val="17365D" w:themeColor="text2" w:themeShade="BF"/>
          <w:sz w:val="50"/>
          <w:szCs w:val="50"/>
        </w:rPr>
        <w:t xml:space="preserve">1 </w:t>
      </w:r>
      <w:r w:rsidRPr="00E637A5">
        <w:rPr>
          <w:b/>
          <w:color w:val="17365D" w:themeColor="text2" w:themeShade="BF"/>
          <w:sz w:val="50"/>
          <w:szCs w:val="50"/>
        </w:rPr>
        <w:t>JANAR-</w:t>
      </w:r>
      <w:r w:rsidR="00FD0F70">
        <w:rPr>
          <w:b/>
          <w:color w:val="17365D" w:themeColor="text2" w:themeShade="BF"/>
          <w:sz w:val="50"/>
          <w:szCs w:val="50"/>
        </w:rPr>
        <w:t xml:space="preserve"> 30 </w:t>
      </w:r>
      <w:r w:rsidR="00762CD4">
        <w:rPr>
          <w:b/>
          <w:color w:val="17365D" w:themeColor="text2" w:themeShade="BF"/>
          <w:sz w:val="50"/>
          <w:szCs w:val="50"/>
        </w:rPr>
        <w:t>SHTATOR</w:t>
      </w:r>
      <w:r w:rsidR="00335DF7">
        <w:rPr>
          <w:b/>
          <w:color w:val="17365D" w:themeColor="text2" w:themeShade="BF"/>
          <w:sz w:val="50"/>
          <w:szCs w:val="50"/>
        </w:rPr>
        <w:t xml:space="preserve"> 2019</w:t>
      </w: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</w:pPr>
    </w:p>
    <w:p w:rsidR="00AE24A4" w:rsidRDefault="00AE24A4" w:rsidP="00AE24A4">
      <w:pPr>
        <w:jc w:val="center"/>
      </w:pPr>
    </w:p>
    <w:p w:rsidR="00071D0E" w:rsidRDefault="00071D0E" w:rsidP="00AE24A4">
      <w:pPr>
        <w:jc w:val="center"/>
      </w:pPr>
    </w:p>
    <w:p w:rsidR="00AE24A4" w:rsidRDefault="00AE24A4" w:rsidP="00AE24A4"/>
    <w:p w:rsidR="00AE24A4" w:rsidRDefault="00AE24A4" w:rsidP="00AE24A4"/>
    <w:p w:rsidR="00AE24A4" w:rsidRDefault="00AE24A4" w:rsidP="00AE24A4">
      <w:pPr>
        <w:jc w:val="center"/>
      </w:pPr>
    </w:p>
    <w:p w:rsidR="00C025BC" w:rsidRDefault="00C025BC" w:rsidP="00AE24A4">
      <w:pPr>
        <w:jc w:val="center"/>
      </w:pPr>
    </w:p>
    <w:p w:rsidR="00AE24A4" w:rsidRDefault="00AE24A4" w:rsidP="00AE24A4"/>
    <w:p w:rsidR="00AE24A4" w:rsidRDefault="00AE24A4" w:rsidP="00AE24A4">
      <w:pPr>
        <w:rPr>
          <w:b/>
          <w:u w:val="single"/>
        </w:rPr>
      </w:pPr>
    </w:p>
    <w:p w:rsidR="00AE24A4" w:rsidRDefault="00AE24A4" w:rsidP="00AE24A4">
      <w:pPr>
        <w:jc w:val="center"/>
        <w:rPr>
          <w:b/>
          <w:u w:val="single"/>
        </w:rPr>
      </w:pPr>
    </w:p>
    <w:p w:rsidR="007041B0" w:rsidRDefault="00AE24A4" w:rsidP="007041B0">
      <w:pPr>
        <w:jc w:val="center"/>
        <w:rPr>
          <w:b/>
          <w:u w:val="single"/>
        </w:rPr>
      </w:pPr>
      <w:r w:rsidRPr="009D756B">
        <w:rPr>
          <w:b/>
          <w:u w:val="single"/>
        </w:rPr>
        <w:t xml:space="preserve">HANI I ELEZIT, </w:t>
      </w:r>
      <w:r w:rsidR="00762CD4">
        <w:rPr>
          <w:b/>
          <w:u w:val="single"/>
        </w:rPr>
        <w:t>TETOR</w:t>
      </w:r>
      <w:r w:rsidR="00335DF7">
        <w:rPr>
          <w:b/>
          <w:u w:val="single"/>
        </w:rPr>
        <w:t xml:space="preserve"> 2019</w:t>
      </w:r>
    </w:p>
    <w:p w:rsidR="009C1197" w:rsidRDefault="009C1197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  <w:lastRenderedPageBreak/>
        <w:t>Përmbajtja</w:t>
      </w:r>
    </w:p>
    <w:p w:rsidR="009C1197" w:rsidRDefault="009C1197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1E00DE" w:rsidRPr="00FE6967" w:rsidRDefault="001E00DE" w:rsidP="00CA4B6B">
      <w:pPr>
        <w:pStyle w:val="NoSpacing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8"/>
        <w:gridCol w:w="8562"/>
        <w:gridCol w:w="508"/>
      </w:tblGrid>
      <w:tr w:rsidR="009F4018" w:rsidTr="000C1171">
        <w:trPr>
          <w:trHeight w:val="249"/>
        </w:trPr>
        <w:tc>
          <w:tcPr>
            <w:tcW w:w="518" w:type="dxa"/>
          </w:tcPr>
          <w:p w:rsidR="009F4018" w:rsidRDefault="009F4018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</w:p>
        </w:tc>
        <w:tc>
          <w:tcPr>
            <w:tcW w:w="8562" w:type="dxa"/>
          </w:tcPr>
          <w:p w:rsidR="009F4018" w:rsidRDefault="009F4018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Përkufizimet......................................................................................................................</w:t>
            </w:r>
          </w:p>
        </w:tc>
        <w:tc>
          <w:tcPr>
            <w:tcW w:w="508" w:type="dxa"/>
          </w:tcPr>
          <w:p w:rsidR="009F4018" w:rsidRDefault="000C1171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3</w:t>
            </w:r>
          </w:p>
        </w:tc>
      </w:tr>
      <w:tr w:rsidR="009F4018" w:rsidTr="000C1171">
        <w:trPr>
          <w:trHeight w:val="249"/>
        </w:trPr>
        <w:tc>
          <w:tcPr>
            <w:tcW w:w="518" w:type="dxa"/>
          </w:tcPr>
          <w:p w:rsidR="009F4018" w:rsidRDefault="009F4018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</w:t>
            </w:r>
          </w:p>
        </w:tc>
        <w:tc>
          <w:tcPr>
            <w:tcW w:w="8562" w:type="dxa"/>
          </w:tcPr>
          <w:p w:rsidR="009F4018" w:rsidRDefault="009F4018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Hyrje.................................................................................................................................</w:t>
            </w:r>
          </w:p>
        </w:tc>
        <w:tc>
          <w:tcPr>
            <w:tcW w:w="508" w:type="dxa"/>
          </w:tcPr>
          <w:p w:rsidR="009F4018" w:rsidRDefault="000C1171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9F4018" w:rsidTr="000C1171">
        <w:trPr>
          <w:trHeight w:val="249"/>
        </w:trPr>
        <w:tc>
          <w:tcPr>
            <w:tcW w:w="518" w:type="dxa"/>
          </w:tcPr>
          <w:p w:rsidR="009F4018" w:rsidRDefault="009F4018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2.1</w:t>
            </w:r>
          </w:p>
        </w:tc>
        <w:tc>
          <w:tcPr>
            <w:tcW w:w="8562" w:type="dxa"/>
          </w:tcPr>
          <w:p w:rsidR="009F4018" w:rsidRDefault="009F4018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Performanca e të hyrave...................................................................................................</w:t>
            </w:r>
          </w:p>
        </w:tc>
        <w:tc>
          <w:tcPr>
            <w:tcW w:w="508" w:type="dxa"/>
          </w:tcPr>
          <w:p w:rsidR="009F4018" w:rsidRDefault="000C1171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9F4018" w:rsidTr="000C1171">
        <w:trPr>
          <w:trHeight w:val="249"/>
        </w:trPr>
        <w:tc>
          <w:tcPr>
            <w:tcW w:w="518" w:type="dxa"/>
          </w:tcPr>
          <w:p w:rsidR="009F4018" w:rsidRDefault="009F4018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2.2</w:t>
            </w:r>
          </w:p>
        </w:tc>
        <w:tc>
          <w:tcPr>
            <w:tcW w:w="8562" w:type="dxa"/>
          </w:tcPr>
          <w:p w:rsidR="009F4018" w:rsidRDefault="009F4018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Performanca e shpenzimeve.............................................................................................</w:t>
            </w:r>
          </w:p>
        </w:tc>
        <w:tc>
          <w:tcPr>
            <w:tcW w:w="508" w:type="dxa"/>
          </w:tcPr>
          <w:p w:rsidR="009F4018" w:rsidRDefault="009F4018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9F4018" w:rsidTr="000C1171">
        <w:trPr>
          <w:trHeight w:val="249"/>
        </w:trPr>
        <w:tc>
          <w:tcPr>
            <w:tcW w:w="518" w:type="dxa"/>
          </w:tcPr>
          <w:p w:rsidR="009F4018" w:rsidRDefault="009F4018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3</w:t>
            </w:r>
          </w:p>
        </w:tc>
        <w:tc>
          <w:tcPr>
            <w:tcW w:w="8562" w:type="dxa"/>
          </w:tcPr>
          <w:p w:rsidR="009F4018" w:rsidRDefault="009F4018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Buxheti komunal </w:t>
            </w:r>
            <w:r w:rsidR="00335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......................................................................................................</w:t>
            </w:r>
          </w:p>
        </w:tc>
        <w:tc>
          <w:tcPr>
            <w:tcW w:w="508" w:type="dxa"/>
          </w:tcPr>
          <w:p w:rsidR="009F4018" w:rsidRDefault="009F4018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</w:tr>
      <w:tr w:rsidR="009F4018" w:rsidTr="000C1171">
        <w:trPr>
          <w:trHeight w:val="249"/>
        </w:trPr>
        <w:tc>
          <w:tcPr>
            <w:tcW w:w="518" w:type="dxa"/>
          </w:tcPr>
          <w:p w:rsidR="009F4018" w:rsidRDefault="009F4018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3.1</w:t>
            </w:r>
          </w:p>
        </w:tc>
        <w:tc>
          <w:tcPr>
            <w:tcW w:w="8562" w:type="dxa"/>
          </w:tcPr>
          <w:p w:rsidR="009F4018" w:rsidRDefault="009F4018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Raporti i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realizi</w:t>
            </w: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mit të buxhetit për periudhën janar-</w:t>
            </w:r>
            <w:r w:rsidR="00335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shtator 2019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</w:t>
            </w:r>
          </w:p>
        </w:tc>
        <w:tc>
          <w:tcPr>
            <w:tcW w:w="508" w:type="dxa"/>
          </w:tcPr>
          <w:p w:rsidR="009F4018" w:rsidRDefault="000C1171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</w:tr>
      <w:tr w:rsidR="009F4018" w:rsidTr="000C1171">
        <w:trPr>
          <w:trHeight w:val="249"/>
        </w:trPr>
        <w:tc>
          <w:tcPr>
            <w:tcW w:w="518" w:type="dxa"/>
          </w:tcPr>
          <w:p w:rsidR="009F4018" w:rsidRDefault="009F4018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3.2</w:t>
            </w:r>
          </w:p>
        </w:tc>
        <w:tc>
          <w:tcPr>
            <w:tcW w:w="8562" w:type="dxa"/>
          </w:tcPr>
          <w:p w:rsidR="009F4018" w:rsidRDefault="009F4018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Krahasimi i pagesave për periudhën janar-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shtator</w:t>
            </w:r>
            <w:r w:rsidR="00335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 2019/18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</w:t>
            </w:r>
          </w:p>
        </w:tc>
        <w:tc>
          <w:tcPr>
            <w:tcW w:w="508" w:type="dxa"/>
          </w:tcPr>
          <w:p w:rsidR="009F4018" w:rsidRDefault="000C1171" w:rsidP="000C117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6</w:t>
            </w:r>
          </w:p>
        </w:tc>
      </w:tr>
      <w:tr w:rsidR="009F4018" w:rsidTr="000C1171">
        <w:trPr>
          <w:trHeight w:val="249"/>
        </w:trPr>
        <w:tc>
          <w:tcPr>
            <w:tcW w:w="518" w:type="dxa"/>
          </w:tcPr>
          <w:p w:rsidR="009F4018" w:rsidRDefault="009F4018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3.3</w:t>
            </w:r>
          </w:p>
        </w:tc>
        <w:tc>
          <w:tcPr>
            <w:tcW w:w="8562" w:type="dxa"/>
          </w:tcPr>
          <w:p w:rsidR="009F4018" w:rsidRDefault="009F4018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Buxheti i komunës sipas drejtorive dhe kategorive ekonomike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</w:t>
            </w:r>
          </w:p>
        </w:tc>
        <w:tc>
          <w:tcPr>
            <w:tcW w:w="508" w:type="dxa"/>
          </w:tcPr>
          <w:p w:rsidR="009F4018" w:rsidRDefault="000C1171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7</w:t>
            </w:r>
          </w:p>
        </w:tc>
      </w:tr>
      <w:tr w:rsidR="009F4018" w:rsidTr="000C1171">
        <w:trPr>
          <w:trHeight w:val="249"/>
        </w:trPr>
        <w:tc>
          <w:tcPr>
            <w:tcW w:w="518" w:type="dxa"/>
          </w:tcPr>
          <w:p w:rsidR="009F4018" w:rsidRDefault="009F4018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  <w:tc>
          <w:tcPr>
            <w:tcW w:w="8562" w:type="dxa"/>
          </w:tcPr>
          <w:p w:rsidR="009F4018" w:rsidRDefault="009F4018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Pagat dhe mëditjet për periudhën janar-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shtator</w:t>
            </w:r>
            <w:r w:rsidR="00335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......................................................</w:t>
            </w:r>
          </w:p>
        </w:tc>
        <w:tc>
          <w:tcPr>
            <w:tcW w:w="508" w:type="dxa"/>
          </w:tcPr>
          <w:p w:rsidR="009F4018" w:rsidRDefault="002B3D10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11</w:t>
            </w:r>
          </w:p>
        </w:tc>
      </w:tr>
      <w:tr w:rsidR="009F4018" w:rsidTr="000C1171">
        <w:trPr>
          <w:trHeight w:val="249"/>
        </w:trPr>
        <w:tc>
          <w:tcPr>
            <w:tcW w:w="518" w:type="dxa"/>
          </w:tcPr>
          <w:p w:rsidR="009F4018" w:rsidRDefault="009F4018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  <w:tc>
          <w:tcPr>
            <w:tcW w:w="8562" w:type="dxa"/>
          </w:tcPr>
          <w:p w:rsidR="009F4018" w:rsidRDefault="009F4018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Mallrat dhe shërbimet për periudhën janar-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shtator</w:t>
            </w:r>
            <w:r w:rsidR="00335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.................................................</w:t>
            </w:r>
          </w:p>
        </w:tc>
        <w:tc>
          <w:tcPr>
            <w:tcW w:w="508" w:type="dxa"/>
          </w:tcPr>
          <w:p w:rsidR="009F4018" w:rsidRDefault="009F4018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2B3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</w:t>
            </w:r>
          </w:p>
        </w:tc>
      </w:tr>
      <w:tr w:rsidR="009F4018" w:rsidTr="000C1171">
        <w:trPr>
          <w:trHeight w:val="249"/>
        </w:trPr>
        <w:tc>
          <w:tcPr>
            <w:tcW w:w="518" w:type="dxa"/>
          </w:tcPr>
          <w:p w:rsidR="009F4018" w:rsidRDefault="009F4018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5.1</w:t>
            </w:r>
          </w:p>
        </w:tc>
        <w:tc>
          <w:tcPr>
            <w:tcW w:w="8562" w:type="dxa"/>
          </w:tcPr>
          <w:p w:rsidR="009F4018" w:rsidRDefault="009F4018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Shpjegime për mallrat dhe shërbimet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...............................................................................</w:t>
            </w:r>
          </w:p>
        </w:tc>
        <w:tc>
          <w:tcPr>
            <w:tcW w:w="508" w:type="dxa"/>
          </w:tcPr>
          <w:p w:rsidR="009F4018" w:rsidRDefault="009F4018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5D5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9F4018" w:rsidTr="000C1171">
        <w:trPr>
          <w:trHeight w:val="249"/>
        </w:trPr>
        <w:tc>
          <w:tcPr>
            <w:tcW w:w="518" w:type="dxa"/>
          </w:tcPr>
          <w:p w:rsidR="009F4018" w:rsidRDefault="009F4018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6</w:t>
            </w:r>
          </w:p>
        </w:tc>
        <w:tc>
          <w:tcPr>
            <w:tcW w:w="8562" w:type="dxa"/>
          </w:tcPr>
          <w:p w:rsidR="009F4018" w:rsidRDefault="009F4018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Shpenzimet komunale për periudhën janar-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shtator</w:t>
            </w:r>
            <w:r w:rsidR="00335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.................................................</w:t>
            </w:r>
          </w:p>
        </w:tc>
        <w:tc>
          <w:tcPr>
            <w:tcW w:w="508" w:type="dxa"/>
          </w:tcPr>
          <w:p w:rsidR="009F4018" w:rsidRDefault="000C1171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5D5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6</w:t>
            </w:r>
          </w:p>
        </w:tc>
      </w:tr>
      <w:tr w:rsidR="009F4018" w:rsidTr="000C1171">
        <w:trPr>
          <w:trHeight w:val="249"/>
        </w:trPr>
        <w:tc>
          <w:tcPr>
            <w:tcW w:w="518" w:type="dxa"/>
          </w:tcPr>
          <w:p w:rsidR="009F4018" w:rsidRDefault="009F4018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7</w:t>
            </w:r>
          </w:p>
        </w:tc>
        <w:tc>
          <w:tcPr>
            <w:tcW w:w="8562" w:type="dxa"/>
          </w:tcPr>
          <w:p w:rsidR="009F4018" w:rsidRDefault="000C1171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Subvencionet dhe transferet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për periudhën janar-shtator </w:t>
            </w:r>
            <w:r w:rsidR="00335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</w:t>
            </w:r>
          </w:p>
        </w:tc>
        <w:tc>
          <w:tcPr>
            <w:tcW w:w="508" w:type="dxa"/>
          </w:tcPr>
          <w:p w:rsidR="009F4018" w:rsidRDefault="009F4018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5D5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6</w:t>
            </w:r>
          </w:p>
        </w:tc>
      </w:tr>
      <w:tr w:rsidR="009F4018" w:rsidTr="000C1171">
        <w:trPr>
          <w:trHeight w:val="249"/>
        </w:trPr>
        <w:tc>
          <w:tcPr>
            <w:tcW w:w="518" w:type="dxa"/>
          </w:tcPr>
          <w:p w:rsidR="009F4018" w:rsidRDefault="009F4018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7.1</w:t>
            </w:r>
          </w:p>
        </w:tc>
        <w:tc>
          <w:tcPr>
            <w:tcW w:w="8562" w:type="dxa"/>
          </w:tcPr>
          <w:p w:rsidR="009F4018" w:rsidRDefault="000C1171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Shpjegime për kategorinë ekonomike subvencione 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he transfere...................................</w:t>
            </w:r>
          </w:p>
        </w:tc>
        <w:tc>
          <w:tcPr>
            <w:tcW w:w="508" w:type="dxa"/>
          </w:tcPr>
          <w:p w:rsidR="009F4018" w:rsidRDefault="000C1171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5D5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7</w:t>
            </w:r>
          </w:p>
        </w:tc>
      </w:tr>
      <w:tr w:rsidR="000C1171" w:rsidTr="000C1171">
        <w:trPr>
          <w:trHeight w:val="263"/>
        </w:trPr>
        <w:tc>
          <w:tcPr>
            <w:tcW w:w="518" w:type="dxa"/>
          </w:tcPr>
          <w:p w:rsidR="000C1171" w:rsidRDefault="000C1171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8</w:t>
            </w:r>
          </w:p>
        </w:tc>
        <w:tc>
          <w:tcPr>
            <w:tcW w:w="8562" w:type="dxa"/>
          </w:tcPr>
          <w:p w:rsidR="000C1171" w:rsidRPr="00FE6967" w:rsidRDefault="000C1171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Shpenzimet kapitale për periudhën janar-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shtator</w:t>
            </w:r>
            <w:r w:rsidR="00335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....................................................</w:t>
            </w:r>
          </w:p>
        </w:tc>
        <w:tc>
          <w:tcPr>
            <w:tcW w:w="508" w:type="dxa"/>
          </w:tcPr>
          <w:p w:rsidR="000C1171" w:rsidRDefault="000C1171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5D5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8</w:t>
            </w:r>
          </w:p>
        </w:tc>
      </w:tr>
      <w:tr w:rsidR="000C1171" w:rsidTr="000C1171">
        <w:trPr>
          <w:trHeight w:val="249"/>
        </w:trPr>
        <w:tc>
          <w:tcPr>
            <w:tcW w:w="518" w:type="dxa"/>
          </w:tcPr>
          <w:p w:rsidR="000C1171" w:rsidRDefault="000C1171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9</w:t>
            </w:r>
          </w:p>
        </w:tc>
        <w:tc>
          <w:tcPr>
            <w:tcW w:w="8562" w:type="dxa"/>
          </w:tcPr>
          <w:p w:rsidR="000C1171" w:rsidRPr="00FE6967" w:rsidRDefault="000C1171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Raporti i të hyrave vetanake për periudhën janar-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shtator</w:t>
            </w:r>
            <w:r w:rsidR="00335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</w:t>
            </w:r>
          </w:p>
        </w:tc>
        <w:tc>
          <w:tcPr>
            <w:tcW w:w="508" w:type="dxa"/>
          </w:tcPr>
          <w:p w:rsidR="000C1171" w:rsidRDefault="005D51CF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21</w:t>
            </w:r>
          </w:p>
        </w:tc>
      </w:tr>
      <w:tr w:rsidR="006D393B" w:rsidTr="000C1171">
        <w:trPr>
          <w:trHeight w:val="249"/>
        </w:trPr>
        <w:tc>
          <w:tcPr>
            <w:tcW w:w="518" w:type="dxa"/>
          </w:tcPr>
          <w:p w:rsidR="006D393B" w:rsidRDefault="006D393B" w:rsidP="00A90F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9.1</w:t>
            </w:r>
          </w:p>
        </w:tc>
        <w:tc>
          <w:tcPr>
            <w:tcW w:w="8562" w:type="dxa"/>
          </w:tcPr>
          <w:p w:rsidR="006D393B" w:rsidRPr="00FE6967" w:rsidRDefault="006D393B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Shpjegime për të hyrat vetanake.......................................................................................</w:t>
            </w:r>
          </w:p>
        </w:tc>
        <w:tc>
          <w:tcPr>
            <w:tcW w:w="508" w:type="dxa"/>
          </w:tcPr>
          <w:p w:rsidR="006D393B" w:rsidRDefault="005D51CF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22</w:t>
            </w:r>
          </w:p>
        </w:tc>
      </w:tr>
      <w:tr w:rsidR="000C1171" w:rsidTr="000C1171">
        <w:trPr>
          <w:trHeight w:val="249"/>
        </w:trPr>
        <w:tc>
          <w:tcPr>
            <w:tcW w:w="518" w:type="dxa"/>
          </w:tcPr>
          <w:p w:rsidR="000C1171" w:rsidRDefault="000C1171" w:rsidP="009F4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8562" w:type="dxa"/>
          </w:tcPr>
          <w:p w:rsidR="000C1171" w:rsidRPr="00FE6967" w:rsidRDefault="000C1171" w:rsidP="009F40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508" w:type="dxa"/>
          </w:tcPr>
          <w:p w:rsidR="000C1171" w:rsidRDefault="000C1171" w:rsidP="00CA4B6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</w:tbl>
    <w:p w:rsidR="001E00DE" w:rsidRPr="009C1197" w:rsidRDefault="001E00DE" w:rsidP="00CA4B6B">
      <w:pPr>
        <w:pStyle w:val="NoSpacing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</w:p>
    <w:p w:rsidR="009C1197" w:rsidRDefault="009C1197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9C1197" w:rsidRDefault="009C1197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9C1197" w:rsidRDefault="009C1197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9C1197" w:rsidRDefault="009C1197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9C1197" w:rsidRDefault="009C1197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9C1197" w:rsidRDefault="009C1197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9C1197" w:rsidRDefault="009C1197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9C1197" w:rsidRDefault="009C1197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9C1197" w:rsidRDefault="009C1197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9C1197" w:rsidRDefault="009C1197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1E00DE" w:rsidRDefault="001E00DE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C1171" w:rsidRDefault="000C1171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C1171" w:rsidRDefault="000C1171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C1171" w:rsidRDefault="000C1171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C1171" w:rsidRDefault="000C1171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C1171" w:rsidRDefault="000C1171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C1171" w:rsidRDefault="000C1171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C1171" w:rsidRDefault="000C1171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C1171" w:rsidRDefault="000C1171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C1171" w:rsidRDefault="000C1171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C1171" w:rsidRDefault="000C1171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C1171" w:rsidRDefault="000C1171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C1171" w:rsidRDefault="000C1171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C1171" w:rsidRDefault="000C1171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C1171" w:rsidRDefault="000C1171" w:rsidP="000B7EAD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0B7EAD" w:rsidRPr="005463C1" w:rsidRDefault="009145D5" w:rsidP="000B7EA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  <w:lastRenderedPageBreak/>
        <w:t>1.</w:t>
      </w:r>
      <w:r w:rsidR="000B7EAD" w:rsidRPr="00D14062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  <w:t>Përkufizimet</w:t>
      </w:r>
      <w:r w:rsidR="000B7EAD" w:rsidRPr="00D14062">
        <w:rPr>
          <w:lang w:val="sq-AL"/>
        </w:rPr>
        <w:br/>
      </w:r>
      <w:r w:rsidR="000B7EAD" w:rsidRPr="004A0C8F">
        <w:rPr>
          <w:lang w:val="sq-AL"/>
        </w:rPr>
        <w:br/>
      </w:r>
      <w:r w:rsidR="000B7EAD" w:rsidRPr="005463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q-AL"/>
        </w:rPr>
        <w:t>Bilancet</w:t>
      </w:r>
      <w:r w:rsidR="000B7EAD"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- shumat e zotimeve të papritura, ndarjeve buxhetore të pa alokuara, alokimet e pa zotuara dhe çfarëdo të ardhurash të një shume më të madhe se sa shuma e shpenzimeve dhe zotimet e papritura të bartura nga viti fiskal paraprak;</w:t>
      </w:r>
    </w:p>
    <w:p w:rsidR="000B7EAD" w:rsidRPr="005463C1" w:rsidRDefault="000B7EAD" w:rsidP="000B7EA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5463C1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463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q-AL"/>
        </w:rPr>
        <w:t>Organizatat Buxhetore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- të gjitha ministritë, komunat apo agjencitë dhe </w:t>
      </w:r>
      <w:r w:rsidRPr="005463C1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institucionet, të cilat pranojnë ndarje buxhetore nga Fo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ndi i Kosovës;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</w:p>
    <w:p w:rsidR="000B7EAD" w:rsidRPr="005463C1" w:rsidRDefault="000B7EAD" w:rsidP="000B7EA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5463C1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463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q-AL"/>
        </w:rPr>
        <w:t xml:space="preserve">Zotimet 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- shpenzimet e parashikuara, për të cilat urdhëresa për pagesë të zotimit është plotësuar në pajtim me Rregullat Financiare të Thesarit dhe të cilat janë regjistruar në SIMFK, pa marrë parasysh nëse i nënshtrohen apo jo ndonjë detyrimi ligjor;</w:t>
      </w:r>
    </w:p>
    <w:p w:rsidR="000B7EAD" w:rsidRPr="005463C1" w:rsidRDefault="000B7EAD" w:rsidP="000B7EA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5463C1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463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q-AL"/>
        </w:rPr>
        <w:t>Kategoritë e shpenzimeve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- kategoritë “Pagat dhe Mëditjet”, “Mallrat dhe Shërbimet”, “Shërbimet Komunale”,</w:t>
      </w:r>
      <w:r w:rsidR="002D1707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“Subvencionet dhe Transferet” dhe 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“Shpenzimet Kapitale” </w:t>
      </w:r>
      <w:r w:rsidR="002D1707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.</w:t>
      </w:r>
    </w:p>
    <w:p w:rsidR="000B7EAD" w:rsidRPr="005463C1" w:rsidRDefault="000B7EAD" w:rsidP="000B7EA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5463C1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463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q-AL"/>
        </w:rPr>
        <w:t>Viti fiskal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- periudhën nga 1 Janari i një viti deri 31 dhjetor të vitit të njëjtë;</w:t>
      </w:r>
    </w:p>
    <w:p w:rsidR="000B7EAD" w:rsidRPr="005463C1" w:rsidRDefault="000B7EAD" w:rsidP="000B7EA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5463C1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463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q-AL"/>
        </w:rPr>
        <w:t>Alokimi i fondeve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– shuma maksimale për zotime dhe shpenzime që mund të bëhet kundrejt ndarjeve specifike buxhetore, siç është përcaktuar me procedurat e parapara në nenin 34 të LMFPP-së dhe të regjistruara në SIMFK; </w:t>
      </w:r>
    </w:p>
    <w:p w:rsidR="000B7EAD" w:rsidRPr="005463C1" w:rsidRDefault="000B7EAD" w:rsidP="000B7EA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5463C1">
        <w:rPr>
          <w:rFonts w:ascii="Times New Roman" w:hAnsi="Times New Roman" w:cs="Times New Roman"/>
          <w:sz w:val="24"/>
          <w:szCs w:val="24"/>
          <w:lang w:val="sq-AL"/>
        </w:rPr>
        <w:br/>
      </w:r>
      <w:r w:rsidR="004E1F6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q-AL"/>
        </w:rPr>
        <w:t xml:space="preserve">Subvencionet – </w:t>
      </w:r>
      <w:r w:rsidR="004E1F6D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fondet e siguruara nga shteti për të ndihmuar kompanitë, personat juridik ose sektorët e </w:t>
      </w:r>
      <w:r w:rsidR="008A5F7F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veçantë</w:t>
      </w:r>
      <w:r w:rsidR="004E1F6D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të ekonomisë si për sh. bujqësia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;</w:t>
      </w:r>
    </w:p>
    <w:p w:rsidR="000B7EAD" w:rsidRPr="005463C1" w:rsidRDefault="000B7EAD" w:rsidP="00157EE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5463C1">
        <w:rPr>
          <w:rFonts w:ascii="Times New Roman" w:hAnsi="Times New Roman" w:cs="Times New Roman"/>
          <w:sz w:val="24"/>
          <w:szCs w:val="24"/>
          <w:lang w:val="sq-AL"/>
        </w:rPr>
        <w:br/>
      </w:r>
      <w:r w:rsidR="009271B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q-AL"/>
        </w:rPr>
        <w:t>Korniza Afatmesme e Shpenzimeve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</w:t>
      </w:r>
      <w:r w:rsidR="009271BC" w:rsidRPr="009271B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q-AL"/>
        </w:rPr>
        <w:t>KASH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– </w:t>
      </w:r>
      <w:r w:rsidR="002A260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="009271BC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shtë një dokument i prioriteteve të politikave të Qeverisë që ka për qëllim</w:t>
      </w:r>
      <w:r w:rsidR="002A260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orientimin e ndarjes së mjeteve buxhetore gjatë procesit të ardhshëm buxhetor. Përkrah parashikueshmërinë në procesin e buxhetit duke siguruar se buxheti bazohet në parashikimin afatmesëm makroekonomik dhe fiskal (zakonisht në një periudhë 3 vjeçare)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;</w:t>
      </w:r>
    </w:p>
    <w:p w:rsidR="000B7EAD" w:rsidRPr="005463C1" w:rsidRDefault="000B7EAD" w:rsidP="000B7EA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5463C1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463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q-AL"/>
        </w:rPr>
        <w:t>Të hyrat vetanake të komunave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- çfarëdo e hyre e parasë publike e cila është vlerësuar dhe mbledhur nga komunat nga burimet e specifikuara në nenin 8 të Ligjit Nr. 03/L-049 për Financat e Pushtetit Lokal, i plotësuar dhe ndryshuar me Ligjin Nr. 05/L-108;</w:t>
      </w:r>
    </w:p>
    <w:p w:rsidR="000B7EAD" w:rsidRPr="005463C1" w:rsidRDefault="000B7EAD" w:rsidP="000B7EA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5463C1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463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q-AL"/>
        </w:rPr>
        <w:t>Burimet e financimit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– grantet qeveritare, të hyrat vetanake, të hyrat e dedikuara, të hyrat nga AKP-ja dhe financimet nga huamarrja;</w:t>
      </w:r>
    </w:p>
    <w:p w:rsidR="000B7EAD" w:rsidRDefault="000B7EAD" w:rsidP="000B7EA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5463C1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463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q-AL"/>
        </w:rPr>
        <w:t>Transferet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- Çdo ndryshim i ndodhur brenda ndarjeve të aprovuara të paraqitura në tabelat 3.1, 3.1 A, 3.1 B, 3.2, 3.2B, 4.1, dhe 4.2 nënkupton transferet që janë: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</w:t>
      </w:r>
    </w:p>
    <w:p w:rsidR="000B7EAD" w:rsidRDefault="000B7EAD" w:rsidP="000B7EA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257F53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ndryshimi i shumave të ndara në mes të organizatave buxhetore,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</w:t>
      </w:r>
    </w:p>
    <w:p w:rsidR="000B7EAD" w:rsidRDefault="000B7EAD" w:rsidP="000B7EA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257F53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ndryshimet që ndodhin mes nën-programeve të po të njëjtës organizatë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buxhetore dhe</w:t>
      </w:r>
    </w:p>
    <w:p w:rsidR="000B7EAD" w:rsidRPr="00257F53" w:rsidRDefault="000B7EAD" w:rsidP="000B7EA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257F53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ndryshimet e ndodhura mes secilës kategori të shpenzimeve të paraqitur në tabelën 3.1, 3.1A, 3.1B, 3.2, 3.2B, 4.1, dhe 4.2.</w:t>
      </w:r>
    </w:p>
    <w:p w:rsidR="009271BC" w:rsidRDefault="000B7EAD" w:rsidP="006712A2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5463C1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463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q-AL"/>
        </w:rPr>
        <w:t>Rialokimet</w:t>
      </w:r>
      <w:r w:rsidRPr="005463C1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- Çdo ndryshim i ndodhur në tabelën 3.2, 3.2B; dhe 4.2 në kategorinë e shpenzimeve kapitale brenda një nën-programi të një organizate buxhetore;</w:t>
      </w:r>
    </w:p>
    <w:p w:rsidR="002A2606" w:rsidRPr="009C1197" w:rsidRDefault="002A2606" w:rsidP="006712A2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</w:p>
    <w:p w:rsidR="00AE24A4" w:rsidRPr="00321577" w:rsidRDefault="009145D5" w:rsidP="006712A2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sq-AL"/>
        </w:rPr>
        <w:lastRenderedPageBreak/>
        <w:t>2.</w:t>
      </w:r>
      <w:r w:rsidR="009A5867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sq-AL"/>
        </w:rPr>
        <w:t>Hyrje</w:t>
      </w:r>
    </w:p>
    <w:p w:rsidR="00AE24A4" w:rsidRDefault="00AE24A4" w:rsidP="00AE24A4">
      <w:pPr>
        <w:jc w:val="both"/>
        <w:rPr>
          <w:b/>
        </w:rPr>
      </w:pPr>
    </w:p>
    <w:p w:rsidR="006D3594" w:rsidRDefault="006D3594" w:rsidP="006D3594">
      <w:pPr>
        <w:jc w:val="both"/>
      </w:pPr>
      <w:r>
        <w:t>Raporti</w:t>
      </w:r>
      <w:r w:rsidRPr="00250414">
        <w:t xml:space="preserve"> </w:t>
      </w:r>
      <w:r>
        <w:t>financiar për periudhë</w:t>
      </w:r>
      <w:r w:rsidRPr="00250414">
        <w:t xml:space="preserve">n </w:t>
      </w:r>
      <w:r>
        <w:t xml:space="preserve">janar- shtator 2019, është përgatitur në bazë </w:t>
      </w:r>
      <w:r>
        <w:rPr>
          <w:bCs/>
        </w:rPr>
        <w:t>të</w:t>
      </w:r>
      <w:r w:rsidRPr="00F31A57">
        <w:rPr>
          <w:bCs/>
        </w:rPr>
        <w:t xml:space="preserve"> </w:t>
      </w:r>
      <w:r>
        <w:t>Ligjit Nr. 03/L-048 p</w:t>
      </w:r>
      <w:r w:rsidRPr="00F31A57">
        <w:t>ër Menaxhimin e Financave Publike dhe Përgjegjësi</w:t>
      </w:r>
      <w:r>
        <w:t>të,</w:t>
      </w:r>
      <w:r w:rsidRPr="00F31A57">
        <w:t xml:space="preserve"> </w:t>
      </w:r>
      <w:r>
        <w:t>të dis</w:t>
      </w:r>
      <w:r w:rsidRPr="00F31A57">
        <w:t>pozitave të nenit 45, paragrafët 45.2 dhe 45.4</w:t>
      </w:r>
      <w:r>
        <w:t>,</w:t>
      </w:r>
      <w:r w:rsidRPr="00F31A57">
        <w:t xml:space="preserve"> </w:t>
      </w:r>
      <w:r>
        <w:t>si dhe statutin e komunës së Hanit të Elezit të nenit 51, paragrafi 5.</w:t>
      </w:r>
    </w:p>
    <w:p w:rsidR="006D3594" w:rsidRDefault="006D3594" w:rsidP="006D3594">
      <w:pPr>
        <w:jc w:val="both"/>
      </w:pPr>
    </w:p>
    <w:p w:rsidR="006D3594" w:rsidRPr="00161439" w:rsidRDefault="006D3594" w:rsidP="006D3594">
      <w:pPr>
        <w:jc w:val="both"/>
      </w:pPr>
      <w:r w:rsidRPr="00161439">
        <w:t xml:space="preserve">Ky raport përmban një përmbledhje të trendëve kryesore të të hyrave dhe shpenzimeve buxhetore përgjatë periudhës </w:t>
      </w:r>
      <w:r>
        <w:t>nën</w:t>
      </w:r>
      <w:r w:rsidRPr="00161439">
        <w:t>tëmujore të vitit 2019. Raporti përmban analiza përmbledhëse të periudhës përkatëse, pasqyron të hyrat sipas drejtorive, sipas llojit të të hyrave si dhe krahasimet me periudhat paraprake dhe projeksionet buxhetore.</w:t>
      </w:r>
    </w:p>
    <w:p w:rsidR="006D3594" w:rsidRPr="00B15A96" w:rsidRDefault="006D3594" w:rsidP="006D3594">
      <w:pPr>
        <w:jc w:val="both"/>
        <w:rPr>
          <w:b/>
        </w:rPr>
      </w:pPr>
    </w:p>
    <w:p w:rsidR="006D3594" w:rsidRPr="009128D7" w:rsidRDefault="006D3594" w:rsidP="006D3594">
      <w:pPr>
        <w:jc w:val="both"/>
        <w:rPr>
          <w:b/>
          <w:color w:val="365F91" w:themeColor="accent1" w:themeShade="BF"/>
        </w:rPr>
      </w:pPr>
      <w:r w:rsidRPr="009128D7">
        <w:rPr>
          <w:b/>
          <w:color w:val="365F91" w:themeColor="accent1" w:themeShade="BF"/>
        </w:rPr>
        <w:t xml:space="preserve">2.1. Performanca e të hyrave </w:t>
      </w:r>
    </w:p>
    <w:p w:rsidR="006D3594" w:rsidRDefault="006D3594" w:rsidP="006D3594">
      <w:pPr>
        <w:jc w:val="both"/>
        <w:rPr>
          <w:color w:val="365F91" w:themeColor="accent1" w:themeShade="BF"/>
        </w:rPr>
      </w:pPr>
    </w:p>
    <w:p w:rsidR="006D3594" w:rsidRDefault="006D3594" w:rsidP="006D3594">
      <w:pPr>
        <w:jc w:val="both"/>
      </w:pPr>
      <w:r w:rsidRPr="00F970FE">
        <w:rPr>
          <w:b/>
        </w:rPr>
        <w:t>Të hyrat vetanake</w:t>
      </w:r>
      <w:r w:rsidRPr="00B62BF3">
        <w:t xml:space="preserve"> kanë </w:t>
      </w:r>
      <w:r>
        <w:t xml:space="preserve">arritur vlerën e 241,740.21 euro duke </w:t>
      </w:r>
      <w:r w:rsidRPr="00B62BF3">
        <w:t>shë</w:t>
      </w:r>
      <w:r>
        <w:t>nuar trende rritëse me 6.71</w:t>
      </w:r>
      <w:r w:rsidRPr="00B62BF3">
        <w:t xml:space="preserve">% që korrespondon me </w:t>
      </w:r>
      <w:r>
        <w:t>15,206.13</w:t>
      </w:r>
      <w:r w:rsidR="00AD2C9E">
        <w:t xml:space="preserve"> €</w:t>
      </w:r>
      <w:r w:rsidRPr="00B62BF3">
        <w:t xml:space="preserve"> më shumë krahasuar me </w:t>
      </w:r>
      <w:r>
        <w:t>nën</w:t>
      </w:r>
      <w:r w:rsidRPr="00B62BF3">
        <w:t xml:space="preserve">tëmujorin e vitit paraprak. Kjo </w:t>
      </w:r>
      <w:r>
        <w:t>shumë e të hyrave përfaqëson me 83.61% të planit vjetor të parashikuar, ndërsa rritja në raport me periudhën e njejtë ka ardhur kryesisht nga të hyrat jo-tatimore.</w:t>
      </w:r>
      <w:r w:rsidR="00E65298">
        <w:t xml:space="preserve"> (shih raportin fq. 21</w:t>
      </w:r>
      <w:r w:rsidR="00AD2C9E">
        <w:t>).</w:t>
      </w:r>
    </w:p>
    <w:p w:rsidR="006D3594" w:rsidRPr="00521611" w:rsidRDefault="006D3594" w:rsidP="006D3594">
      <w:pPr>
        <w:jc w:val="both"/>
        <w:rPr>
          <w:color w:val="365F91" w:themeColor="accent1" w:themeShade="BF"/>
        </w:rPr>
      </w:pPr>
    </w:p>
    <w:p w:rsidR="006D3594" w:rsidRDefault="006D3594" w:rsidP="006D3594">
      <w:pPr>
        <w:jc w:val="both"/>
        <w:rPr>
          <w:b/>
          <w:color w:val="365F91" w:themeColor="accent1" w:themeShade="BF"/>
        </w:rPr>
      </w:pPr>
      <w:r w:rsidRPr="00521611">
        <w:rPr>
          <w:b/>
          <w:color w:val="365F91" w:themeColor="accent1" w:themeShade="BF"/>
        </w:rPr>
        <w:t>2.2. Performanca e shpenzimeve</w:t>
      </w:r>
    </w:p>
    <w:p w:rsidR="006D3594" w:rsidRDefault="006D3594" w:rsidP="006D3594">
      <w:pPr>
        <w:jc w:val="both"/>
        <w:rPr>
          <w:b/>
          <w:color w:val="365F91" w:themeColor="accent1" w:themeShade="BF"/>
        </w:rPr>
      </w:pPr>
    </w:p>
    <w:p w:rsidR="006D3594" w:rsidRDefault="006D3594" w:rsidP="006D3594">
      <w:pPr>
        <w:jc w:val="both"/>
      </w:pPr>
      <w:r w:rsidRPr="00F970FE">
        <w:rPr>
          <w:b/>
        </w:rPr>
        <w:t>Shpenzimet buxhetore</w:t>
      </w:r>
      <w:r>
        <w:t xml:space="preserve"> </w:t>
      </w:r>
      <w:r w:rsidRPr="00F970FE">
        <w:t xml:space="preserve">kanë arritur vlerën prej </w:t>
      </w:r>
      <w:r w:rsidR="007F2288">
        <w:t>1,785,303.16</w:t>
      </w:r>
      <w:r>
        <w:t xml:space="preserve"> euro</w:t>
      </w:r>
      <w:r w:rsidRPr="00F970FE">
        <w:t xml:space="preserve"> </w:t>
      </w:r>
      <w:r>
        <w:t xml:space="preserve">apo </w:t>
      </w:r>
      <w:r w:rsidR="007F2288">
        <w:t>55.69</w:t>
      </w:r>
      <w:r>
        <w:t xml:space="preserve">% e projeksioneve buxhetore </w:t>
      </w:r>
      <w:r w:rsidRPr="00F970FE">
        <w:t xml:space="preserve">përgjatë periudhës </w:t>
      </w:r>
      <w:r w:rsidR="007F2288">
        <w:t>nën</w:t>
      </w:r>
      <w:r w:rsidRPr="00F970FE">
        <w:t xml:space="preserve">tëmujore të vitit 2019, duke shënuar </w:t>
      </w:r>
      <w:r>
        <w:t xml:space="preserve">një </w:t>
      </w:r>
      <w:r w:rsidRPr="00F970FE">
        <w:t xml:space="preserve">rritje prej </w:t>
      </w:r>
      <w:r w:rsidR="007F2288">
        <w:t>18.76</w:t>
      </w:r>
      <w:r w:rsidRPr="00F970FE">
        <w:t>% që korrespondon me</w:t>
      </w:r>
      <w:r>
        <w:t xml:space="preserve"> </w:t>
      </w:r>
      <w:r w:rsidR="007F2288">
        <w:t>281,955.98</w:t>
      </w:r>
      <w:r>
        <w:t xml:space="preserve"> euro</w:t>
      </w:r>
      <w:r w:rsidRPr="00F970FE">
        <w:t xml:space="preserve"> më shumë krahasuar me </w:t>
      </w:r>
      <w:r w:rsidR="007F2288">
        <w:t>nën</w:t>
      </w:r>
      <w:r w:rsidRPr="00F970FE">
        <w:t xml:space="preserve">tëmujorin e </w:t>
      </w:r>
      <w:r w:rsidR="007F2288">
        <w:t>vitit</w:t>
      </w:r>
      <w:r w:rsidRPr="00F970FE">
        <w:t xml:space="preserve"> paraprak.</w:t>
      </w:r>
      <w:r>
        <w:t xml:space="preserve"> </w:t>
      </w:r>
    </w:p>
    <w:p w:rsidR="007F2288" w:rsidRPr="00F970FE" w:rsidRDefault="007F2288" w:rsidP="006D3594">
      <w:pPr>
        <w:jc w:val="both"/>
      </w:pPr>
    </w:p>
    <w:p w:rsidR="006D3594" w:rsidRPr="00F970FE" w:rsidRDefault="006D3594" w:rsidP="006D3594">
      <w:pPr>
        <w:jc w:val="both"/>
      </w:pPr>
      <w:r w:rsidRPr="00F970FE">
        <w:t xml:space="preserve">Kjo rritje është nga ekzekutimi më i lartë në kategorinë ekonomike shpenzime kapitale, për të cilat janë rritur me </w:t>
      </w:r>
      <w:r w:rsidR="007F2288">
        <w:t>200,061.14</w:t>
      </w:r>
      <w:r w:rsidRPr="00F970FE">
        <w:t xml:space="preserve"> </w:t>
      </w:r>
      <w:r>
        <w:t>euro</w:t>
      </w:r>
      <w:r w:rsidRPr="00F970FE">
        <w:t xml:space="preserve"> krahasuar me </w:t>
      </w:r>
      <w:r w:rsidR="007F2288">
        <w:t>periudhën</w:t>
      </w:r>
      <w:r w:rsidRPr="00F970FE">
        <w:t xml:space="preserve"> paraprak</w:t>
      </w:r>
      <w:r w:rsidR="007F2288">
        <w:t>e</w:t>
      </w:r>
      <w:r w:rsidRPr="00F970FE">
        <w:t xml:space="preserve">, të pasuar me kategorinë mallra dhe shërbime me </w:t>
      </w:r>
      <w:r w:rsidR="007F2288">
        <w:t>37,433.31</w:t>
      </w:r>
      <w:r w:rsidRPr="00F970FE">
        <w:t xml:space="preserve"> </w:t>
      </w:r>
      <w:r>
        <w:t>euro</w:t>
      </w:r>
      <w:r w:rsidRPr="00F970FE">
        <w:t xml:space="preserve">, </w:t>
      </w:r>
      <w:r w:rsidR="00E65298" w:rsidRPr="00F970FE">
        <w:t xml:space="preserve">një rritje nga kategoria e pagave dhe mëditjeve me </w:t>
      </w:r>
      <w:r w:rsidR="00E65298">
        <w:t>23,084.12</w:t>
      </w:r>
      <w:r w:rsidR="00E65298" w:rsidRPr="00F970FE">
        <w:t xml:space="preserve"> </w:t>
      </w:r>
      <w:r w:rsidR="00E65298">
        <w:t>euro,</w:t>
      </w:r>
      <w:r w:rsidR="00E65298" w:rsidRPr="00F970FE">
        <w:t xml:space="preserve"> </w:t>
      </w:r>
      <w:r w:rsidRPr="00F970FE">
        <w:t>një rritje te kate</w:t>
      </w:r>
      <w:r w:rsidR="00E65298">
        <w:t>goria subvencione dhe transfere</w:t>
      </w:r>
      <w:r w:rsidRPr="00F970FE">
        <w:t xml:space="preserve"> të cilat janë shpenzuar më shumë për </w:t>
      </w:r>
      <w:r w:rsidR="007F2288">
        <w:t>19,298</w:t>
      </w:r>
      <w:r w:rsidRPr="00F970FE">
        <w:t xml:space="preserve">.00 </w:t>
      </w:r>
      <w:r>
        <w:t>euro</w:t>
      </w:r>
      <w:r w:rsidR="00E65298">
        <w:t>,</w:t>
      </w:r>
      <w:r w:rsidRPr="00F970FE">
        <w:t xml:space="preserve"> nd</w:t>
      </w:r>
      <w:r>
        <w:t>ërsa te kategoria  shpenzime</w:t>
      </w:r>
      <w:r w:rsidRPr="00F970FE">
        <w:t xml:space="preserve"> komunale kemi një rritje prej </w:t>
      </w:r>
      <w:r w:rsidR="007F2288">
        <w:t>2,079.41</w:t>
      </w:r>
      <w:r w:rsidRPr="00F970FE">
        <w:t xml:space="preserve"> </w:t>
      </w:r>
      <w:r w:rsidR="007F2288">
        <w:t>euro.</w:t>
      </w:r>
    </w:p>
    <w:p w:rsidR="006D3594" w:rsidRDefault="006D3594" w:rsidP="006D3594">
      <w:pPr>
        <w:jc w:val="both"/>
        <w:rPr>
          <w:b/>
          <w:i/>
          <w:color w:val="943634" w:themeColor="accent2" w:themeShade="BF"/>
        </w:rPr>
      </w:pPr>
    </w:p>
    <w:p w:rsidR="006D3594" w:rsidRPr="001E3A0E" w:rsidRDefault="006D3594" w:rsidP="006D3594">
      <w:pPr>
        <w:jc w:val="both"/>
        <w:rPr>
          <w:b/>
          <w:i/>
          <w:color w:val="943634" w:themeColor="accent2" w:themeShade="BF"/>
        </w:rPr>
      </w:pPr>
      <w:r w:rsidRPr="00B15A96">
        <w:rPr>
          <w:b/>
          <w:i/>
          <w:color w:val="943634" w:themeColor="accent2" w:themeShade="BF"/>
        </w:rPr>
        <w:t>Ecuria e përgjithshme e këtyre treguesëve do të prezantohet për 12 programe</w:t>
      </w:r>
      <w:r>
        <w:rPr>
          <w:b/>
          <w:i/>
          <w:color w:val="943634" w:themeColor="accent2" w:themeShade="BF"/>
        </w:rPr>
        <w:t>t</w:t>
      </w:r>
      <w:r w:rsidRPr="00B15A96">
        <w:rPr>
          <w:b/>
          <w:i/>
          <w:color w:val="943634" w:themeColor="accent2" w:themeShade="BF"/>
        </w:rPr>
        <w:t xml:space="preserve"> buxhetore:</w:t>
      </w:r>
    </w:p>
    <w:p w:rsidR="006D3594" w:rsidRDefault="006D3594" w:rsidP="006D3594">
      <w:pPr>
        <w:pStyle w:val="ListParagraph"/>
        <w:numPr>
          <w:ilvl w:val="0"/>
          <w:numId w:val="1"/>
        </w:numPr>
        <w:jc w:val="both"/>
      </w:pPr>
      <w:r>
        <w:t>Zyra e Kryetarit</w:t>
      </w:r>
    </w:p>
    <w:p w:rsidR="006D3594" w:rsidRDefault="006D3594" w:rsidP="006D3594">
      <w:pPr>
        <w:pStyle w:val="ListParagraph"/>
        <w:numPr>
          <w:ilvl w:val="0"/>
          <w:numId w:val="1"/>
        </w:numPr>
        <w:jc w:val="both"/>
      </w:pPr>
      <w:r>
        <w:t>Administrata e Përgjithshme</w:t>
      </w:r>
    </w:p>
    <w:p w:rsidR="006D3594" w:rsidRDefault="006D3594" w:rsidP="006D3594">
      <w:pPr>
        <w:pStyle w:val="ListParagraph"/>
        <w:numPr>
          <w:ilvl w:val="0"/>
          <w:numId w:val="1"/>
        </w:numPr>
        <w:jc w:val="both"/>
      </w:pPr>
      <w:r>
        <w:t>Zyra e Kuvendit Komunal</w:t>
      </w:r>
    </w:p>
    <w:p w:rsidR="006D3594" w:rsidRDefault="006D3594" w:rsidP="006D3594">
      <w:pPr>
        <w:pStyle w:val="ListParagraph"/>
        <w:numPr>
          <w:ilvl w:val="0"/>
          <w:numId w:val="1"/>
        </w:numPr>
        <w:jc w:val="both"/>
      </w:pPr>
      <w:r>
        <w:t>Buxhet dhe Financa</w:t>
      </w:r>
    </w:p>
    <w:p w:rsidR="006D3594" w:rsidRDefault="006D3594" w:rsidP="006D3594">
      <w:pPr>
        <w:pStyle w:val="ListParagraph"/>
        <w:numPr>
          <w:ilvl w:val="0"/>
          <w:numId w:val="1"/>
        </w:numPr>
        <w:jc w:val="both"/>
      </w:pPr>
      <w:r>
        <w:t>Shërbimet Publike dhe Emergjencë</w:t>
      </w:r>
    </w:p>
    <w:p w:rsidR="006D3594" w:rsidRDefault="006D3594" w:rsidP="006D3594">
      <w:pPr>
        <w:pStyle w:val="ListParagraph"/>
        <w:numPr>
          <w:ilvl w:val="0"/>
          <w:numId w:val="1"/>
        </w:numPr>
        <w:jc w:val="both"/>
      </w:pPr>
      <w:r>
        <w:t>Zyra Komunale për Komunitete</w:t>
      </w:r>
    </w:p>
    <w:p w:rsidR="006D3594" w:rsidRDefault="006D3594" w:rsidP="006D3594">
      <w:pPr>
        <w:pStyle w:val="ListParagraph"/>
        <w:numPr>
          <w:ilvl w:val="0"/>
          <w:numId w:val="1"/>
        </w:numPr>
        <w:jc w:val="both"/>
      </w:pPr>
      <w:r>
        <w:t>Bujqësia, Pylltaria dhe Zhvillimi Rural</w:t>
      </w:r>
    </w:p>
    <w:p w:rsidR="006D3594" w:rsidRDefault="006D3594" w:rsidP="006D3594">
      <w:pPr>
        <w:pStyle w:val="ListParagraph"/>
        <w:numPr>
          <w:ilvl w:val="0"/>
          <w:numId w:val="1"/>
        </w:numPr>
        <w:jc w:val="both"/>
      </w:pPr>
      <w:r>
        <w:t>Zhvillimi Ekonomik</w:t>
      </w:r>
    </w:p>
    <w:p w:rsidR="006D3594" w:rsidRDefault="006D3594" w:rsidP="006D3594">
      <w:pPr>
        <w:pStyle w:val="ListParagraph"/>
        <w:numPr>
          <w:ilvl w:val="0"/>
          <w:numId w:val="1"/>
        </w:numPr>
        <w:jc w:val="both"/>
      </w:pPr>
      <w:r>
        <w:t>Planifikim Urban, Kadastra dhe Mbrojtja e Mjedisit</w:t>
      </w:r>
    </w:p>
    <w:p w:rsidR="006D3594" w:rsidRDefault="006D3594" w:rsidP="006D3594">
      <w:pPr>
        <w:pStyle w:val="ListParagraph"/>
        <w:numPr>
          <w:ilvl w:val="0"/>
          <w:numId w:val="1"/>
        </w:numPr>
        <w:jc w:val="both"/>
      </w:pPr>
      <w:r>
        <w:t xml:space="preserve">Shëndetësia  </w:t>
      </w:r>
    </w:p>
    <w:p w:rsidR="006D3594" w:rsidRPr="000C72F7" w:rsidRDefault="006D3594" w:rsidP="006D3594">
      <w:pPr>
        <w:pStyle w:val="ListParagraph"/>
        <w:numPr>
          <w:ilvl w:val="0"/>
          <w:numId w:val="1"/>
        </w:numPr>
        <w:jc w:val="both"/>
      </w:pPr>
      <w:r>
        <w:t>Shërbimet</w:t>
      </w:r>
      <w:r w:rsidRPr="000C72F7">
        <w:t xml:space="preserve"> Sociale</w:t>
      </w:r>
    </w:p>
    <w:p w:rsidR="006D3594" w:rsidRDefault="006D3594" w:rsidP="006D3594">
      <w:pPr>
        <w:pStyle w:val="ListParagraph"/>
        <w:numPr>
          <w:ilvl w:val="0"/>
          <w:numId w:val="1"/>
        </w:numPr>
        <w:jc w:val="both"/>
      </w:pPr>
      <w:r w:rsidRPr="000C72F7">
        <w:t>Arsimi dhe Kultura.</w:t>
      </w:r>
    </w:p>
    <w:p w:rsidR="006D3594" w:rsidRDefault="006D3594" w:rsidP="006D3594">
      <w:pPr>
        <w:jc w:val="both"/>
      </w:pPr>
    </w:p>
    <w:p w:rsidR="008946B5" w:rsidRDefault="008946B5" w:rsidP="00AE24A4">
      <w:pPr>
        <w:jc w:val="both"/>
      </w:pPr>
    </w:p>
    <w:p w:rsidR="00AE24A4" w:rsidRPr="004E7F46" w:rsidRDefault="009145D5" w:rsidP="00AE24A4">
      <w:pPr>
        <w:jc w:val="both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lastRenderedPageBreak/>
        <w:t>3.</w:t>
      </w:r>
      <w:r w:rsidR="00D92A1F">
        <w:rPr>
          <w:b/>
          <w:color w:val="365F91" w:themeColor="accent1" w:themeShade="BF"/>
          <w:sz w:val="28"/>
          <w:szCs w:val="28"/>
        </w:rPr>
        <w:t xml:space="preserve"> </w:t>
      </w:r>
      <w:r w:rsidR="00335DF7">
        <w:rPr>
          <w:b/>
          <w:color w:val="365F91" w:themeColor="accent1" w:themeShade="BF"/>
          <w:sz w:val="28"/>
          <w:szCs w:val="28"/>
        </w:rPr>
        <w:t>BUXHETI KOMUNAL 2019</w:t>
      </w:r>
    </w:p>
    <w:p w:rsidR="00AE24A4" w:rsidRDefault="00AE24A4" w:rsidP="00AE24A4">
      <w:pPr>
        <w:jc w:val="both"/>
      </w:pPr>
    </w:p>
    <w:p w:rsidR="00335DF7" w:rsidRDefault="00335DF7" w:rsidP="00335DF7">
      <w:pPr>
        <w:jc w:val="both"/>
      </w:pPr>
      <w:r w:rsidRPr="0038652C">
        <w:t xml:space="preserve">Buxheti i komunës së Hanit të Elezit i ndarë sipas </w:t>
      </w:r>
      <w:r>
        <w:t>Ligjit me nr. 06/L-133 mbi ndarjet buxhetore të Republik</w:t>
      </w:r>
      <w:r w:rsidRPr="00D23C9A">
        <w:t>ës</w:t>
      </w:r>
      <w:r>
        <w:t xml:space="preserve"> së Kosovës për vitin 2019</w:t>
      </w:r>
      <w:r w:rsidRPr="0038652C">
        <w:t xml:space="preserve"> është në lartësi prej </w:t>
      </w:r>
      <w:r>
        <w:rPr>
          <w:b/>
          <w:u w:val="single"/>
        </w:rPr>
        <w:t>2,915,921</w:t>
      </w:r>
      <w:r w:rsidRPr="0038652C">
        <w:rPr>
          <w:b/>
          <w:u w:val="single"/>
        </w:rPr>
        <w:t>.00 Euro</w:t>
      </w:r>
      <w:r>
        <w:rPr>
          <w:b/>
        </w:rPr>
        <w:t>,</w:t>
      </w:r>
      <w:r w:rsidRPr="0038652C">
        <w:t xml:space="preserve"> ndërsa ai përfundimtar është </w:t>
      </w:r>
      <w:r w:rsidR="001F58EF">
        <w:rPr>
          <w:b/>
          <w:u w:val="single"/>
        </w:rPr>
        <w:t>3,205,548.08</w:t>
      </w:r>
      <w:r w:rsidR="004929A1">
        <w:rPr>
          <w:b/>
          <w:u w:val="single"/>
        </w:rPr>
        <w:t xml:space="preserve"> Euro</w:t>
      </w:r>
      <w:r>
        <w:t xml:space="preserve">, </w:t>
      </w:r>
      <w:r w:rsidRPr="0038652C">
        <w:t>duke përfshirë</w:t>
      </w:r>
      <w:r>
        <w:t>:</w:t>
      </w:r>
    </w:p>
    <w:p w:rsidR="00335DF7" w:rsidRDefault="00335DF7" w:rsidP="007B1B02">
      <w:pPr>
        <w:pStyle w:val="ListParagraph"/>
        <w:numPr>
          <w:ilvl w:val="0"/>
          <w:numId w:val="9"/>
        </w:numPr>
        <w:shd w:val="clear" w:color="auto" w:fill="DBE5F1" w:themeFill="accent1" w:themeFillTint="33"/>
        <w:jc w:val="both"/>
      </w:pPr>
      <w:r>
        <w:t>B</w:t>
      </w:r>
      <w:r w:rsidRPr="0038652C">
        <w:t xml:space="preserve">artjen e </w:t>
      </w:r>
      <w:r>
        <w:t>mjeteve të pashpenzuara nga të hyrat</w:t>
      </w:r>
      <w:r w:rsidRPr="0038652C">
        <w:t xml:space="preserve"> vetanake të vitit </w:t>
      </w:r>
      <w:r>
        <w:t xml:space="preserve">2018 </w:t>
      </w:r>
      <w:r w:rsidRPr="0038652C">
        <w:t xml:space="preserve">në shumë prej </w:t>
      </w:r>
      <w:r>
        <w:t>193,188.88 €;</w:t>
      </w:r>
    </w:p>
    <w:p w:rsidR="00335DF7" w:rsidRDefault="00335DF7" w:rsidP="007B1B02">
      <w:pPr>
        <w:pStyle w:val="ListParagraph"/>
        <w:numPr>
          <w:ilvl w:val="0"/>
          <w:numId w:val="9"/>
        </w:numPr>
        <w:shd w:val="clear" w:color="auto" w:fill="DBE5F1" w:themeFill="accent1" w:themeFillTint="33"/>
        <w:jc w:val="both"/>
      </w:pPr>
      <w:r>
        <w:t xml:space="preserve">Grantet e bartura dhe të pashpenzuara në shumë prej </w:t>
      </w:r>
      <w:r w:rsidRPr="00436280">
        <w:rPr>
          <w:u w:val="single"/>
        </w:rPr>
        <w:t>55,083.68 €;</w:t>
      </w:r>
      <w:r>
        <w:t xml:space="preserve"> </w:t>
      </w:r>
    </w:p>
    <w:p w:rsidR="00335DF7" w:rsidRDefault="00335DF7" w:rsidP="007B1B02">
      <w:pPr>
        <w:pStyle w:val="ListParagraph"/>
        <w:numPr>
          <w:ilvl w:val="0"/>
          <w:numId w:val="9"/>
        </w:numPr>
        <w:shd w:val="clear" w:color="auto" w:fill="DBE5F1" w:themeFill="accent1" w:themeFillTint="33"/>
        <w:jc w:val="both"/>
      </w:pPr>
      <w:r>
        <w:t xml:space="preserve">Grantet tjera nga Qeveria Japoneze në shumë prej </w:t>
      </w:r>
      <w:r w:rsidRPr="00436280">
        <w:rPr>
          <w:u w:val="single"/>
        </w:rPr>
        <w:t>61,516.00 €</w:t>
      </w:r>
      <w:r>
        <w:t xml:space="preserve"> si dhe </w:t>
      </w:r>
    </w:p>
    <w:p w:rsidR="00335DF7" w:rsidRDefault="00335DF7" w:rsidP="007B1B02">
      <w:pPr>
        <w:pStyle w:val="ListParagraph"/>
        <w:numPr>
          <w:ilvl w:val="0"/>
          <w:numId w:val="9"/>
        </w:numPr>
        <w:shd w:val="clear" w:color="auto" w:fill="DBE5F1" w:themeFill="accent1" w:themeFillTint="33"/>
        <w:jc w:val="both"/>
      </w:pPr>
      <w:r>
        <w:t xml:space="preserve">Marrëveshje për transferimin e fondeve nga komuna te Ministria e Shëndetësisë nga financimi i huamarrjes së shëndetësisë në kuadër të mallrave dhe shërbimeve në shumë prej </w:t>
      </w:r>
      <w:r w:rsidRPr="00436280">
        <w:rPr>
          <w:u w:val="single"/>
        </w:rPr>
        <w:t>-22,567.00 €</w:t>
      </w:r>
      <w:r>
        <w:t>, e nënshkruar me datën 24.05.2019.</w:t>
      </w:r>
    </w:p>
    <w:p w:rsidR="003E7D47" w:rsidRDefault="001F58EF" w:rsidP="007B1B02">
      <w:pPr>
        <w:pStyle w:val="ListParagraph"/>
        <w:numPr>
          <w:ilvl w:val="0"/>
          <w:numId w:val="9"/>
        </w:numPr>
        <w:shd w:val="clear" w:color="auto" w:fill="DBE5F1" w:themeFill="accent1" w:themeFillTint="33"/>
        <w:jc w:val="both"/>
      </w:pPr>
      <w:r>
        <w:t xml:space="preserve">Nga ministria e arsimit </w:t>
      </w:r>
      <w:r w:rsidR="003E7D47">
        <w:t>është alokuar buxheti</w:t>
      </w:r>
      <w:r>
        <w:t xml:space="preserve"> </w:t>
      </w:r>
      <w:r w:rsidR="003E7D47">
        <w:t>i pashpenzuar i vitit 2018 nga fondi i huamarrjes në shumë prej</w:t>
      </w:r>
      <w:r>
        <w:t xml:space="preserve"> </w:t>
      </w:r>
      <w:r w:rsidRPr="003E7D47">
        <w:rPr>
          <w:u w:val="single"/>
        </w:rPr>
        <w:t>2,405.52 €</w:t>
      </w:r>
      <w:r w:rsidR="003E7D47">
        <w:rPr>
          <w:u w:val="single"/>
        </w:rPr>
        <w:t>.</w:t>
      </w:r>
      <w:r>
        <w:t xml:space="preserve"> </w:t>
      </w:r>
    </w:p>
    <w:p w:rsidR="003E7D47" w:rsidRDefault="003E7D47" w:rsidP="003E7D47">
      <w:pPr>
        <w:pStyle w:val="ListParagraph"/>
        <w:jc w:val="both"/>
      </w:pPr>
    </w:p>
    <w:p w:rsidR="00335DF7" w:rsidRPr="0038652C" w:rsidRDefault="00335DF7" w:rsidP="003E7D47">
      <w:pPr>
        <w:jc w:val="both"/>
      </w:pPr>
      <w:r w:rsidRPr="0038652C">
        <w:t xml:space="preserve">Ky buxhet është ndarë sipas kategorive ekonomike si në vijim: </w:t>
      </w:r>
    </w:p>
    <w:p w:rsidR="00335DF7" w:rsidRPr="00767D5C" w:rsidRDefault="00335DF7" w:rsidP="00335DF7">
      <w:pPr>
        <w:pStyle w:val="ListParagraph"/>
        <w:numPr>
          <w:ilvl w:val="0"/>
          <w:numId w:val="4"/>
        </w:numPr>
        <w:jc w:val="both"/>
      </w:pPr>
      <w:r>
        <w:t>Paga dhe mëditje 1,493,148</w:t>
      </w:r>
      <w:r w:rsidRPr="0038652C">
        <w:t xml:space="preserve">.00 €, </w:t>
      </w:r>
      <w:r w:rsidR="009A3274">
        <w:t>m</w:t>
      </w:r>
      <w:r w:rsidRPr="0038652C">
        <w:t xml:space="preserve">allra dhe shërbime </w:t>
      </w:r>
      <w:r w:rsidR="001F58EF">
        <w:t>262,141.90</w:t>
      </w:r>
      <w:r w:rsidRPr="0038652C">
        <w:t xml:space="preserve"> €, </w:t>
      </w:r>
      <w:r w:rsidR="009A3274">
        <w:t>s</w:t>
      </w:r>
      <w:r w:rsidRPr="0038652C">
        <w:t xml:space="preserve">hpenzime </w:t>
      </w:r>
      <w:r w:rsidRPr="009A3274">
        <w:rPr>
          <w:color w:val="000000" w:themeColor="text1"/>
        </w:rPr>
        <w:t xml:space="preserve">komunale 54,400.00 €, </w:t>
      </w:r>
      <w:r w:rsidR="009A3274">
        <w:rPr>
          <w:color w:val="000000" w:themeColor="text1"/>
        </w:rPr>
        <w:t>s</w:t>
      </w:r>
      <w:r w:rsidRPr="009A3274">
        <w:rPr>
          <w:color w:val="000000" w:themeColor="text1"/>
        </w:rPr>
        <w:t xml:space="preserve">ubvencione dhe transfere 66,240.27 € dhe </w:t>
      </w:r>
      <w:r w:rsidR="009A3274">
        <w:rPr>
          <w:color w:val="000000" w:themeColor="text1"/>
        </w:rPr>
        <w:t>s</w:t>
      </w:r>
      <w:r w:rsidRPr="009A3274">
        <w:rPr>
          <w:color w:val="000000" w:themeColor="text1"/>
        </w:rPr>
        <w:t xml:space="preserve">hpenzime kapitale 1,329,617.91 €. </w:t>
      </w:r>
    </w:p>
    <w:p w:rsidR="00335DF7" w:rsidRDefault="00335DF7" w:rsidP="00335DF7">
      <w:pPr>
        <w:jc w:val="both"/>
      </w:pPr>
      <w:r w:rsidRPr="009A3274">
        <w:t>Nisur nga vlerësimi i përgjithshëm del se niveli i shpenzimit të buxhetit për këtë periudhë janar-</w:t>
      </w:r>
      <w:r w:rsidR="00F01C59" w:rsidRPr="009A3274">
        <w:t>shtator</w:t>
      </w:r>
      <w:r w:rsidRPr="009A3274">
        <w:t xml:space="preserve"> 2019 është në shumë prej </w:t>
      </w:r>
      <w:r w:rsidR="009A3274" w:rsidRPr="009A3274">
        <w:rPr>
          <w:b/>
          <w:u w:val="single"/>
        </w:rPr>
        <w:t>1,785,303.16</w:t>
      </w:r>
      <w:r w:rsidRPr="009A3274">
        <w:rPr>
          <w:b/>
          <w:u w:val="single"/>
        </w:rPr>
        <w:t xml:space="preserve"> € apo </w:t>
      </w:r>
      <w:r w:rsidR="009A3274" w:rsidRPr="009A3274">
        <w:rPr>
          <w:b/>
          <w:u w:val="single"/>
        </w:rPr>
        <w:t>55.69</w:t>
      </w:r>
      <w:r w:rsidRPr="009A3274">
        <w:rPr>
          <w:b/>
          <w:u w:val="single"/>
        </w:rPr>
        <w:t xml:space="preserve"> %.</w:t>
      </w:r>
      <w:r w:rsidRPr="009A3274">
        <w:t xml:space="preserve"> </w:t>
      </w:r>
    </w:p>
    <w:p w:rsidR="009A3274" w:rsidRPr="009A3274" w:rsidRDefault="009A3274" w:rsidP="00335DF7">
      <w:pPr>
        <w:jc w:val="both"/>
      </w:pPr>
    </w:p>
    <w:p w:rsidR="00A126C7" w:rsidRDefault="00335DF7" w:rsidP="00AE24A4">
      <w:pPr>
        <w:jc w:val="both"/>
      </w:pPr>
      <w:r w:rsidRPr="009A3274">
        <w:t xml:space="preserve">Prej tyre për paga dhe mëditje janë shpenzuar </w:t>
      </w:r>
      <w:r w:rsidR="009A3274" w:rsidRPr="009A3274">
        <w:t>1,105,197.48</w:t>
      </w:r>
      <w:r w:rsidRPr="009A3274">
        <w:t xml:space="preserve"> € apo </w:t>
      </w:r>
      <w:r w:rsidR="007F2288">
        <w:t>74.</w:t>
      </w:r>
      <w:r w:rsidR="009A3274" w:rsidRPr="009A3274">
        <w:t>2</w:t>
      </w:r>
      <w:r w:rsidRPr="009A3274">
        <w:t xml:space="preserve">5 %, për mallra dhe shërbime </w:t>
      </w:r>
      <w:r w:rsidR="009A3274" w:rsidRPr="009A3274">
        <w:t>169,648.58</w:t>
      </w:r>
      <w:r w:rsidRPr="009A3274">
        <w:t xml:space="preserve"> € apo </w:t>
      </w:r>
      <w:r w:rsidR="009A3274" w:rsidRPr="009A3274">
        <w:t>64.72</w:t>
      </w:r>
      <w:r w:rsidRPr="009A3274">
        <w:t xml:space="preserve"> %, për shpenzime komunale </w:t>
      </w:r>
      <w:r w:rsidR="009A3274" w:rsidRPr="009A3274">
        <w:t>33,183.68</w:t>
      </w:r>
      <w:r w:rsidRPr="009A3274">
        <w:t xml:space="preserve"> € apo </w:t>
      </w:r>
      <w:r w:rsidR="009A3274" w:rsidRPr="009A3274">
        <w:t>61.00</w:t>
      </w:r>
      <w:r w:rsidRPr="009A3274">
        <w:t xml:space="preserve"> %, për subvencione dhe transfere </w:t>
      </w:r>
      <w:r w:rsidR="007F5C9E">
        <w:t>55,78</w:t>
      </w:r>
      <w:r w:rsidRPr="009A3274">
        <w:t xml:space="preserve">3.80 € apo </w:t>
      </w:r>
      <w:r w:rsidR="009A3274" w:rsidRPr="009A3274">
        <w:t>84.21</w:t>
      </w:r>
      <w:r w:rsidRPr="009A3274">
        <w:t xml:space="preserve"> %  dhe për shpenzime kapitale </w:t>
      </w:r>
      <w:r w:rsidR="009A3274" w:rsidRPr="009A3274">
        <w:t>421,489.62</w:t>
      </w:r>
      <w:r w:rsidRPr="009A3274">
        <w:t xml:space="preserve"> € apo </w:t>
      </w:r>
      <w:r w:rsidR="009A3274" w:rsidRPr="009A3274">
        <w:t>31.70</w:t>
      </w:r>
      <w:r w:rsidRPr="009A3274">
        <w:t>%.</w:t>
      </w:r>
    </w:p>
    <w:p w:rsidR="00E65298" w:rsidRPr="00E65298" w:rsidRDefault="00E65298" w:rsidP="00AE24A4">
      <w:pPr>
        <w:jc w:val="both"/>
      </w:pPr>
    </w:p>
    <w:p w:rsidR="00AE24A4" w:rsidRPr="00335DF7" w:rsidRDefault="00B82826" w:rsidP="00AE24A4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3</w:t>
      </w:r>
      <w:r w:rsidR="009145D5">
        <w:rPr>
          <w:b/>
          <w:color w:val="365F91" w:themeColor="accent1" w:themeShade="BF"/>
        </w:rPr>
        <w:t>.</w:t>
      </w:r>
      <w:r>
        <w:rPr>
          <w:b/>
          <w:color w:val="365F91" w:themeColor="accent1" w:themeShade="BF"/>
        </w:rPr>
        <w:t>1</w:t>
      </w:r>
      <w:r w:rsidR="009145D5">
        <w:rPr>
          <w:b/>
          <w:color w:val="365F91" w:themeColor="accent1" w:themeShade="BF"/>
        </w:rPr>
        <w:t xml:space="preserve"> </w:t>
      </w:r>
      <w:r w:rsidR="00FE6967">
        <w:rPr>
          <w:b/>
          <w:color w:val="365F91" w:themeColor="accent1" w:themeShade="BF"/>
        </w:rPr>
        <w:t>RAPORTI I REALIZ</w:t>
      </w:r>
      <w:r w:rsidR="00AE24A4" w:rsidRPr="004E7F46">
        <w:rPr>
          <w:b/>
          <w:color w:val="365F91" w:themeColor="accent1" w:themeShade="BF"/>
        </w:rPr>
        <w:t>IMIT TË BUXHET</w:t>
      </w:r>
      <w:r w:rsidR="00F22703">
        <w:rPr>
          <w:b/>
          <w:color w:val="365F91" w:themeColor="accent1" w:themeShade="BF"/>
        </w:rPr>
        <w:t>IT PË</w:t>
      </w:r>
      <w:r w:rsidR="0096658D">
        <w:rPr>
          <w:b/>
          <w:color w:val="365F91" w:themeColor="accent1" w:themeShade="BF"/>
        </w:rPr>
        <w:t>R PERIUDHËN JANAR-</w:t>
      </w:r>
      <w:r w:rsidR="00293238">
        <w:rPr>
          <w:b/>
          <w:color w:val="365F91" w:themeColor="accent1" w:themeShade="BF"/>
        </w:rPr>
        <w:t>SHTAT</w:t>
      </w:r>
      <w:r w:rsidR="00357D98">
        <w:rPr>
          <w:b/>
          <w:color w:val="365F91" w:themeColor="accent1" w:themeShade="BF"/>
        </w:rPr>
        <w:t>OR</w:t>
      </w:r>
      <w:r w:rsidR="00335DF7">
        <w:rPr>
          <w:b/>
          <w:color w:val="365F91" w:themeColor="accent1" w:themeShade="BF"/>
        </w:rPr>
        <w:t xml:space="preserve"> 2019---</w:t>
      </w:r>
      <w:r w:rsidR="00AE24A4">
        <w:rPr>
          <w:b/>
          <w:color w:val="943634" w:themeColor="accent2" w:themeShade="BF"/>
        </w:rPr>
        <w:t>TABELA 1</w:t>
      </w:r>
      <w:r w:rsidR="00AE24A4" w:rsidRPr="006F6D3A">
        <w:rPr>
          <w:b/>
          <w:color w:val="943634" w:themeColor="accent2" w:themeShade="BF"/>
        </w:rPr>
        <w:t>.</w:t>
      </w:r>
    </w:p>
    <w:bookmarkStart w:id="0" w:name="_MON_1600288300"/>
    <w:bookmarkStart w:id="1" w:name="_MON_1600291102"/>
    <w:bookmarkStart w:id="2" w:name="_MON_1600291179"/>
    <w:bookmarkStart w:id="3" w:name="_MON_1600291222"/>
    <w:bookmarkStart w:id="4" w:name="_MON_1600433736"/>
    <w:bookmarkStart w:id="5" w:name="_MON_1600171938"/>
    <w:bookmarkStart w:id="6" w:name="_MON_1600319695"/>
    <w:bookmarkEnd w:id="0"/>
    <w:bookmarkEnd w:id="1"/>
    <w:bookmarkEnd w:id="2"/>
    <w:bookmarkEnd w:id="3"/>
    <w:bookmarkEnd w:id="4"/>
    <w:bookmarkEnd w:id="5"/>
    <w:bookmarkEnd w:id="6"/>
    <w:p w:rsidR="008946B5" w:rsidRPr="00082DB2" w:rsidRDefault="00ED7795" w:rsidP="00AE24A4">
      <w:pPr>
        <w:jc w:val="both"/>
        <w:rPr>
          <w:b/>
          <w:color w:val="C00000"/>
        </w:rPr>
      </w:pPr>
      <w:r w:rsidRPr="00C86AD8">
        <w:rPr>
          <w:b/>
          <w:color w:val="C00000"/>
        </w:rPr>
        <w:object w:dxaOrig="9648" w:dyaOrig="4682">
          <v:shape id="_x0000_i1026" type="#_x0000_t75" style="width:482.25pt;height:234.75pt" o:ole="">
            <v:imagedata r:id="rId10" o:title=""/>
          </v:shape>
          <o:OLEObject Type="Embed" ProgID="Excel.Sheet.12" ShapeID="_x0000_i1026" DrawAspect="Content" ObjectID="_1634053663" r:id="rId11"/>
        </w:object>
      </w:r>
    </w:p>
    <w:p w:rsidR="00F22703" w:rsidRPr="00CA1074" w:rsidRDefault="00AE24A4" w:rsidP="00AE24A4">
      <w:pPr>
        <w:jc w:val="both"/>
        <w:rPr>
          <w:b/>
          <w:color w:val="943634" w:themeColor="accent2" w:themeShade="BF"/>
          <w:u w:val="single"/>
        </w:rPr>
      </w:pPr>
      <w:r w:rsidRPr="00CA1074">
        <w:rPr>
          <w:b/>
          <w:color w:val="943634" w:themeColor="accent2" w:themeShade="BF"/>
          <w:u w:val="single"/>
        </w:rPr>
        <w:lastRenderedPageBreak/>
        <w:t>Shpjegim</w:t>
      </w:r>
      <w:r w:rsidR="00433DA0">
        <w:rPr>
          <w:b/>
          <w:color w:val="943634" w:themeColor="accent2" w:themeShade="BF"/>
          <w:u w:val="single"/>
        </w:rPr>
        <w:t>:</w:t>
      </w:r>
    </w:p>
    <w:p w:rsidR="00AE24A4" w:rsidRPr="00367573" w:rsidRDefault="00433DA0" w:rsidP="00433DA0">
      <w:pPr>
        <w:jc w:val="both"/>
      </w:pPr>
      <w:r>
        <w:rPr>
          <w:b/>
        </w:rPr>
        <w:t xml:space="preserve">-   </w:t>
      </w:r>
      <w:r w:rsidR="00AB69F2" w:rsidRPr="00433DA0">
        <w:rPr>
          <w:b/>
        </w:rPr>
        <w:t>Të</w:t>
      </w:r>
      <w:r w:rsidR="00AE24A4" w:rsidRPr="00433DA0">
        <w:rPr>
          <w:b/>
        </w:rPr>
        <w:t xml:space="preserve"> hyrat vetanake</w:t>
      </w:r>
      <w:r w:rsidR="00AE24A4" w:rsidRPr="00B24DEC">
        <w:t xml:space="preserve"> </w:t>
      </w:r>
      <w:r w:rsidR="005B4D83">
        <w:t>për këtë periudhe nën</w:t>
      </w:r>
      <w:r w:rsidR="00FC512B">
        <w:t>të</w:t>
      </w:r>
      <w:r w:rsidR="00DC6049" w:rsidRPr="00B24DEC">
        <w:t xml:space="preserve">mujore </w:t>
      </w:r>
      <w:r w:rsidR="005373C1">
        <w:t>2019</w:t>
      </w:r>
      <w:r w:rsidR="00AE24A4" w:rsidRPr="00B24DEC">
        <w:t xml:space="preserve"> janë realizuar në shumë prej </w:t>
      </w:r>
      <w:r w:rsidR="00235257">
        <w:t>241,740.21</w:t>
      </w:r>
      <w:r w:rsidR="00AE24A4" w:rsidRPr="00B24DEC">
        <w:t xml:space="preserve"> € apo </w:t>
      </w:r>
      <w:r w:rsidR="00B24DEC">
        <w:t xml:space="preserve">për </w:t>
      </w:r>
      <w:r w:rsidR="00235257">
        <w:t>15,206.13</w:t>
      </w:r>
      <w:r w:rsidR="00034B62">
        <w:t xml:space="preserve"> Euro</w:t>
      </w:r>
      <w:r w:rsidR="00AE24A4" w:rsidRPr="00BC6F4A">
        <w:t xml:space="preserve"> më </w:t>
      </w:r>
      <w:r w:rsidR="00BC6F4A" w:rsidRPr="00BC6F4A">
        <w:t>shumë</w:t>
      </w:r>
      <w:r w:rsidR="00AE24A4" w:rsidRPr="00B24DEC">
        <w:t xml:space="preserve"> se në </w:t>
      </w:r>
      <w:r w:rsidR="005373C1">
        <w:t>periudhën e njëjtë të vitit 2018</w:t>
      </w:r>
      <w:r w:rsidR="00AE24A4" w:rsidRPr="00B24DEC">
        <w:t>.</w:t>
      </w:r>
    </w:p>
    <w:p w:rsidR="00C12904" w:rsidRDefault="00433DA0" w:rsidP="00433DA0">
      <w:pPr>
        <w:jc w:val="both"/>
      </w:pPr>
      <w:r>
        <w:rPr>
          <w:b/>
        </w:rPr>
        <w:t xml:space="preserve">-    </w:t>
      </w:r>
      <w:r w:rsidR="00AE24A4" w:rsidRPr="00433DA0">
        <w:rPr>
          <w:b/>
        </w:rPr>
        <w:t>Shpenzimi</w:t>
      </w:r>
      <w:r w:rsidR="00AE24A4" w:rsidRPr="0057015F">
        <w:t xml:space="preserve"> </w:t>
      </w:r>
      <w:r w:rsidR="00A12477">
        <w:t>për këtë periudhë nën</w:t>
      </w:r>
      <w:r w:rsidR="00FC512B">
        <w:t>të</w:t>
      </w:r>
      <w:r w:rsidR="00DC6049" w:rsidRPr="0057015F">
        <w:t xml:space="preserve">mujore </w:t>
      </w:r>
      <w:r w:rsidR="005373C1">
        <w:t>2019</w:t>
      </w:r>
      <w:r w:rsidR="00DC6049" w:rsidRPr="0057015F">
        <w:t xml:space="preserve"> ë</w:t>
      </w:r>
      <w:r w:rsidR="00CA6964" w:rsidRPr="0057015F">
        <w:t xml:space="preserve">shtë realizuar në shumë prej </w:t>
      </w:r>
      <w:r w:rsidR="005373C1">
        <w:t>1,784,803.08</w:t>
      </w:r>
      <w:r w:rsidR="00AE24A4" w:rsidRPr="0057015F">
        <w:t xml:space="preserve"> Euro apo</w:t>
      </w:r>
      <w:r w:rsidR="00B24DEC" w:rsidRPr="0057015F">
        <w:t xml:space="preserve"> për</w:t>
      </w:r>
      <w:r w:rsidR="00AE24A4" w:rsidRPr="0057015F">
        <w:t xml:space="preserve"> </w:t>
      </w:r>
      <w:r w:rsidR="005373C1">
        <w:t>281,455.90</w:t>
      </w:r>
      <w:r w:rsidR="00AE24A4" w:rsidRPr="0057015F">
        <w:t xml:space="preserve"> Euro më </w:t>
      </w:r>
      <w:r w:rsidR="0057015F" w:rsidRPr="0057015F">
        <w:t>shumë</w:t>
      </w:r>
      <w:r w:rsidR="00AE24A4" w:rsidRPr="0057015F">
        <w:t xml:space="preserve"> se në periudhën e njëjtë të vitit paraprak.</w:t>
      </w:r>
    </w:p>
    <w:p w:rsidR="00F22703" w:rsidRDefault="00F22703" w:rsidP="00AE24A4">
      <w:pPr>
        <w:jc w:val="both"/>
      </w:pPr>
    </w:p>
    <w:p w:rsidR="00AE24A4" w:rsidRPr="00AE24A4" w:rsidRDefault="00B82826" w:rsidP="00AE24A4">
      <w:pPr>
        <w:jc w:val="both"/>
      </w:pPr>
      <w:r>
        <w:rPr>
          <w:b/>
          <w:color w:val="365F91" w:themeColor="accent1" w:themeShade="BF"/>
        </w:rPr>
        <w:t>3</w:t>
      </w:r>
      <w:r w:rsidR="009145D5">
        <w:rPr>
          <w:b/>
          <w:color w:val="365F91" w:themeColor="accent1" w:themeShade="BF"/>
        </w:rPr>
        <w:t>.</w:t>
      </w:r>
      <w:r>
        <w:rPr>
          <w:b/>
          <w:color w:val="365F91" w:themeColor="accent1" w:themeShade="BF"/>
        </w:rPr>
        <w:t>2</w:t>
      </w:r>
      <w:r w:rsidR="00D92A1F">
        <w:rPr>
          <w:b/>
          <w:color w:val="365F91" w:themeColor="accent1" w:themeShade="BF"/>
        </w:rPr>
        <w:t>.</w:t>
      </w:r>
      <w:r w:rsidR="009145D5">
        <w:rPr>
          <w:b/>
          <w:color w:val="365F91" w:themeColor="accent1" w:themeShade="BF"/>
        </w:rPr>
        <w:t xml:space="preserve"> </w:t>
      </w:r>
      <w:r w:rsidR="00AE24A4" w:rsidRPr="004E7F46">
        <w:rPr>
          <w:b/>
          <w:color w:val="365F91" w:themeColor="accent1" w:themeShade="BF"/>
        </w:rPr>
        <w:t>KRAHASIMI I PAGESA</w:t>
      </w:r>
      <w:r w:rsidR="0096658D">
        <w:rPr>
          <w:b/>
          <w:color w:val="365F91" w:themeColor="accent1" w:themeShade="BF"/>
        </w:rPr>
        <w:t>VE PËR PERIUDHËN JANAR-</w:t>
      </w:r>
      <w:r w:rsidR="00241A77">
        <w:rPr>
          <w:b/>
          <w:color w:val="365F91" w:themeColor="accent1" w:themeShade="BF"/>
        </w:rPr>
        <w:t>SHTAT</w:t>
      </w:r>
      <w:r w:rsidR="00FC512B">
        <w:rPr>
          <w:b/>
          <w:color w:val="365F91" w:themeColor="accent1" w:themeShade="BF"/>
        </w:rPr>
        <w:t>OR</w:t>
      </w:r>
      <w:r w:rsidR="008C4A67">
        <w:rPr>
          <w:b/>
          <w:color w:val="365F91" w:themeColor="accent1" w:themeShade="BF"/>
        </w:rPr>
        <w:t xml:space="preserve"> 2019</w:t>
      </w:r>
      <w:r w:rsidR="00AE24A4" w:rsidRPr="004E7F46">
        <w:rPr>
          <w:b/>
          <w:color w:val="365F91" w:themeColor="accent1" w:themeShade="BF"/>
        </w:rPr>
        <w:t>/201</w:t>
      </w:r>
      <w:r w:rsidR="008C4A67">
        <w:rPr>
          <w:b/>
          <w:color w:val="365F91" w:themeColor="accent1" w:themeShade="BF"/>
        </w:rPr>
        <w:t>8</w:t>
      </w:r>
    </w:p>
    <w:p w:rsidR="00AE24A4" w:rsidRDefault="00AE24A4" w:rsidP="00AE24A4">
      <w:pPr>
        <w:jc w:val="both"/>
        <w:rPr>
          <w:b/>
          <w:color w:val="943634" w:themeColor="accent2" w:themeShade="BF"/>
        </w:rPr>
      </w:pPr>
    </w:p>
    <w:p w:rsidR="00AE24A4" w:rsidRPr="006F6D3A" w:rsidRDefault="00AE24A4" w:rsidP="00AE24A4">
      <w:pPr>
        <w:jc w:val="both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TABELA 2</w:t>
      </w:r>
      <w:r w:rsidRPr="006F6D3A">
        <w:rPr>
          <w:b/>
          <w:color w:val="943634" w:themeColor="accent2" w:themeShade="BF"/>
        </w:rPr>
        <w:t>.</w:t>
      </w:r>
    </w:p>
    <w:bookmarkStart w:id="7" w:name="_MON_1600320299"/>
    <w:bookmarkStart w:id="8" w:name="_MON_1600320456"/>
    <w:bookmarkStart w:id="9" w:name="_MON_1600320490"/>
    <w:bookmarkStart w:id="10" w:name="_MON_1632492383"/>
    <w:bookmarkStart w:id="11" w:name="_MON_1632492413"/>
    <w:bookmarkStart w:id="12" w:name="_MON_1632492427"/>
    <w:bookmarkStart w:id="13" w:name="_MON_1600154653"/>
    <w:bookmarkEnd w:id="7"/>
    <w:bookmarkEnd w:id="8"/>
    <w:bookmarkEnd w:id="9"/>
    <w:bookmarkEnd w:id="10"/>
    <w:bookmarkEnd w:id="11"/>
    <w:bookmarkEnd w:id="12"/>
    <w:bookmarkEnd w:id="13"/>
    <w:p w:rsidR="00C12904" w:rsidRDefault="00E65298" w:rsidP="00AE24A4">
      <w:pPr>
        <w:jc w:val="both"/>
      </w:pPr>
      <w:r w:rsidRPr="00694041">
        <w:object w:dxaOrig="9468" w:dyaOrig="2049">
          <v:shape id="_x0000_i1027" type="#_x0000_t75" style="width:473.25pt;height:102pt" o:ole="">
            <v:imagedata r:id="rId12" o:title=""/>
          </v:shape>
          <o:OLEObject Type="Embed" ProgID="Excel.Sheet.12" ShapeID="_x0000_i1027" DrawAspect="Content" ObjectID="_1634053664" r:id="rId13"/>
        </w:object>
      </w:r>
    </w:p>
    <w:p w:rsidR="00AE24A4" w:rsidRDefault="00CA6964" w:rsidP="00AE24A4">
      <w:pPr>
        <w:jc w:val="both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Kom</w:t>
      </w:r>
      <w:r w:rsidR="00AE24A4" w:rsidRPr="00767564">
        <w:rPr>
          <w:b/>
          <w:color w:val="943634" w:themeColor="accent2" w:themeShade="BF"/>
          <w:u w:val="single"/>
        </w:rPr>
        <w:t>e</w:t>
      </w:r>
      <w:r>
        <w:rPr>
          <w:b/>
          <w:color w:val="943634" w:themeColor="accent2" w:themeShade="BF"/>
          <w:u w:val="single"/>
        </w:rPr>
        <w:t>nte</w:t>
      </w:r>
      <w:r w:rsidR="00AE24A4" w:rsidRPr="00767564">
        <w:rPr>
          <w:b/>
          <w:color w:val="943634" w:themeColor="accent2" w:themeShade="BF"/>
          <w:u w:val="single"/>
        </w:rPr>
        <w:t xml:space="preserve"> dhe shpjegime:</w:t>
      </w:r>
    </w:p>
    <w:p w:rsidR="00E65298" w:rsidRPr="00433DA0" w:rsidRDefault="00E65298" w:rsidP="00AE24A4">
      <w:pPr>
        <w:jc w:val="both"/>
        <w:rPr>
          <w:b/>
          <w:color w:val="943634" w:themeColor="accent2" w:themeShade="BF"/>
          <w:u w:val="single"/>
        </w:rPr>
      </w:pPr>
    </w:p>
    <w:p w:rsidR="00C65218" w:rsidRDefault="00AE24A4" w:rsidP="00C65218">
      <w:pPr>
        <w:pStyle w:val="ListParagraph"/>
        <w:numPr>
          <w:ilvl w:val="0"/>
          <w:numId w:val="2"/>
        </w:numPr>
        <w:jc w:val="both"/>
      </w:pPr>
      <w:r w:rsidRPr="00415075">
        <w:t xml:space="preserve">Pagesat nga kategoria ekonomike </w:t>
      </w:r>
      <w:r w:rsidR="0057015F" w:rsidRPr="00415075">
        <w:rPr>
          <w:b/>
        </w:rPr>
        <w:t>p</w:t>
      </w:r>
      <w:r w:rsidR="004F52B8" w:rsidRPr="00415075">
        <w:rPr>
          <w:b/>
        </w:rPr>
        <w:t>aga</w:t>
      </w:r>
      <w:r w:rsidRPr="00415075">
        <w:rPr>
          <w:b/>
        </w:rPr>
        <w:t xml:space="preserve"> dhe mëditje</w:t>
      </w:r>
      <w:r w:rsidR="001250F2" w:rsidRPr="00415075">
        <w:t xml:space="preserve"> janë </w:t>
      </w:r>
      <w:r w:rsidR="00B7606B" w:rsidRPr="00415075">
        <w:t>1,105,197.48</w:t>
      </w:r>
      <w:r w:rsidR="001250F2" w:rsidRPr="00415075">
        <w:t xml:space="preserve"> € ose </w:t>
      </w:r>
      <w:r w:rsidR="00B7606B" w:rsidRPr="00415075">
        <w:t>74.02</w:t>
      </w:r>
      <w:r w:rsidRPr="00415075">
        <w:t>% të planit vjetor, ndërsa krahasuar me periudhën e</w:t>
      </w:r>
      <w:r w:rsidR="00B7606B" w:rsidRPr="00415075">
        <w:t xml:space="preserve"> njëjtë të vitit 2018</w:t>
      </w:r>
      <w:r w:rsidRPr="00415075">
        <w:t xml:space="preserve"> pagesat për </w:t>
      </w:r>
      <w:r w:rsidR="008D29F0" w:rsidRPr="00415075">
        <w:t xml:space="preserve">këtë </w:t>
      </w:r>
      <w:r w:rsidRPr="00415075">
        <w:t xml:space="preserve">kategori </w:t>
      </w:r>
      <w:r w:rsidR="00BE044D" w:rsidRPr="00415075">
        <w:t xml:space="preserve">kanë shënuar </w:t>
      </w:r>
      <w:r w:rsidR="008D29F0" w:rsidRPr="00415075">
        <w:t>r</w:t>
      </w:r>
      <w:r w:rsidR="0028755F" w:rsidRPr="00415075">
        <w:t xml:space="preserve">ritje </w:t>
      </w:r>
      <w:r w:rsidRPr="00415075">
        <w:t xml:space="preserve">për </w:t>
      </w:r>
      <w:r w:rsidR="00B7606B" w:rsidRPr="00415075">
        <w:t>2.13</w:t>
      </w:r>
      <w:r w:rsidR="00C65218">
        <w:t>% apo 23,084.12 €.</w:t>
      </w:r>
      <w:r w:rsidR="001250F2" w:rsidRPr="00415075">
        <w:t xml:space="preserve"> </w:t>
      </w:r>
      <w:r w:rsidR="00C65218" w:rsidRPr="008F2610">
        <w:t xml:space="preserve">Kjo rritje është si rezultat i rritjes së përvojës së punës për 2 vite për secilin të punësuar që nga muaji shkurt 2019, pastaj punësimi i punëtorëve të ri në punë, avancimi i disa punëtorëve nëpër pozita, </w:t>
      </w:r>
      <w:r w:rsidR="00C65218">
        <w:t xml:space="preserve">pagesat për </w:t>
      </w:r>
      <w:r w:rsidR="00C65218" w:rsidRPr="008F2610">
        <w:t>pushimet dhe zëvendësimet e lehonive</w:t>
      </w:r>
      <w:r w:rsidR="00C65218">
        <w:t xml:space="preserve"> në arsim dhe shëndetësi, kompensimet shtesë</w:t>
      </w:r>
      <w:r w:rsidR="00C65218" w:rsidRPr="008F2610">
        <w:t xml:space="preserve"> për punëtorët</w:t>
      </w:r>
      <w:r w:rsidR="00C65218">
        <w:t xml:space="preserve"> që punojnë</w:t>
      </w:r>
      <w:r w:rsidR="00C65218" w:rsidRPr="008F2610">
        <w:t xml:space="preserve"> gjatë </w:t>
      </w:r>
      <w:r w:rsidR="00C65218">
        <w:t>ditëve të vikendit dhe gjatë festave shtetërore</w:t>
      </w:r>
      <w:r w:rsidR="00C65218" w:rsidRPr="008F2610">
        <w:t>.</w:t>
      </w:r>
    </w:p>
    <w:p w:rsidR="00C65218" w:rsidRDefault="00C65218" w:rsidP="00C65218">
      <w:pPr>
        <w:pStyle w:val="ListParagraph"/>
        <w:jc w:val="both"/>
      </w:pPr>
    </w:p>
    <w:p w:rsidR="00C65218" w:rsidRDefault="00AE24A4" w:rsidP="00C65218">
      <w:pPr>
        <w:pStyle w:val="ListParagraph"/>
        <w:numPr>
          <w:ilvl w:val="0"/>
          <w:numId w:val="2"/>
        </w:numPr>
        <w:jc w:val="both"/>
      </w:pPr>
      <w:r w:rsidRPr="00415075">
        <w:t xml:space="preserve">Pagesat për këtë kategori ekonomike </w:t>
      </w:r>
      <w:r w:rsidR="00C12904" w:rsidRPr="00C65218">
        <w:rPr>
          <w:b/>
        </w:rPr>
        <w:t>m</w:t>
      </w:r>
      <w:r w:rsidRPr="00C65218">
        <w:rPr>
          <w:b/>
        </w:rPr>
        <w:t>allra dhe shërbime</w:t>
      </w:r>
      <w:r w:rsidR="00213660" w:rsidRPr="00415075">
        <w:t xml:space="preserve"> </w:t>
      </w:r>
      <w:r w:rsidR="00C12904" w:rsidRPr="00415075">
        <w:t xml:space="preserve">për </w:t>
      </w:r>
      <w:r w:rsidR="0028755F" w:rsidRPr="00415075">
        <w:t>9</w:t>
      </w:r>
      <w:r w:rsidR="00C12904" w:rsidRPr="00415075">
        <w:t xml:space="preserve"> mujorin e </w:t>
      </w:r>
      <w:r w:rsidR="008D29F0" w:rsidRPr="00415075">
        <w:t xml:space="preserve">vitit </w:t>
      </w:r>
      <w:r w:rsidR="00B7606B" w:rsidRPr="00415075">
        <w:t>2019</w:t>
      </w:r>
      <w:r w:rsidR="00C12904" w:rsidRPr="00415075">
        <w:t xml:space="preserve"> </w:t>
      </w:r>
      <w:r w:rsidR="00213660" w:rsidRPr="00415075">
        <w:t xml:space="preserve">janë </w:t>
      </w:r>
      <w:r w:rsidR="00B7606B" w:rsidRPr="00415075">
        <w:t>169,648.58</w:t>
      </w:r>
      <w:r w:rsidRPr="00415075">
        <w:t xml:space="preserve"> € apo </w:t>
      </w:r>
      <w:r w:rsidR="00B7606B" w:rsidRPr="00415075">
        <w:t>64.72</w:t>
      </w:r>
      <w:r w:rsidRPr="00415075">
        <w:t>% e planit</w:t>
      </w:r>
      <w:r w:rsidR="00F14196">
        <w:t xml:space="preserve"> vjetor,</w:t>
      </w:r>
      <w:r w:rsidRPr="00415075">
        <w:t xml:space="preserve"> </w:t>
      </w:r>
      <w:r w:rsidR="00F14196">
        <w:t>ndërsa krahasuar me periudhën e njejtë të vitit 2018 kemi një shpenzim më të madh për 37,433.31 €.</w:t>
      </w:r>
    </w:p>
    <w:p w:rsidR="00C65218" w:rsidRDefault="00C65218" w:rsidP="00C65218">
      <w:pPr>
        <w:pStyle w:val="ListParagraph"/>
      </w:pPr>
    </w:p>
    <w:p w:rsidR="00C65218" w:rsidRDefault="00AE24A4" w:rsidP="00C65218">
      <w:pPr>
        <w:pStyle w:val="ListParagraph"/>
        <w:numPr>
          <w:ilvl w:val="0"/>
          <w:numId w:val="2"/>
        </w:numPr>
        <w:jc w:val="both"/>
      </w:pPr>
      <w:r w:rsidRPr="00415075">
        <w:t xml:space="preserve">Pagesat për </w:t>
      </w:r>
      <w:r w:rsidRPr="00C65218">
        <w:rPr>
          <w:b/>
        </w:rPr>
        <w:t>shpenzime</w:t>
      </w:r>
      <w:r w:rsidRPr="00415075">
        <w:t xml:space="preserve"> </w:t>
      </w:r>
      <w:r w:rsidRPr="00C65218">
        <w:rPr>
          <w:b/>
        </w:rPr>
        <w:t>komunale</w:t>
      </w:r>
      <w:r w:rsidR="00356EF0" w:rsidRPr="00C65218">
        <w:rPr>
          <w:b/>
        </w:rPr>
        <w:t xml:space="preserve"> </w:t>
      </w:r>
      <w:r w:rsidR="00356EF0" w:rsidRPr="00415075">
        <w:t>për</w:t>
      </w:r>
      <w:r w:rsidR="00D34027" w:rsidRPr="00415075">
        <w:t xml:space="preserve"> </w:t>
      </w:r>
      <w:r w:rsidR="00356EF0" w:rsidRPr="00415075">
        <w:t>në</w:t>
      </w:r>
      <w:r w:rsidR="0028755F" w:rsidRPr="00415075">
        <w:t>nt</w:t>
      </w:r>
      <w:r w:rsidR="00356EF0" w:rsidRPr="00415075">
        <w:t>ë</w:t>
      </w:r>
      <w:r w:rsidR="0028755F" w:rsidRPr="00415075">
        <w:t>mujorin</w:t>
      </w:r>
      <w:r w:rsidR="00C12904" w:rsidRPr="00415075">
        <w:t xml:space="preserve"> e </w:t>
      </w:r>
      <w:r w:rsidR="0028755F" w:rsidRPr="00415075">
        <w:t>vitit</w:t>
      </w:r>
      <w:r w:rsidR="00B7606B" w:rsidRPr="00415075">
        <w:t xml:space="preserve"> 2019</w:t>
      </w:r>
      <w:r w:rsidRPr="00415075">
        <w:t xml:space="preserve"> janë në shumë prej </w:t>
      </w:r>
      <w:r w:rsidR="00B7606B" w:rsidRPr="00415075">
        <w:t>33,183.68</w:t>
      </w:r>
      <w:r w:rsidR="00C12904" w:rsidRPr="00415075">
        <w:t xml:space="preserve"> € apo </w:t>
      </w:r>
      <w:r w:rsidR="00B7606B" w:rsidRPr="00415075">
        <w:t>61.00</w:t>
      </w:r>
      <w:r w:rsidR="00083C7B" w:rsidRPr="00415075">
        <w:t xml:space="preserve"> </w:t>
      </w:r>
      <w:r w:rsidRPr="00415075">
        <w:t xml:space="preserve">%  e planit vjetor, ndërsa krahasuar me </w:t>
      </w:r>
      <w:r w:rsidR="00981E9E" w:rsidRPr="00415075">
        <w:t>periudhën e njëjtë t</w:t>
      </w:r>
      <w:r w:rsidR="008D29F0" w:rsidRPr="00415075">
        <w:t>ë vitit 20</w:t>
      </w:r>
      <w:r w:rsidR="00B7606B" w:rsidRPr="00415075">
        <w:t xml:space="preserve">18 kemi rritje për </w:t>
      </w:r>
      <w:r w:rsidR="00BE044D" w:rsidRPr="00415075">
        <w:t>2,079.41 €.</w:t>
      </w:r>
    </w:p>
    <w:p w:rsidR="00C65218" w:rsidRDefault="00C65218" w:rsidP="00C65218">
      <w:pPr>
        <w:pStyle w:val="ListParagraph"/>
      </w:pPr>
    </w:p>
    <w:p w:rsidR="00C65218" w:rsidRDefault="00AE24A4" w:rsidP="00C65218">
      <w:pPr>
        <w:pStyle w:val="ListParagraph"/>
        <w:numPr>
          <w:ilvl w:val="0"/>
          <w:numId w:val="2"/>
        </w:numPr>
        <w:jc w:val="both"/>
      </w:pPr>
      <w:r w:rsidRPr="00415075">
        <w:t xml:space="preserve">Pagesat nga kategoria </w:t>
      </w:r>
      <w:r w:rsidR="00EF5118" w:rsidRPr="00415075">
        <w:t xml:space="preserve">ekonomike </w:t>
      </w:r>
      <w:r w:rsidR="00C12904" w:rsidRPr="00C65218">
        <w:rPr>
          <w:b/>
        </w:rPr>
        <w:t>s</w:t>
      </w:r>
      <w:r w:rsidRPr="00C65218">
        <w:rPr>
          <w:b/>
        </w:rPr>
        <w:t>ubvencione dhe transfere</w:t>
      </w:r>
      <w:r w:rsidR="00981E9E" w:rsidRPr="00415075">
        <w:t xml:space="preserve"> </w:t>
      </w:r>
      <w:r w:rsidR="00D34027" w:rsidRPr="00415075">
        <w:t xml:space="preserve">për </w:t>
      </w:r>
      <w:r w:rsidR="00356EF0" w:rsidRPr="00415075">
        <w:t>në</w:t>
      </w:r>
      <w:r w:rsidR="0028755F" w:rsidRPr="00415075">
        <w:t>n</w:t>
      </w:r>
      <w:r w:rsidR="00D34027" w:rsidRPr="00415075">
        <w:t>të</w:t>
      </w:r>
      <w:r w:rsidR="00C12904" w:rsidRPr="00415075">
        <w:t xml:space="preserve">mujorin e </w:t>
      </w:r>
      <w:r w:rsidR="0028755F" w:rsidRPr="00415075">
        <w:t>vitit</w:t>
      </w:r>
      <w:r w:rsidR="00B7606B" w:rsidRPr="00415075">
        <w:t xml:space="preserve"> 2019</w:t>
      </w:r>
      <w:r w:rsidR="00C12904" w:rsidRPr="00415075">
        <w:t xml:space="preserve"> </w:t>
      </w:r>
      <w:r w:rsidR="00981E9E" w:rsidRPr="00415075">
        <w:t xml:space="preserve">janë në shumë prej </w:t>
      </w:r>
      <w:r w:rsidR="00B7606B" w:rsidRPr="00415075">
        <w:t>55,783.80</w:t>
      </w:r>
      <w:r w:rsidRPr="00415075">
        <w:t xml:space="preserve"> </w:t>
      </w:r>
      <w:r w:rsidRPr="00C65218">
        <w:rPr>
          <w:rFonts w:eastAsia="Batang"/>
        </w:rPr>
        <w:t>€</w:t>
      </w:r>
      <w:r w:rsidRPr="00415075">
        <w:t xml:space="preserve"> apo </w:t>
      </w:r>
      <w:r w:rsidR="00B7606B" w:rsidRPr="00415075">
        <w:t>84.21</w:t>
      </w:r>
      <w:r w:rsidR="006E1998" w:rsidRPr="00415075">
        <w:t>% e planit vjetor</w:t>
      </w:r>
      <w:r w:rsidR="00F14196">
        <w:t>,</w:t>
      </w:r>
      <w:r w:rsidR="00F14196" w:rsidRPr="00F14196">
        <w:t xml:space="preserve"> </w:t>
      </w:r>
      <w:r w:rsidR="00F14196">
        <w:t>ndërsa krahasuar me periudhën e njëjte të vitit 2018 kemi një shpenzim më të madh për 19,298.00 €.</w:t>
      </w:r>
    </w:p>
    <w:p w:rsidR="00C65218" w:rsidRDefault="00C65218" w:rsidP="00C65218">
      <w:pPr>
        <w:pStyle w:val="ListParagraph"/>
      </w:pPr>
    </w:p>
    <w:p w:rsidR="00433DA0" w:rsidRDefault="00AE24A4" w:rsidP="00433DA0">
      <w:pPr>
        <w:pStyle w:val="ListParagraph"/>
        <w:numPr>
          <w:ilvl w:val="0"/>
          <w:numId w:val="2"/>
        </w:numPr>
        <w:jc w:val="both"/>
      </w:pPr>
      <w:r w:rsidRPr="00415075">
        <w:t xml:space="preserve">Pagesat nga kategoria </w:t>
      </w:r>
      <w:r w:rsidR="00EF5118" w:rsidRPr="00415075">
        <w:t xml:space="preserve">ekonomike </w:t>
      </w:r>
      <w:r w:rsidR="00C12904" w:rsidRPr="00C65218">
        <w:rPr>
          <w:b/>
        </w:rPr>
        <w:t>shpenzimet</w:t>
      </w:r>
      <w:r w:rsidRPr="00C65218">
        <w:rPr>
          <w:b/>
        </w:rPr>
        <w:t xml:space="preserve"> kapitale</w:t>
      </w:r>
      <w:r w:rsidRPr="00415075">
        <w:t xml:space="preserve"> janë në shumë prej </w:t>
      </w:r>
      <w:r w:rsidR="006E1998" w:rsidRPr="00415075">
        <w:t>4</w:t>
      </w:r>
      <w:r w:rsidR="00B119F9" w:rsidRPr="00415075">
        <w:t>21,</w:t>
      </w:r>
      <w:r w:rsidR="006E1998" w:rsidRPr="00415075">
        <w:t>4</w:t>
      </w:r>
      <w:r w:rsidR="00B119F9" w:rsidRPr="00415075">
        <w:t>8</w:t>
      </w:r>
      <w:r w:rsidR="006E1998" w:rsidRPr="00415075">
        <w:t>9.62</w:t>
      </w:r>
      <w:r w:rsidR="00B119F9" w:rsidRPr="00415075">
        <w:t xml:space="preserve"> </w:t>
      </w:r>
      <w:r w:rsidR="00880D05" w:rsidRPr="00415075">
        <w:t xml:space="preserve">apo </w:t>
      </w:r>
      <w:r w:rsidR="006E1998" w:rsidRPr="00415075">
        <w:t>31.70</w:t>
      </w:r>
      <w:r w:rsidR="00433DA0">
        <w:t>%, në krahaim me periudhën e njëjte të vitit 2018 kemi një shpenzim për 200,061.14 €.</w:t>
      </w:r>
    </w:p>
    <w:p w:rsidR="009315AF" w:rsidRDefault="009315AF" w:rsidP="009315AF">
      <w:pPr>
        <w:jc w:val="both"/>
      </w:pPr>
    </w:p>
    <w:p w:rsidR="00E7503C" w:rsidRPr="00C65218" w:rsidRDefault="00AE24A4" w:rsidP="00C65218">
      <w:pPr>
        <w:pStyle w:val="ListParagraph"/>
        <w:numPr>
          <w:ilvl w:val="0"/>
          <w:numId w:val="2"/>
        </w:numPr>
        <w:jc w:val="both"/>
      </w:pPr>
      <w:r w:rsidRPr="00415075">
        <w:t>Gjithsej</w:t>
      </w:r>
      <w:r w:rsidR="00AB7432" w:rsidRPr="00415075">
        <w:t>t</w:t>
      </w:r>
      <w:r w:rsidR="00356EF0" w:rsidRPr="00415075">
        <w:t>,</w:t>
      </w:r>
      <w:r w:rsidRPr="00415075">
        <w:t xml:space="preserve"> </w:t>
      </w:r>
      <w:r w:rsidRPr="00C65218">
        <w:rPr>
          <w:b/>
        </w:rPr>
        <w:t>shpen</w:t>
      </w:r>
      <w:r w:rsidR="00356EF0" w:rsidRPr="00C65218">
        <w:rPr>
          <w:b/>
        </w:rPr>
        <w:t>zimet</w:t>
      </w:r>
      <w:r w:rsidR="00BC6F4A" w:rsidRPr="00C65218">
        <w:rPr>
          <w:b/>
        </w:rPr>
        <w:t xml:space="preserve"> për periudhën janar-</w:t>
      </w:r>
      <w:r w:rsidR="00D34027" w:rsidRPr="00C65218">
        <w:rPr>
          <w:b/>
        </w:rPr>
        <w:t>sh</w:t>
      </w:r>
      <w:r w:rsidR="008D29F0" w:rsidRPr="00C65218">
        <w:rPr>
          <w:b/>
        </w:rPr>
        <w:t>tat</w:t>
      </w:r>
      <w:r w:rsidR="00D34027" w:rsidRPr="00C65218">
        <w:rPr>
          <w:b/>
        </w:rPr>
        <w:t>or</w:t>
      </w:r>
      <w:r w:rsidR="00BC6F4A" w:rsidRPr="00C65218">
        <w:rPr>
          <w:b/>
        </w:rPr>
        <w:t xml:space="preserve"> 201</w:t>
      </w:r>
      <w:r w:rsidR="006E1998" w:rsidRPr="00C65218">
        <w:rPr>
          <w:b/>
        </w:rPr>
        <w:t>9</w:t>
      </w:r>
      <w:r w:rsidR="00AB7432" w:rsidRPr="00415075">
        <w:t>,</w:t>
      </w:r>
      <w:r w:rsidR="00C12904" w:rsidRPr="00415075">
        <w:t xml:space="preserve"> </w:t>
      </w:r>
      <w:r w:rsidR="00AB7432" w:rsidRPr="00415075">
        <w:t>për të gjitha kategoritë ekonomike të shpenzimeve</w:t>
      </w:r>
      <w:r w:rsidR="00C12904" w:rsidRPr="00415075">
        <w:t xml:space="preserve"> </w:t>
      </w:r>
      <w:r w:rsidR="00356EF0" w:rsidRPr="00415075">
        <w:t>janë</w:t>
      </w:r>
      <w:r w:rsidR="00B24DEC" w:rsidRPr="00415075">
        <w:t xml:space="preserve"> </w:t>
      </w:r>
      <w:r w:rsidR="00E7503C" w:rsidRPr="00415075">
        <w:t xml:space="preserve">në shumë prej </w:t>
      </w:r>
      <w:r w:rsidR="006E1998" w:rsidRPr="00415075">
        <w:t>1,785,303.16</w:t>
      </w:r>
      <w:r w:rsidR="00B24DEC" w:rsidRPr="00415075">
        <w:t xml:space="preserve"> € apo </w:t>
      </w:r>
      <w:r w:rsidR="00880D05" w:rsidRPr="00415075">
        <w:t>5</w:t>
      </w:r>
      <w:r w:rsidR="00D34027" w:rsidRPr="00415075">
        <w:t>0.</w:t>
      </w:r>
      <w:r w:rsidR="006E1998" w:rsidRPr="00415075">
        <w:t>69</w:t>
      </w:r>
      <w:r w:rsidRPr="00415075">
        <w:t xml:space="preserve">% </w:t>
      </w:r>
      <w:r w:rsidR="009B6849" w:rsidRPr="00415075">
        <w:t>e planit të përgjithshëm vjetor.</w:t>
      </w:r>
      <w:r w:rsidRPr="00415075">
        <w:t xml:space="preserve"> </w:t>
      </w:r>
    </w:p>
    <w:p w:rsidR="00F26FFF" w:rsidRDefault="00F26FFF" w:rsidP="00AE24A4">
      <w:pPr>
        <w:jc w:val="both"/>
        <w:rPr>
          <w:b/>
          <w:color w:val="365F91" w:themeColor="accent1" w:themeShade="BF"/>
        </w:rPr>
        <w:sectPr w:rsidR="00F26FFF" w:rsidSect="00D64209">
          <w:footerReference w:type="default" r:id="rId14"/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:rsidR="00AE24A4" w:rsidRPr="00EB201D" w:rsidRDefault="00B82826" w:rsidP="00AE24A4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3</w:t>
      </w:r>
      <w:r w:rsidR="009145D5">
        <w:rPr>
          <w:b/>
          <w:color w:val="365F91" w:themeColor="accent1" w:themeShade="BF"/>
        </w:rPr>
        <w:t>.</w:t>
      </w:r>
      <w:r>
        <w:rPr>
          <w:b/>
          <w:color w:val="365F91" w:themeColor="accent1" w:themeShade="BF"/>
        </w:rPr>
        <w:t>3</w:t>
      </w:r>
      <w:r w:rsidR="00D92A1F">
        <w:rPr>
          <w:b/>
          <w:color w:val="365F91" w:themeColor="accent1" w:themeShade="BF"/>
        </w:rPr>
        <w:t>.</w:t>
      </w:r>
      <w:r w:rsidR="009145D5">
        <w:rPr>
          <w:b/>
          <w:color w:val="365F91" w:themeColor="accent1" w:themeShade="BF"/>
        </w:rPr>
        <w:t xml:space="preserve"> </w:t>
      </w:r>
      <w:r w:rsidR="00CA5147" w:rsidRPr="00EB201D">
        <w:rPr>
          <w:b/>
          <w:color w:val="365F91" w:themeColor="accent1" w:themeShade="BF"/>
        </w:rPr>
        <w:t>BUXHETI I KOMUN</w:t>
      </w:r>
      <w:r w:rsidR="00EB201D">
        <w:rPr>
          <w:b/>
          <w:color w:val="365F91" w:themeColor="accent1" w:themeShade="BF"/>
        </w:rPr>
        <w:t>ËS</w:t>
      </w:r>
      <w:r w:rsidR="00AE24A4" w:rsidRPr="00EB201D">
        <w:rPr>
          <w:b/>
          <w:color w:val="365F91" w:themeColor="accent1" w:themeShade="BF"/>
        </w:rPr>
        <w:t xml:space="preserve"> SIPAS DREJTORIVE</w:t>
      </w:r>
      <w:r w:rsidR="00BD4474" w:rsidRPr="00EB201D">
        <w:rPr>
          <w:b/>
          <w:color w:val="365F91" w:themeColor="accent1" w:themeShade="BF"/>
        </w:rPr>
        <w:t xml:space="preserve"> DHE KATEGORIVE EKONOMIKE </w:t>
      </w:r>
    </w:p>
    <w:tbl>
      <w:tblPr>
        <w:tblW w:w="10286" w:type="dxa"/>
        <w:tblInd w:w="-72" w:type="dxa"/>
        <w:tblLayout w:type="fixed"/>
        <w:tblLook w:val="04A0"/>
      </w:tblPr>
      <w:tblGrid>
        <w:gridCol w:w="3033"/>
        <w:gridCol w:w="7253"/>
      </w:tblGrid>
      <w:tr w:rsidR="006632E7" w:rsidRPr="006632E7" w:rsidTr="008867E7">
        <w:trPr>
          <w:trHeight w:val="9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6FFF" w:rsidRPr="00BD4474" w:rsidRDefault="00F26FFF" w:rsidP="007A5771">
            <w:pPr>
              <w:spacing w:after="200" w:line="276" w:lineRule="auto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en-US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32E7" w:rsidRPr="006632E7" w:rsidRDefault="006632E7" w:rsidP="006632E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8867E7" w:rsidRDefault="008867E7" w:rsidP="00EF5118">
      <w:pPr>
        <w:rPr>
          <w:bCs/>
          <w:color w:val="000000"/>
          <w:sz w:val="22"/>
          <w:szCs w:val="22"/>
        </w:rPr>
      </w:pPr>
    </w:p>
    <w:p w:rsidR="008867E7" w:rsidRDefault="008867E7" w:rsidP="00EF5118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Tabela 3.</w:t>
      </w:r>
    </w:p>
    <w:tbl>
      <w:tblPr>
        <w:tblW w:w="13283" w:type="dxa"/>
        <w:tblInd w:w="93" w:type="dxa"/>
        <w:tblLook w:val="04A0"/>
      </w:tblPr>
      <w:tblGrid>
        <w:gridCol w:w="5505"/>
        <w:gridCol w:w="1161"/>
        <w:gridCol w:w="1161"/>
        <w:gridCol w:w="1057"/>
        <w:gridCol w:w="1161"/>
        <w:gridCol w:w="1188"/>
        <w:gridCol w:w="1095"/>
        <w:gridCol w:w="955"/>
      </w:tblGrid>
      <w:tr w:rsidR="008867E7" w:rsidTr="00A232B2">
        <w:trPr>
          <w:trHeight w:val="762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Buxheti Aktual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Alokuar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 paalokuar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Shpenzimi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Zotim /Obligimet në pritje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Mjetet e lira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Progresi ndaj planit (%)</w:t>
            </w:r>
          </w:p>
        </w:tc>
      </w:tr>
      <w:tr w:rsidR="008867E7" w:rsidTr="00A232B2">
        <w:trPr>
          <w:trHeight w:val="242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SUBCL / RESP / PCLASS / CAT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Pr="00D04062" w:rsidRDefault="008867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4062">
              <w:rPr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Pr="00D04062" w:rsidRDefault="008867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4062">
              <w:rPr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Pr="00D04062" w:rsidRDefault="008867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4062">
              <w:rPr>
                <w:b/>
                <w:bCs/>
                <w:color w:val="000000"/>
                <w:sz w:val="16"/>
                <w:szCs w:val="16"/>
              </w:rPr>
              <w:t>A - 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Pr="00D04062" w:rsidRDefault="008867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4062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Pr="00D04062" w:rsidRDefault="008867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4062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Pr="00D04062" w:rsidRDefault="008867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4062">
              <w:rPr>
                <w:b/>
                <w:bCs/>
                <w:color w:val="000000"/>
                <w:sz w:val="16"/>
                <w:szCs w:val="16"/>
              </w:rPr>
              <w:t>A - ( C + D 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Pr="00D04062" w:rsidRDefault="008867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4062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8867E7" w:rsidRDefault="00C628F0" w:rsidP="00C628F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11 </w:t>
            </w:r>
            <w:r w:rsidR="008867E7">
              <w:rPr>
                <w:b/>
                <w:bCs/>
                <w:color w:val="000000"/>
                <w:sz w:val="18"/>
                <w:szCs w:val="18"/>
              </w:rPr>
              <w:t>PAGA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DHE MËDITJE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1,493,148.00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1,105,197.48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387,950.52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1,105,197.48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387,950.52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74.02%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659 HANI I ELEZIT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1,493,148.00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1,105,197.48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387,950.52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1,105,197.48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387,950.52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74.02%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16035 ZYRA E KRYETARIT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63,123.00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49,230.31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13,892.69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49,230.31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13,892.69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77.99%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16335 ADMINISTRATA 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>DHE PERSONELI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97,476.00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73,840.71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23,635.29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73,840.71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23,635.29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75.75%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16935 ZYRA E KUVENDIT KOMUNAL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57,521.00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42,469.34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15,051.66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42,469.34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15,051.66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73.83%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17535 BUXHET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 xml:space="preserve"> DHE FINANCA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57,897.00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42,972.51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14,924.49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42,972.51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14,924.49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74.22%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 w:rsidP="007A1A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18444 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>SHERBIMET PUBLIKE DHE EMERGJENCË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58,901.00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44,468.19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14,432.81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44,468.19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14,432.81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75.50%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19675 ZYRA LOKALE E KOMUNITETEVE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7,225.00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4,137.07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3,087.93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4,137.07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3,087.93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57.26%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 w:rsidP="007A1A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47115 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 xml:space="preserve">BUJQËSIA DHE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PYLLTARIA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33,183.00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20,683.24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12,499.76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20,683.24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12,499.76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62.33%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7A1A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48035 </w:t>
            </w:r>
            <w:r w:rsidR="008867E7">
              <w:rPr>
                <w:b/>
                <w:bCs/>
                <w:color w:val="000000"/>
                <w:sz w:val="18"/>
                <w:szCs w:val="18"/>
              </w:rPr>
              <w:t xml:space="preserve">ZHVILLIMI EKONOMIK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21,196.00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16,041.60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5,154.40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16,041.60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5,154.40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75.68%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 w:rsidP="007A1A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 xml:space="preserve">     66480 PLANIFIKIMI URBAN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>DHE MJEDISI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60,775.00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40,566.06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20,208.94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40,566.06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20,208.94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66.75%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73044 ADMINISTRATA (SH)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15,730.00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11,429.23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4,300.77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11,429.23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4,300.77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72.66%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75050 SHËRBIMET E KUJDESIT PRIMAR SHËNDETËSOR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214,811.00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160,212.28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54,598.72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160,212.28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54,598.72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74.58%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75671 SHËRBIMET SOCIALE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18,707.00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14,341.72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4,365.28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14,341.72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4,365.28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76.66%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92175 ADMINISTRATA (A)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34,350.00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26,073.36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8,276.64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26,073.36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8,276.64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75.90%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94020 ARSIMI FILLOR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602,544.00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450,148.63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152,395.37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450,148.63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152,395.37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74.71%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95220 ARSIMI I MESËM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149,709.00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108,583.23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41,125.77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108,583.23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41,125.77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72.53%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13 MALLRA DHE SHËRBIME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262,141.90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208,300.09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53,841.81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169,648.58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22,443.00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70,050.33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64.72%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659 HANI I ELEZIT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262,141.90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208,300.09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53,841.81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169,648.58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22,443.00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70,050.33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64.72%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16035 ZYRA E KRYETARIT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17,500.00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5,500.00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17,476.83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5,523.17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75.99%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17,476.83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5,523.17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75.99%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16335 ADMINISTRATA 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>DHE PERSONELI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41,278.64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33,228.64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8,050.00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30,315.49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2,729.87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8,233.28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73.44%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27,950.00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8,050.00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26,209.14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1,661.87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8,128.99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72.80%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21 TE HYRAT VETANAKE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3,828.22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1,068.00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103.78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76.56%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22 TË HYRAT VETANAKE- 2018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278.14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278.14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278.13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61 QEVERIA ZVICRANE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16935 ZYRA E KUVENDIT KOMUNAL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3,984.00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1,016.00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3,984.00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1,016.00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79.68%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3,984.00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1,016.00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3,984.00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1,016.00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79.68%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       17535 BUXHET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 xml:space="preserve"> DHE FINANCAT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2,250.00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1,060.17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325.36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1,614.47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35.34%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2,250.00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750.00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1,060.17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325.36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1,614.47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35.34%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 w:rsidP="007A1A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18444 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>SHERBIMET PUBLIKE DHE EMERGJENCË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40,500.00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32,062.38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8,437.62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28,773.34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2,605.53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9,121.14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71.05%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26,900.00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25,798.34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1,001.53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8,200.13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73.71%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21 TE HYRAT VETANAKE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4,662.38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337.62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2,475.00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1,604.00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49.50%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59 QEVERIA JAPONEZE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19675 ZYRA LOKALE E KOMUNITETEVE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47115 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 xml:space="preserve">BUJQËSIA DHE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PYLLTARIA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3,800.00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2,852.00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948.00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3,130.00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17.63%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2,852.00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948.00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3,130.00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17.63%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7A1A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48035 </w:t>
            </w:r>
            <w:r w:rsidR="008867E7">
              <w:rPr>
                <w:b/>
                <w:bCs/>
                <w:color w:val="000000"/>
                <w:sz w:val="18"/>
                <w:szCs w:val="18"/>
              </w:rPr>
              <w:t xml:space="preserve">ZHVILLIMI EKONOMIK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1,499.00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501.00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1,010.00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49.50%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1,499.00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1,010.00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49.50%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66480 PLANIFIKIMI URBAN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 xml:space="preserve"> DHE MJEDISI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5,999.00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2,001.00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4,443.57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1,555.04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2,001.39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55.54%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5,999.00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2,001.00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4,443.57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1,555.04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2,001.39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55.54%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73044 ADMINISTRATA (SH)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834.00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634.00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446.24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387.76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53.51%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634.00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446.24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387.76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53.51%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75050 SHËRBIMET E KUJDESIT PRIMAR SHËNDETËSOR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57,570.45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44,092.26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13,478.19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41,810.43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1,842.36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13,917.66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72.62%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04 FINANCIMET NGA HUAMARRJET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50,935.00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38,690.00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12,245.00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37,231.79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1,320.04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12,383.17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73.10%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21 TE HYRAT VETANAKE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3,766.81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1,233.19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3,359.42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247.01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1,393.57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67.19%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22 TË HYRAT VETANAKE- 2018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1,635.45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1,635.45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1,219.22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275.31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140.92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74.55%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75671 SHËRBIMET SOCIALE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2,234.00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766.00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1,146.29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1,853.50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38.21%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2,101.00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699.00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1,146.29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1,653.50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40.94%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21 TE HYRAT VETANAKE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92175 ADMINISTRATA (A)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35,653.29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31,301.29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4,352.00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30,560.38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490.13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4,602.78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85.72%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14,648.00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4,352.00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14,153.86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490.12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4,356.02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74.49%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22 TË HYRAT VETANAKE- 2018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16,653.29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16,653.29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16,406.52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246.76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98.52%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94020 ARSIMI FILLOR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29,605.52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23,805.52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5,800.00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4,858.94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12,459.50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12,287.08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16.41%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04 FINANCIMET NGA HUAMARRJET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4,608.01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4,608.01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2,176.94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2,415.57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47.24%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24,997.51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19,197.51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2,682.00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10,043.93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12,271.58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10.73%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95220 ARSIMI I MESËM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8,400.00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6,418.00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1,982.00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3,112.90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4,852.10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37.06%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8,250.00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6,363.00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1,887.00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3,112.90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4,702.10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37.73%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21 TE HYRAT VETANAKE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14 SHPENZIME KOMUNALE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54,400.00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41,244.00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13,156.00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33,183.68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478.14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20,738.18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659 HANI I ELEZIT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54,400.00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41,244.00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13,156.00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33,183.68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478.14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20,738.18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       16335 ADMINISTRATA 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>DHE PERSONELI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32,600.00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24,700.00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7,900.00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23,553.14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9,039.72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72.25%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32,600.00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24,700.00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7,900.00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23,553.14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9,039.72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72.25%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75050 SHËRBIMET E KUJDESIT PRIMAR SHËNDETËSOR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6,133.00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1,867.00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4,858.69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3,141.31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60.73%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6,133.00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1,867.00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4,858.69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3,141.31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60.73%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75671 SHËRBIMET SOCIALE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345.13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654.87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34.51%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345.13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654.87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34.51%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94020 ARSIMI FILLOR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7,501.00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2,499.00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3,617.31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271.00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6,111.69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36.17%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7,501.00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2,499.00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3,617.31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6,111.69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36.17%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95220 ARSIMI I MESËM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2,150.00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809.41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1,790.59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28.91%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2,150.00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809.41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1,790.59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28.91%</w:t>
            </w:r>
          </w:p>
        </w:tc>
      </w:tr>
      <w:tr w:rsidR="008867E7" w:rsidTr="00054DB3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20 SUBVENCIONE DHE TRANSFERE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66,240.27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66,240.27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55,783.80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1,100.00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9,356.47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84.21%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659 HANI I ELEZIT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66,240.27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66,240.27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55,783.80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1,100.00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9,356.47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84.21%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16035 ZYRA E KRYETARIT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41,136.27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41,136.27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34,877.00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1,100.00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5,159.27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84.78%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21 TE HYRAT VETANAKE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29,777.00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1,100.00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5,123.00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82.71%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22 TË HYRAT VETANAKE- 2018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5,136.27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5,136.27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99.29%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 xml:space="preserve">   47115 BUJQËSIA DHE PYLLTARIA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10,104.00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10,104.00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6,406.80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3,697.20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63.41%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21 TE HYRAT VETANAKE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10,104.00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10,104.00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6,406.80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3,697.20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63.41%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92175 ADMINISTRATA (A)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14,500.00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96.67%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21 TE HYRAT VETANAKE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14,500.00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96.67%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30 PASURITË JOFINANCIARE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1,329,617.91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1,257,962.50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71,655.41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421,489.62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455,996.01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452,132.28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31.70%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659 HANI I ELEZIT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1,329,617.91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1,257,962.50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71,655.41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421,489.62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455,996.01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452,132.28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31.70%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16335 ADMINISTRATA 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>DHE PERSONELI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10,245.35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10,245.35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10,244.00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99.99%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22 TË HYRAT VETANAKE- 2018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10,245.35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10,245.35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10,244.00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99.99%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18444 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>SHERBIMET PUBLIKE DHE EMERGJENCË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156,016.00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147,576.01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8,439.99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72,570.60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44,214.10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39,231.30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46.51%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27,923.10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12,076.90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21 TE HYRAT VETANAKE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36,560.01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8,439.99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16,291.00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27,154.00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3.46%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59 QEVERIA JAPONEZE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61,016.00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61,016.00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61,015.60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 w:rsidP="007A1A8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66480 PLANIFIKIMI URBAN</w:t>
            </w:r>
            <w:r w:rsidR="007A1A88">
              <w:rPr>
                <w:b/>
                <w:bCs/>
                <w:color w:val="000000"/>
                <w:sz w:val="18"/>
                <w:szCs w:val="18"/>
              </w:rPr>
              <w:t xml:space="preserve"> DHE MJEDISI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860,868.24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807,652.82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53,215.42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285,854.81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221,900.83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353,112.60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33.21%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493,890.00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493,890.00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119,440.62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211,900.83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162,548.55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24.18%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21 TE HYRAT VETANAKE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152,675.00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99,459.58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53,215.42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3,050.40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139,624.60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22 TË HYRAT VETANAKE- 2018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159,240.38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159,240.38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108,393.79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50,846.59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68.07%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32 GRANTE TJERA TE JASHTME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54,970.00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99.95%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60 UN-HABITAT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61 QEVERIA ZVICRANE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75050 SHËRBIMET E KUJDESIT PRIMAR SHËNDETËSOR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56,000.00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37,896.00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5,604.00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22,500.00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57.42%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  10 BUXHETI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51,000.00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51,000.00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37,896.00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5,604.00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7,500.00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74.31%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21 TE HYRAT VETANAKE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92175 ADMINISTRATA (A)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235,000.00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235,000.00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13,484.29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184,249.00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37,266.71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5.74%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10 BUXHETI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235,000.00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13,484.29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184,249.00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37,266.71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5.74%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94020 ARSIMI FILLOR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1,488.32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1,488.32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1,439.92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20.32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96.75%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04 FINANCIMET NGA HUAMARRJET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1,468.00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1,468.00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1,439.92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98.09%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867E7" w:rsidRDefault="008867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61 QEVERIA ZVICRANE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8867E7" w:rsidTr="00A232B2">
        <w:trPr>
          <w:trHeight w:val="255"/>
        </w:trPr>
        <w:tc>
          <w:tcPr>
            <w:tcW w:w="5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Totali I Përgjithshëm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3,205,548.08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2,678,944.34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526,603.74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1,785,303.16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480,017.15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940,227.78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867E7" w:rsidRDefault="008867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55.69%</w:t>
            </w:r>
          </w:p>
        </w:tc>
      </w:tr>
    </w:tbl>
    <w:p w:rsidR="008867E7" w:rsidRDefault="008867E7" w:rsidP="00EF5118">
      <w:pPr>
        <w:rPr>
          <w:bCs/>
          <w:color w:val="000000"/>
          <w:sz w:val="22"/>
          <w:szCs w:val="22"/>
        </w:rPr>
      </w:pPr>
    </w:p>
    <w:p w:rsidR="00D04062" w:rsidRDefault="00D04062" w:rsidP="00EF5118">
      <w:pPr>
        <w:rPr>
          <w:bCs/>
          <w:color w:val="000000"/>
          <w:sz w:val="22"/>
          <w:szCs w:val="22"/>
        </w:rPr>
      </w:pPr>
    </w:p>
    <w:p w:rsidR="001C4C1B" w:rsidRDefault="00D04062" w:rsidP="00EF5118">
      <w:pPr>
        <w:rPr>
          <w:bCs/>
          <w:color w:val="000000"/>
          <w:sz w:val="22"/>
          <w:szCs w:val="22"/>
        </w:rPr>
      </w:pPr>
      <w:r w:rsidRPr="00BF44D8">
        <w:rPr>
          <w:bCs/>
          <w:color w:val="000000"/>
          <w:sz w:val="22"/>
          <w:szCs w:val="22"/>
        </w:rPr>
        <w:t>Në këtë tabelë kemi paraqit</w:t>
      </w:r>
      <w:r>
        <w:rPr>
          <w:bCs/>
          <w:color w:val="000000"/>
          <w:sz w:val="22"/>
          <w:szCs w:val="22"/>
        </w:rPr>
        <w:t>ur buxhetin sipas drejtorive,</w:t>
      </w:r>
      <w:r w:rsidR="00BE044D">
        <w:rPr>
          <w:bCs/>
          <w:color w:val="000000"/>
          <w:sz w:val="22"/>
          <w:szCs w:val="22"/>
        </w:rPr>
        <w:t xml:space="preserve"> sipas kategorive ekonomike të</w:t>
      </w:r>
      <w:r w:rsidRPr="00BF44D8">
        <w:rPr>
          <w:bCs/>
          <w:color w:val="000000"/>
          <w:sz w:val="22"/>
          <w:szCs w:val="22"/>
        </w:rPr>
        <w:t xml:space="preserve"> shpenzimeve</w:t>
      </w:r>
      <w:r>
        <w:rPr>
          <w:bCs/>
          <w:color w:val="000000"/>
          <w:sz w:val="22"/>
          <w:szCs w:val="22"/>
        </w:rPr>
        <w:t xml:space="preserve"> </w:t>
      </w:r>
      <w:r w:rsidR="0026301C">
        <w:rPr>
          <w:bCs/>
          <w:color w:val="000000"/>
          <w:sz w:val="22"/>
          <w:szCs w:val="22"/>
        </w:rPr>
        <w:t>dhe sipas burimeve</w:t>
      </w:r>
      <w:r w:rsidR="001C4C1B">
        <w:rPr>
          <w:bCs/>
          <w:color w:val="000000"/>
          <w:sz w:val="22"/>
          <w:szCs w:val="22"/>
        </w:rPr>
        <w:t xml:space="preserve"> financiare.</w:t>
      </w:r>
    </w:p>
    <w:p w:rsidR="001C4C1B" w:rsidRDefault="001C4C1B" w:rsidP="001C4C1B">
      <w:pPr>
        <w:rPr>
          <w:sz w:val="22"/>
          <w:szCs w:val="22"/>
        </w:rPr>
      </w:pPr>
    </w:p>
    <w:p w:rsidR="001C4C1B" w:rsidRPr="00917140" w:rsidRDefault="001C4C1B" w:rsidP="001C4C1B">
      <w:pPr>
        <w:tabs>
          <w:tab w:val="left" w:pos="1840"/>
        </w:tabs>
        <w:rPr>
          <w:b/>
          <w:color w:val="365F91" w:themeColor="accent1" w:themeShade="BF"/>
          <w:u w:val="single"/>
        </w:rPr>
      </w:pPr>
      <w:r w:rsidRPr="00917140">
        <w:rPr>
          <w:b/>
          <w:color w:val="365F91" w:themeColor="accent1" w:themeShade="BF"/>
          <w:u w:val="single"/>
        </w:rPr>
        <w:t xml:space="preserve">Koment: </w:t>
      </w:r>
    </w:p>
    <w:p w:rsidR="001C4C1B" w:rsidRDefault="001C4C1B" w:rsidP="001C4C1B">
      <w:pPr>
        <w:tabs>
          <w:tab w:val="left" w:pos="1840"/>
        </w:tabs>
        <w:rPr>
          <w:b/>
          <w:color w:val="365F91" w:themeColor="accent1" w:themeShade="BF"/>
        </w:rPr>
      </w:pPr>
    </w:p>
    <w:p w:rsidR="001C4C1B" w:rsidRPr="00C628F0" w:rsidRDefault="001C4C1B" w:rsidP="00C628F0">
      <w:pPr>
        <w:pStyle w:val="ListParagraph"/>
        <w:numPr>
          <w:ilvl w:val="0"/>
          <w:numId w:val="5"/>
        </w:numPr>
        <w:shd w:val="clear" w:color="auto" w:fill="B6DDE8" w:themeFill="accent5" w:themeFillTint="66"/>
        <w:tabs>
          <w:tab w:val="left" w:pos="1840"/>
        </w:tabs>
        <w:jc w:val="both"/>
        <w:rPr>
          <w:color w:val="1F497D" w:themeColor="text2"/>
        </w:rPr>
      </w:pPr>
      <w:r w:rsidRPr="00C628F0">
        <w:rPr>
          <w:color w:val="1F497D" w:themeColor="text2"/>
        </w:rPr>
        <w:t xml:space="preserve">Mjetet nga </w:t>
      </w:r>
      <w:r w:rsidR="00C628F0" w:rsidRPr="00C628F0">
        <w:rPr>
          <w:color w:val="1F497D" w:themeColor="text2"/>
        </w:rPr>
        <w:t>financimi</w:t>
      </w:r>
      <w:r w:rsidRPr="00C628F0">
        <w:rPr>
          <w:color w:val="1F497D" w:themeColor="text2"/>
        </w:rPr>
        <w:t xml:space="preserve"> i huamarrjes (fondi 04) janë shpenzuar në shumë prej 3,616.86 € apo 59.53%;</w:t>
      </w:r>
    </w:p>
    <w:p w:rsidR="001C4C1B" w:rsidRPr="00C628F0" w:rsidRDefault="001C4C1B" w:rsidP="00C628F0">
      <w:pPr>
        <w:pStyle w:val="ListParagraph"/>
        <w:numPr>
          <w:ilvl w:val="0"/>
          <w:numId w:val="5"/>
        </w:numPr>
        <w:shd w:val="clear" w:color="auto" w:fill="B6DDE8" w:themeFill="accent5" w:themeFillTint="66"/>
        <w:tabs>
          <w:tab w:val="left" w:pos="1840"/>
        </w:tabs>
        <w:jc w:val="both"/>
        <w:rPr>
          <w:color w:val="1F497D" w:themeColor="text2"/>
        </w:rPr>
      </w:pPr>
      <w:r w:rsidRPr="00C628F0">
        <w:rPr>
          <w:color w:val="1F497D" w:themeColor="text2"/>
        </w:rPr>
        <w:t xml:space="preserve">Mjetet nga grantet qeveritare (fondi 10) janë shpenzuar në shumë prej </w:t>
      </w:r>
      <w:r w:rsidR="007F5C9E" w:rsidRPr="00C628F0">
        <w:rPr>
          <w:color w:val="1F497D" w:themeColor="text2"/>
        </w:rPr>
        <w:t>1,458,607.20</w:t>
      </w:r>
      <w:r w:rsidRPr="00C628F0">
        <w:rPr>
          <w:color w:val="1F497D" w:themeColor="text2"/>
        </w:rPr>
        <w:t xml:space="preserve"> € apo </w:t>
      </w:r>
      <w:r w:rsidR="007F5C9E" w:rsidRPr="00C628F0">
        <w:rPr>
          <w:color w:val="1F497D" w:themeColor="text2"/>
        </w:rPr>
        <w:t>56.0</w:t>
      </w:r>
      <w:r w:rsidRPr="00C628F0">
        <w:rPr>
          <w:color w:val="1F497D" w:themeColor="text2"/>
        </w:rPr>
        <w:t>9%;</w:t>
      </w:r>
    </w:p>
    <w:p w:rsidR="001C4C1B" w:rsidRPr="00C628F0" w:rsidRDefault="001C4C1B" w:rsidP="00C628F0">
      <w:pPr>
        <w:pStyle w:val="ListParagraph"/>
        <w:numPr>
          <w:ilvl w:val="0"/>
          <w:numId w:val="5"/>
        </w:numPr>
        <w:shd w:val="clear" w:color="auto" w:fill="B6DDE8" w:themeFill="accent5" w:themeFillTint="66"/>
        <w:tabs>
          <w:tab w:val="left" w:pos="1840"/>
        </w:tabs>
        <w:jc w:val="both"/>
        <w:rPr>
          <w:color w:val="1F497D" w:themeColor="text2"/>
        </w:rPr>
      </w:pPr>
      <w:r w:rsidRPr="00C628F0">
        <w:rPr>
          <w:color w:val="1F497D" w:themeColor="text2"/>
        </w:rPr>
        <w:t xml:space="preserve">Mjetet nga të hyrat vetanake (fondi 21) janë shpenzuar në shumë prej </w:t>
      </w:r>
      <w:r w:rsidR="00BE044D" w:rsidRPr="00C628F0">
        <w:rPr>
          <w:color w:val="1F497D" w:themeColor="text2"/>
        </w:rPr>
        <w:t>64,951.84</w:t>
      </w:r>
      <w:r w:rsidRPr="00C628F0">
        <w:rPr>
          <w:color w:val="1F497D" w:themeColor="text2"/>
        </w:rPr>
        <w:t xml:space="preserve"> € apo </w:t>
      </w:r>
      <w:r w:rsidR="00BE044D" w:rsidRPr="00C628F0">
        <w:rPr>
          <w:color w:val="1F497D" w:themeColor="text2"/>
        </w:rPr>
        <w:t>22.46</w:t>
      </w:r>
      <w:r w:rsidRPr="00C628F0">
        <w:rPr>
          <w:color w:val="1F497D" w:themeColor="text2"/>
        </w:rPr>
        <w:t>%;</w:t>
      </w:r>
    </w:p>
    <w:p w:rsidR="001C4C1B" w:rsidRPr="00C628F0" w:rsidRDefault="001C4C1B" w:rsidP="00C628F0">
      <w:pPr>
        <w:pStyle w:val="ListParagraph"/>
        <w:numPr>
          <w:ilvl w:val="0"/>
          <w:numId w:val="5"/>
        </w:numPr>
        <w:shd w:val="clear" w:color="auto" w:fill="B6DDE8" w:themeFill="accent5" w:themeFillTint="66"/>
        <w:tabs>
          <w:tab w:val="left" w:pos="1840"/>
        </w:tabs>
        <w:jc w:val="both"/>
        <w:rPr>
          <w:color w:val="1F497D" w:themeColor="text2"/>
        </w:rPr>
      </w:pPr>
      <w:r w:rsidRPr="00C628F0">
        <w:rPr>
          <w:color w:val="1F497D" w:themeColor="text2"/>
        </w:rPr>
        <w:t xml:space="preserve">Mjetet nga të hyrat vetanake (fondi 22) janë shpenzuar në shumë prej </w:t>
      </w:r>
      <w:r w:rsidR="00BE044D" w:rsidRPr="00C628F0">
        <w:rPr>
          <w:color w:val="1F497D" w:themeColor="text2"/>
        </w:rPr>
        <w:t>141,641.66</w:t>
      </w:r>
      <w:r w:rsidRPr="00C628F0">
        <w:rPr>
          <w:color w:val="1F497D" w:themeColor="text2"/>
        </w:rPr>
        <w:t xml:space="preserve"> € apo </w:t>
      </w:r>
      <w:r w:rsidR="00BE044D" w:rsidRPr="00C628F0">
        <w:rPr>
          <w:color w:val="1F497D" w:themeColor="text2"/>
        </w:rPr>
        <w:t>73.32</w:t>
      </w:r>
      <w:r w:rsidRPr="00C628F0">
        <w:rPr>
          <w:color w:val="1F497D" w:themeColor="text2"/>
        </w:rPr>
        <w:t>%;</w:t>
      </w:r>
    </w:p>
    <w:p w:rsidR="001C4C1B" w:rsidRPr="00C628F0" w:rsidRDefault="001C4C1B" w:rsidP="00C628F0">
      <w:pPr>
        <w:pStyle w:val="ListParagraph"/>
        <w:numPr>
          <w:ilvl w:val="0"/>
          <w:numId w:val="5"/>
        </w:numPr>
        <w:shd w:val="clear" w:color="auto" w:fill="B6DDE8" w:themeFill="accent5" w:themeFillTint="66"/>
        <w:tabs>
          <w:tab w:val="left" w:pos="1840"/>
        </w:tabs>
        <w:jc w:val="both"/>
        <w:rPr>
          <w:color w:val="1F497D" w:themeColor="text2"/>
        </w:rPr>
      </w:pPr>
      <w:r w:rsidRPr="00C628F0">
        <w:rPr>
          <w:color w:val="1F497D" w:themeColor="text2"/>
        </w:rPr>
        <w:t xml:space="preserve">Mjetet nga donacionet (fondet 32-59-60-61) janë shpenzuar në shumë prej </w:t>
      </w:r>
      <w:r w:rsidR="00BE044D" w:rsidRPr="00C628F0">
        <w:rPr>
          <w:color w:val="1F497D" w:themeColor="text2"/>
        </w:rPr>
        <w:t>116,485.60</w:t>
      </w:r>
      <w:r w:rsidRPr="00C628F0">
        <w:rPr>
          <w:color w:val="1F497D" w:themeColor="text2"/>
        </w:rPr>
        <w:t xml:space="preserve"> € apo </w:t>
      </w:r>
      <w:r w:rsidR="00BE044D" w:rsidRPr="00C628F0">
        <w:rPr>
          <w:color w:val="1F497D" w:themeColor="text2"/>
        </w:rPr>
        <w:t>99.9</w:t>
      </w:r>
      <w:r w:rsidRPr="00C628F0">
        <w:rPr>
          <w:color w:val="1F497D" w:themeColor="text2"/>
        </w:rPr>
        <w:t>0%;</w:t>
      </w:r>
    </w:p>
    <w:p w:rsidR="001C4C1B" w:rsidRPr="00C628F0" w:rsidRDefault="001C4C1B" w:rsidP="00C628F0">
      <w:pPr>
        <w:pStyle w:val="ListParagraph"/>
        <w:numPr>
          <w:ilvl w:val="0"/>
          <w:numId w:val="5"/>
        </w:numPr>
        <w:shd w:val="clear" w:color="auto" w:fill="B6DDE8" w:themeFill="accent5" w:themeFillTint="66"/>
        <w:tabs>
          <w:tab w:val="left" w:pos="1840"/>
        </w:tabs>
        <w:jc w:val="both"/>
        <w:rPr>
          <w:color w:val="1F497D" w:themeColor="text2"/>
        </w:rPr>
      </w:pPr>
      <w:r w:rsidRPr="00C628F0">
        <w:rPr>
          <w:color w:val="1F497D" w:themeColor="text2"/>
        </w:rPr>
        <w:t xml:space="preserve">Total shpenzimi nga grantet qeveritare, të hyrat vetanake dhe donacionet (fondet 04-10-21-22-32-59-60-61) janë shpenzuar në shumë prej </w:t>
      </w:r>
      <w:r w:rsidR="00BE044D" w:rsidRPr="00C628F0">
        <w:rPr>
          <w:color w:val="1F497D" w:themeColor="text2"/>
          <w:u w:val="single"/>
        </w:rPr>
        <w:t>1,785,303.16</w:t>
      </w:r>
      <w:r w:rsidRPr="00C628F0">
        <w:rPr>
          <w:color w:val="1F497D" w:themeColor="text2"/>
          <w:u w:val="single"/>
        </w:rPr>
        <w:t xml:space="preserve"> € apo </w:t>
      </w:r>
      <w:r w:rsidR="00BE044D" w:rsidRPr="00C628F0">
        <w:rPr>
          <w:color w:val="1F497D" w:themeColor="text2"/>
          <w:u w:val="single"/>
        </w:rPr>
        <w:t>55.69</w:t>
      </w:r>
      <w:r w:rsidRPr="00C628F0">
        <w:rPr>
          <w:color w:val="1F497D" w:themeColor="text2"/>
          <w:u w:val="single"/>
        </w:rPr>
        <w:t>%.</w:t>
      </w:r>
    </w:p>
    <w:p w:rsidR="001C4C1B" w:rsidRDefault="001C4C1B" w:rsidP="001C4C1B">
      <w:pPr>
        <w:tabs>
          <w:tab w:val="left" w:pos="1840"/>
        </w:tabs>
        <w:rPr>
          <w:b/>
          <w:color w:val="365F91" w:themeColor="accent1" w:themeShade="BF"/>
        </w:rPr>
      </w:pPr>
    </w:p>
    <w:p w:rsidR="001C4C1B" w:rsidRDefault="001C4C1B" w:rsidP="001C4C1B">
      <w:pPr>
        <w:rPr>
          <w:sz w:val="22"/>
          <w:szCs w:val="22"/>
        </w:rPr>
      </w:pPr>
    </w:p>
    <w:p w:rsidR="00D04062" w:rsidRPr="001C4C1B" w:rsidRDefault="00D04062" w:rsidP="001C4C1B">
      <w:pPr>
        <w:rPr>
          <w:sz w:val="22"/>
          <w:szCs w:val="22"/>
        </w:rPr>
        <w:sectPr w:rsidR="00D04062" w:rsidRPr="001C4C1B" w:rsidSect="00F26FFF">
          <w:pgSz w:w="15840" w:h="12240" w:orient="landscape"/>
          <w:pgMar w:top="1440" w:right="1440" w:bottom="1440" w:left="1354" w:header="720" w:footer="720" w:gutter="0"/>
          <w:cols w:space="720"/>
          <w:docGrid w:linePitch="360"/>
        </w:sectPr>
      </w:pPr>
    </w:p>
    <w:p w:rsidR="00917140" w:rsidRDefault="00917140" w:rsidP="007A5771">
      <w:pPr>
        <w:tabs>
          <w:tab w:val="left" w:pos="1840"/>
        </w:tabs>
        <w:rPr>
          <w:b/>
          <w:color w:val="365F91" w:themeColor="accent1" w:themeShade="BF"/>
        </w:rPr>
      </w:pPr>
    </w:p>
    <w:p w:rsidR="00AE24A4" w:rsidRDefault="00B82826" w:rsidP="007A5771">
      <w:pPr>
        <w:tabs>
          <w:tab w:val="left" w:pos="1840"/>
        </w:tabs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4</w:t>
      </w:r>
      <w:r w:rsidR="009145D5">
        <w:rPr>
          <w:b/>
          <w:color w:val="365F91" w:themeColor="accent1" w:themeShade="BF"/>
        </w:rPr>
        <w:t xml:space="preserve">. </w:t>
      </w:r>
      <w:r w:rsidR="00AE24A4" w:rsidRPr="004E7F46">
        <w:rPr>
          <w:b/>
          <w:color w:val="365F91" w:themeColor="accent1" w:themeShade="BF"/>
        </w:rPr>
        <w:t>PAGAT DHE MËDITJET</w:t>
      </w:r>
    </w:p>
    <w:p w:rsidR="00EA42EF" w:rsidRDefault="00EA42EF" w:rsidP="007A5771">
      <w:pPr>
        <w:tabs>
          <w:tab w:val="left" w:pos="1840"/>
        </w:tabs>
        <w:rPr>
          <w:b/>
          <w:color w:val="C00000"/>
        </w:rPr>
      </w:pPr>
    </w:p>
    <w:p w:rsidR="00B86702" w:rsidRPr="00EA42EF" w:rsidRDefault="001E00DE" w:rsidP="007A5771">
      <w:pPr>
        <w:tabs>
          <w:tab w:val="left" w:pos="1840"/>
        </w:tabs>
        <w:rPr>
          <w:b/>
          <w:color w:val="C00000"/>
        </w:rPr>
      </w:pPr>
      <w:r w:rsidRPr="001E00DE">
        <w:rPr>
          <w:b/>
          <w:color w:val="C00000"/>
        </w:rPr>
        <w:t>TABELA 4.</w:t>
      </w:r>
    </w:p>
    <w:bookmarkStart w:id="14" w:name="_MON_1600171760"/>
    <w:bookmarkStart w:id="15" w:name="_MON_1632494886"/>
    <w:bookmarkEnd w:id="14"/>
    <w:bookmarkEnd w:id="15"/>
    <w:p w:rsidR="007A5771" w:rsidRDefault="009A2FAF" w:rsidP="007A5771">
      <w:pPr>
        <w:jc w:val="both"/>
        <w:rPr>
          <w:b/>
          <w:color w:val="C00000"/>
        </w:rPr>
      </w:pPr>
      <w:r w:rsidRPr="00F370EE">
        <w:rPr>
          <w:b/>
          <w:color w:val="C00000"/>
        </w:rPr>
        <w:object w:dxaOrig="9341" w:dyaOrig="3375">
          <v:shape id="_x0000_i1028" type="#_x0000_t75" style="width:466.5pt;height:168.75pt" o:ole="">
            <v:imagedata r:id="rId15" o:title=""/>
          </v:shape>
          <o:OLEObject Type="Embed" ProgID="Excel.Sheet.12" ShapeID="_x0000_i1028" DrawAspect="Content" ObjectID="_1634053665" r:id="rId16"/>
        </w:object>
      </w:r>
    </w:p>
    <w:p w:rsidR="00150FB1" w:rsidRDefault="00150FB1" w:rsidP="00BD04CA">
      <w:pPr>
        <w:rPr>
          <w:b/>
          <w:color w:val="365F91" w:themeColor="accent1" w:themeShade="BF"/>
        </w:rPr>
      </w:pPr>
    </w:p>
    <w:p w:rsidR="00F26FFF" w:rsidRDefault="00F26FFF" w:rsidP="00BD04CA">
      <w:pPr>
        <w:rPr>
          <w:b/>
          <w:color w:val="365F91" w:themeColor="accent1" w:themeShade="BF"/>
        </w:rPr>
      </w:pPr>
    </w:p>
    <w:p w:rsidR="00F26FFF" w:rsidRDefault="00F26FFF" w:rsidP="00BD04CA">
      <w:pPr>
        <w:rPr>
          <w:b/>
          <w:color w:val="365F91" w:themeColor="accent1" w:themeShade="BF"/>
        </w:rPr>
      </w:pPr>
    </w:p>
    <w:p w:rsidR="00F26FFF" w:rsidRDefault="00F26FFF" w:rsidP="00BD04CA">
      <w:pPr>
        <w:rPr>
          <w:b/>
          <w:color w:val="365F91" w:themeColor="accent1" w:themeShade="BF"/>
        </w:rPr>
      </w:pPr>
    </w:p>
    <w:p w:rsidR="00F26FFF" w:rsidRDefault="00F26FFF" w:rsidP="00BD04CA">
      <w:pPr>
        <w:rPr>
          <w:b/>
          <w:color w:val="365F91" w:themeColor="accent1" w:themeShade="BF"/>
        </w:rPr>
      </w:pPr>
    </w:p>
    <w:p w:rsidR="00F26FFF" w:rsidRDefault="00F26FFF" w:rsidP="00BD04CA">
      <w:pPr>
        <w:rPr>
          <w:b/>
          <w:color w:val="365F91" w:themeColor="accent1" w:themeShade="BF"/>
        </w:rPr>
      </w:pPr>
    </w:p>
    <w:p w:rsidR="00F26FFF" w:rsidRDefault="00F26FFF" w:rsidP="00BD04CA">
      <w:pPr>
        <w:rPr>
          <w:b/>
          <w:color w:val="365F91" w:themeColor="accent1" w:themeShade="BF"/>
        </w:rPr>
      </w:pPr>
    </w:p>
    <w:p w:rsidR="00F26FFF" w:rsidRDefault="00F26FFF" w:rsidP="00BD04CA">
      <w:pPr>
        <w:rPr>
          <w:b/>
          <w:color w:val="365F91" w:themeColor="accent1" w:themeShade="BF"/>
        </w:rPr>
      </w:pPr>
    </w:p>
    <w:p w:rsidR="00F26FFF" w:rsidRDefault="00F26FFF" w:rsidP="00BD04CA">
      <w:pPr>
        <w:rPr>
          <w:b/>
          <w:color w:val="365F91" w:themeColor="accent1" w:themeShade="BF"/>
        </w:rPr>
      </w:pPr>
    </w:p>
    <w:p w:rsidR="001C4C1B" w:rsidRDefault="001C4C1B" w:rsidP="00BD04CA">
      <w:pPr>
        <w:rPr>
          <w:b/>
          <w:color w:val="365F91" w:themeColor="accent1" w:themeShade="BF"/>
        </w:rPr>
      </w:pPr>
    </w:p>
    <w:p w:rsidR="001C4C1B" w:rsidRDefault="001C4C1B" w:rsidP="00BD04CA">
      <w:pPr>
        <w:rPr>
          <w:b/>
          <w:color w:val="365F91" w:themeColor="accent1" w:themeShade="BF"/>
        </w:rPr>
      </w:pPr>
    </w:p>
    <w:p w:rsidR="001C4C1B" w:rsidRDefault="001C4C1B" w:rsidP="00BD04CA">
      <w:pPr>
        <w:rPr>
          <w:b/>
          <w:color w:val="365F91" w:themeColor="accent1" w:themeShade="BF"/>
        </w:rPr>
      </w:pPr>
    </w:p>
    <w:p w:rsidR="001C4C1B" w:rsidRDefault="001C4C1B" w:rsidP="00BD04CA">
      <w:pPr>
        <w:rPr>
          <w:b/>
          <w:color w:val="365F91" w:themeColor="accent1" w:themeShade="BF"/>
        </w:rPr>
      </w:pPr>
    </w:p>
    <w:p w:rsidR="001C4C1B" w:rsidRDefault="001C4C1B" w:rsidP="00BD04CA">
      <w:pPr>
        <w:rPr>
          <w:b/>
          <w:color w:val="365F91" w:themeColor="accent1" w:themeShade="BF"/>
        </w:rPr>
      </w:pPr>
    </w:p>
    <w:p w:rsidR="001C4C1B" w:rsidRDefault="001C4C1B" w:rsidP="00BD04CA">
      <w:pPr>
        <w:rPr>
          <w:b/>
          <w:color w:val="365F91" w:themeColor="accent1" w:themeShade="BF"/>
        </w:rPr>
      </w:pPr>
    </w:p>
    <w:p w:rsidR="001C4C1B" w:rsidRDefault="001C4C1B" w:rsidP="00BD04CA">
      <w:pPr>
        <w:rPr>
          <w:b/>
          <w:color w:val="365F91" w:themeColor="accent1" w:themeShade="BF"/>
        </w:rPr>
      </w:pPr>
    </w:p>
    <w:p w:rsidR="001C4C1B" w:rsidRDefault="001C4C1B" w:rsidP="00BD04CA">
      <w:pPr>
        <w:rPr>
          <w:b/>
          <w:color w:val="365F91" w:themeColor="accent1" w:themeShade="BF"/>
        </w:rPr>
      </w:pPr>
    </w:p>
    <w:p w:rsidR="001C4C1B" w:rsidRDefault="001C4C1B" w:rsidP="00BD04CA">
      <w:pPr>
        <w:rPr>
          <w:b/>
          <w:color w:val="365F91" w:themeColor="accent1" w:themeShade="BF"/>
        </w:rPr>
      </w:pPr>
    </w:p>
    <w:p w:rsidR="001C4C1B" w:rsidRDefault="001C4C1B" w:rsidP="00BD04CA">
      <w:pPr>
        <w:rPr>
          <w:b/>
          <w:color w:val="365F91" w:themeColor="accent1" w:themeShade="BF"/>
        </w:rPr>
      </w:pPr>
    </w:p>
    <w:p w:rsidR="001C4C1B" w:rsidRDefault="001C4C1B" w:rsidP="00BD04CA">
      <w:pPr>
        <w:rPr>
          <w:b/>
          <w:color w:val="365F91" w:themeColor="accent1" w:themeShade="BF"/>
        </w:rPr>
      </w:pPr>
    </w:p>
    <w:p w:rsidR="001C4C1B" w:rsidRDefault="001C4C1B" w:rsidP="00BD04CA">
      <w:pPr>
        <w:rPr>
          <w:b/>
          <w:color w:val="365F91" w:themeColor="accent1" w:themeShade="BF"/>
        </w:rPr>
      </w:pPr>
    </w:p>
    <w:p w:rsidR="001C4C1B" w:rsidRDefault="001C4C1B" w:rsidP="00BD04CA">
      <w:pPr>
        <w:rPr>
          <w:b/>
          <w:color w:val="365F91" w:themeColor="accent1" w:themeShade="BF"/>
        </w:rPr>
      </w:pPr>
    </w:p>
    <w:p w:rsidR="00F26FFF" w:rsidRDefault="00F26FFF" w:rsidP="00BD04CA">
      <w:pPr>
        <w:rPr>
          <w:b/>
          <w:color w:val="365F91" w:themeColor="accent1" w:themeShade="BF"/>
        </w:rPr>
      </w:pPr>
    </w:p>
    <w:p w:rsidR="00F26FFF" w:rsidRDefault="00F26FFF" w:rsidP="00BD04CA">
      <w:pPr>
        <w:rPr>
          <w:b/>
          <w:color w:val="365F91" w:themeColor="accent1" w:themeShade="BF"/>
        </w:rPr>
      </w:pPr>
    </w:p>
    <w:p w:rsidR="00F26FFF" w:rsidRDefault="00F26FFF" w:rsidP="00BD04CA">
      <w:pPr>
        <w:rPr>
          <w:b/>
          <w:color w:val="365F91" w:themeColor="accent1" w:themeShade="BF"/>
        </w:rPr>
      </w:pPr>
    </w:p>
    <w:p w:rsidR="00F26FFF" w:rsidRDefault="00F26FFF" w:rsidP="00BD04CA">
      <w:pPr>
        <w:rPr>
          <w:b/>
          <w:color w:val="365F91" w:themeColor="accent1" w:themeShade="BF"/>
        </w:rPr>
      </w:pPr>
    </w:p>
    <w:p w:rsidR="00F26FFF" w:rsidRDefault="007A787F" w:rsidP="007A787F">
      <w:pPr>
        <w:tabs>
          <w:tab w:val="left" w:pos="2760"/>
        </w:tabs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ab/>
      </w:r>
    </w:p>
    <w:p w:rsidR="007A787F" w:rsidRDefault="007A787F" w:rsidP="007A787F">
      <w:pPr>
        <w:tabs>
          <w:tab w:val="left" w:pos="2760"/>
        </w:tabs>
        <w:rPr>
          <w:b/>
          <w:color w:val="365F91" w:themeColor="accent1" w:themeShade="BF"/>
        </w:rPr>
      </w:pPr>
    </w:p>
    <w:p w:rsidR="00107636" w:rsidRDefault="00107636" w:rsidP="007A787F">
      <w:pPr>
        <w:tabs>
          <w:tab w:val="left" w:pos="2760"/>
        </w:tabs>
        <w:rPr>
          <w:b/>
          <w:color w:val="365F91" w:themeColor="accent1" w:themeShade="BF"/>
        </w:rPr>
      </w:pPr>
    </w:p>
    <w:p w:rsidR="00107636" w:rsidRDefault="00107636" w:rsidP="007A787F">
      <w:pPr>
        <w:tabs>
          <w:tab w:val="left" w:pos="2760"/>
        </w:tabs>
        <w:rPr>
          <w:b/>
          <w:color w:val="365F91" w:themeColor="accent1" w:themeShade="BF"/>
        </w:rPr>
      </w:pPr>
    </w:p>
    <w:p w:rsidR="00A90F9D" w:rsidRDefault="00A90F9D" w:rsidP="00BD04CA">
      <w:pPr>
        <w:rPr>
          <w:b/>
          <w:color w:val="365F91" w:themeColor="accent1" w:themeShade="BF"/>
        </w:rPr>
      </w:pPr>
    </w:p>
    <w:p w:rsidR="00BD04CA" w:rsidRPr="004E7F46" w:rsidRDefault="00B82826" w:rsidP="00BD04CA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5</w:t>
      </w:r>
      <w:r w:rsidR="009145D5">
        <w:rPr>
          <w:b/>
          <w:color w:val="365F91" w:themeColor="accent1" w:themeShade="BF"/>
        </w:rPr>
        <w:t xml:space="preserve">. </w:t>
      </w:r>
      <w:r w:rsidR="00BD04CA" w:rsidRPr="004E7F46">
        <w:rPr>
          <w:b/>
          <w:color w:val="365F91" w:themeColor="accent1" w:themeShade="BF"/>
        </w:rPr>
        <w:t>PËRMBLEDHJE E MALLRAVE DHE SHËRBIMEVE</w:t>
      </w:r>
    </w:p>
    <w:p w:rsidR="00EA42EF" w:rsidRDefault="00EA42EF" w:rsidP="00BD04CA">
      <w:pPr>
        <w:rPr>
          <w:b/>
          <w:color w:val="C00000"/>
          <w:highlight w:val="yellow"/>
        </w:rPr>
      </w:pPr>
    </w:p>
    <w:p w:rsidR="004A3042" w:rsidRDefault="001E00DE" w:rsidP="00BD04CA">
      <w:pPr>
        <w:rPr>
          <w:b/>
          <w:color w:val="C00000"/>
        </w:rPr>
      </w:pPr>
      <w:r w:rsidRPr="00001FF5">
        <w:rPr>
          <w:b/>
          <w:color w:val="C00000"/>
        </w:rPr>
        <w:t>TABELA 5.</w:t>
      </w:r>
    </w:p>
    <w:tbl>
      <w:tblPr>
        <w:tblW w:w="9759" w:type="dxa"/>
        <w:tblInd w:w="93" w:type="dxa"/>
        <w:tblLook w:val="04A0"/>
      </w:tblPr>
      <w:tblGrid>
        <w:gridCol w:w="803"/>
        <w:gridCol w:w="4072"/>
        <w:gridCol w:w="1240"/>
        <w:gridCol w:w="1206"/>
        <w:gridCol w:w="1219"/>
        <w:gridCol w:w="1219"/>
      </w:tblGrid>
      <w:tr w:rsidR="004A3042" w:rsidRPr="004A3042" w:rsidTr="006159F5">
        <w:trPr>
          <w:trHeight w:val="8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9C40"/>
            <w:vAlign w:val="center"/>
            <w:hideMark/>
          </w:tcPr>
          <w:p w:rsidR="004A3042" w:rsidRPr="004A3042" w:rsidRDefault="004A3042" w:rsidP="004A3042">
            <w:pPr>
              <w:rPr>
                <w:b/>
                <w:bCs/>
                <w:color w:val="FFFFFF"/>
                <w:lang w:val="en-US"/>
              </w:rPr>
            </w:pPr>
            <w:r w:rsidRPr="004A3042">
              <w:rPr>
                <w:b/>
                <w:bCs/>
                <w:color w:val="FFFFFF" w:themeColor="background1"/>
                <w:sz w:val="22"/>
                <w:szCs w:val="22"/>
              </w:rPr>
              <w:t>KODI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E9C40"/>
            <w:noWrap/>
            <w:vAlign w:val="center"/>
            <w:hideMark/>
          </w:tcPr>
          <w:p w:rsidR="004A3042" w:rsidRPr="004A3042" w:rsidRDefault="004A3042" w:rsidP="004A3042">
            <w:pPr>
              <w:rPr>
                <w:b/>
                <w:bCs/>
                <w:color w:val="FFFFFF"/>
                <w:lang w:val="en-US"/>
              </w:rPr>
            </w:pPr>
            <w:r w:rsidRPr="004A3042">
              <w:rPr>
                <w:b/>
                <w:bCs/>
                <w:color w:val="FFFFFF" w:themeColor="background1"/>
                <w:sz w:val="22"/>
                <w:szCs w:val="22"/>
              </w:rPr>
              <w:t>Përshkrimi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E9C40"/>
            <w:vAlign w:val="center"/>
            <w:hideMark/>
          </w:tcPr>
          <w:p w:rsidR="004A3042" w:rsidRPr="004A3042" w:rsidRDefault="004A3042" w:rsidP="004A3042">
            <w:pPr>
              <w:rPr>
                <w:b/>
                <w:bCs/>
                <w:color w:val="FFFFFF"/>
                <w:lang w:val="en-US"/>
              </w:rPr>
            </w:pPr>
            <w:r w:rsidRPr="004A3042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TM3 2019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E9C40"/>
            <w:vAlign w:val="center"/>
            <w:hideMark/>
          </w:tcPr>
          <w:p w:rsidR="004A3042" w:rsidRPr="004A3042" w:rsidRDefault="004A3042" w:rsidP="004A3042">
            <w:pPr>
              <w:rPr>
                <w:b/>
                <w:bCs/>
                <w:color w:val="FFFFFF"/>
                <w:lang w:val="en-US"/>
              </w:rPr>
            </w:pPr>
            <w:r w:rsidRPr="004A3042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TM3 2018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E9C40"/>
            <w:vAlign w:val="center"/>
            <w:hideMark/>
          </w:tcPr>
          <w:p w:rsidR="004A3042" w:rsidRPr="004A3042" w:rsidRDefault="004A3042" w:rsidP="004A3042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4A3042">
              <w:rPr>
                <w:b/>
                <w:bCs/>
                <w:color w:val="FFFFFF"/>
                <w:sz w:val="22"/>
                <w:szCs w:val="22"/>
              </w:rPr>
              <w:t>Krahasimi 2019/2018 në €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9C40"/>
            <w:vAlign w:val="center"/>
            <w:hideMark/>
          </w:tcPr>
          <w:p w:rsidR="004A3042" w:rsidRPr="004A3042" w:rsidRDefault="004A3042" w:rsidP="004A3042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4A3042">
              <w:rPr>
                <w:b/>
                <w:bCs/>
                <w:color w:val="FFFFFF"/>
                <w:sz w:val="22"/>
                <w:szCs w:val="22"/>
                <w:lang w:val="en-US"/>
              </w:rPr>
              <w:t>Krahasimi 2019/2018 në %</w:t>
            </w:r>
          </w:p>
        </w:tc>
      </w:tr>
      <w:tr w:rsidR="004A3042" w:rsidRPr="004A3042" w:rsidTr="00F56A5A">
        <w:trPr>
          <w:trHeight w:val="55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13130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Shpenzimet e udhëtimit zyrtar brenda vendit (transporti i nxënësve)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14,021.74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7,209.00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6,812.74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194.50%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13133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Shpenzimet tjera të udhëtimit zyrtar brenda vendit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 644.99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366.50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278.49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175.99%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  <w:lang w:val="en-US"/>
              </w:rPr>
              <w:t>13140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Shpenz</w:t>
            </w:r>
            <w:r w:rsidR="00375BC1" w:rsidRPr="009C66DB">
              <w:rPr>
                <w:color w:val="000000" w:themeColor="text1"/>
                <w:sz w:val="22"/>
                <w:szCs w:val="22"/>
              </w:rPr>
              <w:t>imet e udhëtimeve zyrtare jashtë</w:t>
            </w:r>
            <w:r w:rsidRPr="009C66DB">
              <w:rPr>
                <w:color w:val="000000" w:themeColor="text1"/>
                <w:sz w:val="22"/>
                <w:szCs w:val="22"/>
              </w:rPr>
              <w:t xml:space="preserve"> vendit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 xml:space="preserve">      1,331.68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1,331.68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D71F1C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0.00%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13141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3A2396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Mëditjet e udhëtimit zyrtar jashtë vendit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4A3042" w:rsidRPr="004A3042">
              <w:rPr>
                <w:sz w:val="22"/>
                <w:szCs w:val="22"/>
              </w:rPr>
              <w:t xml:space="preserve">1,776.00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1,876.60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-100.60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94.64%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13142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Akomodimi i udhëtimit zyrtar jashtë vendit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4A3042" w:rsidRPr="004A3042">
              <w:rPr>
                <w:sz w:val="22"/>
                <w:szCs w:val="22"/>
              </w:rPr>
              <w:t xml:space="preserve">8,437.00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A3042" w:rsidRPr="004A3042">
              <w:rPr>
                <w:sz w:val="22"/>
                <w:szCs w:val="22"/>
              </w:rPr>
              <w:t xml:space="preserve">2,550.50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5,886.50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330.80%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  <w:lang w:val="en-US"/>
              </w:rPr>
              <w:t>13143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375BC1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Shpenzime tjera të udhëtimit zyrtar jashtë</w:t>
            </w:r>
            <w:r w:rsidR="004A3042" w:rsidRPr="009C66DB">
              <w:rPr>
                <w:color w:val="000000" w:themeColor="text1"/>
                <w:sz w:val="22"/>
                <w:szCs w:val="22"/>
              </w:rPr>
              <w:t xml:space="preserve"> vendit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 xml:space="preserve">      1,502.30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1,502.30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D71F1C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0.00%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13310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Shpenzimet për internet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042" w:rsidRPr="004A3042">
              <w:rPr>
                <w:sz w:val="22"/>
                <w:szCs w:val="22"/>
              </w:rPr>
              <w:t xml:space="preserve">976.85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608.00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368.85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160.67%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13320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Shpenzimet e telefonisë mobile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4,308.71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A3042" w:rsidRPr="004A3042">
              <w:rPr>
                <w:sz w:val="22"/>
                <w:szCs w:val="22"/>
              </w:rPr>
              <w:t xml:space="preserve">5,818.16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-1,509.45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74.06%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13330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Shpenzimet postare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62.50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1,474.78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-1,412.28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4.24%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13430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Shpenzimet e ndryshme shëndetësore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2,095.28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127.84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1,967.44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1638.99%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  <w:lang w:val="en-US"/>
              </w:rPr>
              <w:t>13440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375BC1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Shërbime të</w:t>
            </w:r>
            <w:r w:rsidR="004A3042" w:rsidRPr="009C66DB">
              <w:rPr>
                <w:color w:val="000000" w:themeColor="text1"/>
                <w:sz w:val="22"/>
                <w:szCs w:val="22"/>
              </w:rPr>
              <w:t xml:space="preserve"> ndry</w:t>
            </w:r>
            <w:r w:rsidRPr="009C66DB">
              <w:rPr>
                <w:color w:val="000000" w:themeColor="text1"/>
                <w:sz w:val="22"/>
                <w:szCs w:val="22"/>
              </w:rPr>
              <w:t xml:space="preserve">shme intelektuale dhe </w:t>
            </w:r>
            <w:r w:rsidR="009C66DB">
              <w:rPr>
                <w:color w:val="000000" w:themeColor="text1"/>
                <w:sz w:val="22"/>
                <w:szCs w:val="22"/>
              </w:rPr>
              <w:t>këshillëdhënëse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 xml:space="preserve">        450.00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450.00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D71F1C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0.00%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13460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Shërbimet kontraktuese tjera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35,929.78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A3042" w:rsidRPr="004A3042">
              <w:rPr>
                <w:sz w:val="22"/>
                <w:szCs w:val="22"/>
              </w:rPr>
              <w:t xml:space="preserve">48,051.28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-12,121.50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74.77%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13470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Shërbimet teknike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1,380.25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1,380.25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D71F1C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0.00%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13480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Shpenzimet për anëtarësim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1,930.30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940.30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990.00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205.29%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13490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Shërbimet e varrimit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A3042" w:rsidRPr="004A3042">
              <w:rPr>
                <w:sz w:val="22"/>
                <w:szCs w:val="22"/>
              </w:rPr>
              <w:t xml:space="preserve">8,330.00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7,480.00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850.00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111.36%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13501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Mobilje (më pak se 1000 euro)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1,957.00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1,218.00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739.00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160.67%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  <w:lang w:val="en-US"/>
              </w:rPr>
              <w:t>13502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Makina fot</w:t>
            </w:r>
            <w:r w:rsidR="00D07901" w:rsidRPr="009C66DB">
              <w:rPr>
                <w:color w:val="000000" w:themeColor="text1"/>
                <w:sz w:val="22"/>
                <w:szCs w:val="22"/>
              </w:rPr>
              <w:t>o</w:t>
            </w:r>
            <w:r w:rsidRPr="009C66DB">
              <w:rPr>
                <w:color w:val="000000" w:themeColor="text1"/>
                <w:sz w:val="22"/>
                <w:szCs w:val="22"/>
              </w:rPr>
              <w:t>kopjuese (më pak se 1000 euro)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</w:t>
            </w:r>
            <w:r w:rsidR="004A3042" w:rsidRPr="004A3042">
              <w:rPr>
                <w:sz w:val="22"/>
                <w:szCs w:val="22"/>
                <w:lang w:val="en-US"/>
              </w:rPr>
              <w:t xml:space="preserve">919.00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919.00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D71F1C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0.00%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13503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Kompjuter (më pak se 1000 euro)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        -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148.00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-148.00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0.00%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13509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Pajisje tjera (më pak se 1000 euro)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A3042" w:rsidRPr="004A3042">
              <w:rPr>
                <w:sz w:val="22"/>
                <w:szCs w:val="22"/>
              </w:rPr>
              <w:t xml:space="preserve">890.50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530.00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360.50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168.02%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13510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Blerja e librave dhe veprave artistike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        -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240.00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-240.00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0.00%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13610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Furnizime për zyre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A3042" w:rsidRPr="004A3042">
              <w:rPr>
                <w:sz w:val="22"/>
                <w:szCs w:val="22"/>
              </w:rPr>
              <w:t xml:space="preserve">6,934.80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4,863.80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2,071.00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142.58%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13620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Furnizime me ushqim dhe pije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16,161.33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9,686.55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6,474.78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166.84%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13630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Furnizime mjekësore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4,448.99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3,735.20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713.79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119.11%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13640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Furnizime pastrimi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3,206.40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1,664.64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1,541.76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192.62%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13770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Derivate për gjenerator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        -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220.87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-220.87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0.00%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13780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Karburante për vetura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073E64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8,600.62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073E64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4A3042" w:rsidRPr="004A3042">
              <w:rPr>
                <w:sz w:val="22"/>
                <w:szCs w:val="22"/>
              </w:rPr>
              <w:t xml:space="preserve">11,177.11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-2,576.49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76.95%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  <w:lang w:val="en-US"/>
              </w:rPr>
              <w:t>13810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375BC1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Avanc për para të imtë</w:t>
            </w:r>
            <w:r w:rsidR="004A3042" w:rsidRPr="009C66DB">
              <w:rPr>
                <w:color w:val="000000" w:themeColor="text1"/>
                <w:sz w:val="22"/>
                <w:szCs w:val="22"/>
              </w:rPr>
              <w:t xml:space="preserve"> (pety cash)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D07901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 w:rsidR="004A3042" w:rsidRPr="004A3042">
              <w:rPr>
                <w:sz w:val="22"/>
                <w:szCs w:val="22"/>
                <w:lang w:val="en-US"/>
              </w:rPr>
              <w:t xml:space="preserve">1,648.70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D07901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1,648.70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D71F1C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0.00%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  <w:lang w:val="en-US"/>
              </w:rPr>
              <w:t>13820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375BC1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Avanc pë</w:t>
            </w:r>
            <w:r w:rsidR="004A3042" w:rsidRPr="009C66DB">
              <w:rPr>
                <w:color w:val="000000" w:themeColor="text1"/>
                <w:sz w:val="22"/>
                <w:szCs w:val="22"/>
              </w:rPr>
              <w:t>r ud</w:t>
            </w:r>
            <w:r w:rsidRPr="009C66DB">
              <w:rPr>
                <w:color w:val="000000" w:themeColor="text1"/>
                <w:sz w:val="22"/>
                <w:szCs w:val="22"/>
              </w:rPr>
              <w:t>hë</w:t>
            </w:r>
            <w:r w:rsidR="004A3042" w:rsidRPr="009C66DB">
              <w:rPr>
                <w:color w:val="000000" w:themeColor="text1"/>
                <w:sz w:val="22"/>
                <w:szCs w:val="22"/>
              </w:rPr>
              <w:t>time zyrtare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D07901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  <w:r w:rsidR="004A3042" w:rsidRPr="004A3042">
              <w:rPr>
                <w:sz w:val="22"/>
                <w:szCs w:val="22"/>
                <w:lang w:val="en-US"/>
              </w:rPr>
              <w:t xml:space="preserve">78.48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D07901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78.48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D71F1C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0.00%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13917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Provizioni bankar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D07901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A3042" w:rsidRPr="004A3042">
              <w:rPr>
                <w:sz w:val="22"/>
                <w:szCs w:val="22"/>
              </w:rPr>
              <w:t xml:space="preserve">84.00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D07901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84.00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D71F1C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0.00%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13950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Regjistrimi dhe sigurimi i automjeteve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D07901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4,426.02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D07901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2,730.42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1,695.60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162.10%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14010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Mirëmbajtja dhe riparimi i automjeteve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D07901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4,827.09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D07901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6,062.78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-1,235.69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79.62%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14020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Mirëmbajtja e ndërtesave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D07901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A3042" w:rsidRPr="004A3042">
              <w:rPr>
                <w:sz w:val="22"/>
                <w:szCs w:val="22"/>
              </w:rPr>
              <w:t xml:space="preserve">3,526.00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D07901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996.50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2,529.50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353.84%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lastRenderedPageBreak/>
              <w:t>14023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Mirëmbajtja e shkollave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D07901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704.97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D07901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751.50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-46.53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93.81%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14024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Mirëmbajtja e objekteve shëndetësore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4A3042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4A3042" w:rsidRPr="004A3042">
              <w:rPr>
                <w:sz w:val="22"/>
                <w:szCs w:val="22"/>
              </w:rPr>
              <w:t xml:space="preserve">199.50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313.00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-113.50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63.74%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14032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Mirëmbajtja e auto rrugëve lokale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4A3042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4A3042" w:rsidRPr="004A3042">
              <w:rPr>
                <w:sz w:val="22"/>
                <w:szCs w:val="22"/>
              </w:rPr>
              <w:t xml:space="preserve">10,458.50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4A3042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A3042" w:rsidRPr="004A3042">
              <w:rPr>
                <w:sz w:val="22"/>
                <w:szCs w:val="22"/>
              </w:rPr>
              <w:t xml:space="preserve">7,773.90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2,684.60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134.53%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  <w:lang w:val="en-US"/>
              </w:rPr>
              <w:t>14140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Qiraja-makineria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4A3042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</w:t>
            </w:r>
            <w:r w:rsidR="004A3042" w:rsidRPr="004A3042">
              <w:rPr>
                <w:sz w:val="22"/>
                <w:szCs w:val="22"/>
                <w:lang w:val="en-US"/>
              </w:rPr>
              <w:t xml:space="preserve">1,976.00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1,976.00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D71F1C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0.00%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14210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Reklamat dhe konkurset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4A3042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4A3042" w:rsidRPr="004A3042">
              <w:rPr>
                <w:sz w:val="22"/>
                <w:szCs w:val="22"/>
              </w:rPr>
              <w:t xml:space="preserve">295.00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400.00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-105.00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73.75%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14220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Botimet e publikimeve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4A3042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A3042" w:rsidRPr="004A3042">
              <w:rPr>
                <w:sz w:val="22"/>
                <w:szCs w:val="22"/>
              </w:rPr>
              <w:t xml:space="preserve">2,603.95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480.00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2,123.95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542.49%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14230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Drekat zyrtare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4A3042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4A3042" w:rsidRPr="004A3042">
              <w:rPr>
                <w:sz w:val="22"/>
                <w:szCs w:val="22"/>
              </w:rPr>
              <w:t xml:space="preserve">7,912.70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4A3042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A3042" w:rsidRPr="004A3042">
              <w:rPr>
                <w:sz w:val="22"/>
                <w:szCs w:val="22"/>
              </w:rPr>
              <w:t xml:space="preserve">2,720.10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5,192.60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290.90%</w:t>
            </w:r>
          </w:p>
        </w:tc>
      </w:tr>
      <w:tr w:rsidR="004A3042" w:rsidRPr="004A3042" w:rsidTr="00F56A5A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4A3042" w:rsidRPr="00F56A5A" w:rsidRDefault="004A3042" w:rsidP="004A3042">
            <w:pPr>
              <w:jc w:val="right"/>
              <w:rPr>
                <w:color w:val="000000" w:themeColor="text1"/>
                <w:lang w:val="en-US"/>
              </w:rPr>
            </w:pPr>
            <w:r w:rsidRPr="00F56A5A">
              <w:rPr>
                <w:color w:val="000000" w:themeColor="text1"/>
                <w:sz w:val="22"/>
                <w:szCs w:val="22"/>
              </w:rPr>
              <w:t>14410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A3042" w:rsidRPr="009C66DB" w:rsidRDefault="004A3042" w:rsidP="004A3042">
            <w:pPr>
              <w:rPr>
                <w:color w:val="000000" w:themeColor="text1"/>
              </w:rPr>
            </w:pPr>
            <w:r w:rsidRPr="009C66DB">
              <w:rPr>
                <w:color w:val="000000" w:themeColor="text1"/>
                <w:sz w:val="22"/>
                <w:szCs w:val="22"/>
              </w:rPr>
              <w:t>Shpenzime-vendimet e gjykatave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073E64" w:rsidP="004A3042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A3042" w:rsidRPr="004A3042">
              <w:rPr>
                <w:sz w:val="22"/>
                <w:szCs w:val="22"/>
              </w:rPr>
              <w:t xml:space="preserve">4,611.65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</w:rPr>
              <w:t>4,611.65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42" w:rsidRPr="004A3042" w:rsidRDefault="00D71F1C" w:rsidP="00D71F1C">
            <w:pPr>
              <w:jc w:val="right"/>
              <w:rPr>
                <w:lang w:val="en-US"/>
              </w:rPr>
            </w:pPr>
            <w:r w:rsidRPr="004A3042">
              <w:rPr>
                <w:sz w:val="22"/>
                <w:szCs w:val="22"/>
                <w:lang w:val="en-US"/>
              </w:rPr>
              <w:t>0.00%</w:t>
            </w:r>
          </w:p>
        </w:tc>
      </w:tr>
      <w:tr w:rsidR="004A3042" w:rsidRPr="004A3042" w:rsidTr="006159F5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b/>
                <w:bCs/>
                <w:lang w:val="en-US"/>
              </w:rPr>
            </w:pPr>
            <w:r w:rsidRPr="004A3042">
              <w:rPr>
                <w:b/>
                <w:bCs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bottom"/>
            <w:hideMark/>
          </w:tcPr>
          <w:p w:rsidR="004A3042" w:rsidRPr="004A3042" w:rsidRDefault="004A3042" w:rsidP="004A3042">
            <w:pPr>
              <w:rPr>
                <w:b/>
                <w:bCs/>
                <w:lang w:val="en-US"/>
              </w:rPr>
            </w:pPr>
            <w:r w:rsidRPr="004A3042">
              <w:rPr>
                <w:b/>
                <w:bCs/>
                <w:sz w:val="22"/>
                <w:szCs w:val="22"/>
              </w:rPr>
              <w:t>Totali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b/>
                <w:bCs/>
                <w:lang w:val="en-US"/>
              </w:rPr>
            </w:pPr>
            <w:r w:rsidRPr="004A3042">
              <w:rPr>
                <w:b/>
                <w:bCs/>
                <w:sz w:val="22"/>
                <w:szCs w:val="22"/>
                <w:lang w:val="en-US"/>
              </w:rPr>
              <w:t>169,648.58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b/>
                <w:bCs/>
                <w:lang w:val="en-US"/>
              </w:rPr>
            </w:pPr>
            <w:r w:rsidRPr="004A3042">
              <w:rPr>
                <w:b/>
                <w:bCs/>
                <w:sz w:val="22"/>
                <w:szCs w:val="22"/>
                <w:lang w:val="en-US"/>
              </w:rPr>
              <w:t>132,215.33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A3042" w:rsidRPr="004A3042" w:rsidRDefault="004A3042" w:rsidP="004A3042">
            <w:pPr>
              <w:jc w:val="right"/>
              <w:rPr>
                <w:b/>
                <w:bCs/>
                <w:lang w:val="en-US"/>
              </w:rPr>
            </w:pPr>
            <w:r w:rsidRPr="004A3042">
              <w:rPr>
                <w:b/>
                <w:bCs/>
                <w:sz w:val="22"/>
                <w:szCs w:val="22"/>
                <w:lang w:val="en-US"/>
              </w:rPr>
              <w:t>37,433.25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A3042" w:rsidRPr="004A3042" w:rsidRDefault="004A3042" w:rsidP="00D71F1C">
            <w:pPr>
              <w:jc w:val="right"/>
              <w:rPr>
                <w:b/>
                <w:bCs/>
                <w:lang w:val="en-US"/>
              </w:rPr>
            </w:pPr>
            <w:r w:rsidRPr="004A3042">
              <w:rPr>
                <w:b/>
                <w:bCs/>
                <w:sz w:val="22"/>
                <w:szCs w:val="22"/>
                <w:lang w:val="en-US"/>
              </w:rPr>
              <w:t>128.31%</w:t>
            </w:r>
          </w:p>
        </w:tc>
      </w:tr>
    </w:tbl>
    <w:p w:rsidR="004A3042" w:rsidRDefault="004A3042" w:rsidP="00BD04CA">
      <w:pPr>
        <w:rPr>
          <w:b/>
          <w:color w:val="C00000"/>
        </w:rPr>
      </w:pPr>
    </w:p>
    <w:p w:rsidR="004A3042" w:rsidRDefault="004A3042" w:rsidP="00BD04CA">
      <w:pPr>
        <w:rPr>
          <w:b/>
          <w:color w:val="C00000"/>
        </w:rPr>
      </w:pPr>
    </w:p>
    <w:p w:rsidR="004A3042" w:rsidRDefault="004A3042" w:rsidP="00BD04CA">
      <w:pPr>
        <w:rPr>
          <w:b/>
          <w:color w:val="C00000"/>
        </w:rPr>
      </w:pPr>
    </w:p>
    <w:p w:rsidR="004A3042" w:rsidRDefault="004A3042" w:rsidP="00BD04CA">
      <w:pPr>
        <w:rPr>
          <w:b/>
          <w:color w:val="C00000"/>
        </w:rPr>
      </w:pPr>
    </w:p>
    <w:p w:rsidR="004A3042" w:rsidRDefault="004A3042" w:rsidP="00BD04CA">
      <w:pPr>
        <w:rPr>
          <w:b/>
          <w:color w:val="C00000"/>
        </w:rPr>
      </w:pPr>
    </w:p>
    <w:p w:rsidR="004A3042" w:rsidRDefault="004A3042" w:rsidP="00BD04CA">
      <w:pPr>
        <w:rPr>
          <w:b/>
          <w:color w:val="C00000"/>
        </w:rPr>
      </w:pPr>
    </w:p>
    <w:p w:rsidR="004A3042" w:rsidRDefault="004A3042" w:rsidP="00BD04CA">
      <w:pPr>
        <w:rPr>
          <w:b/>
          <w:color w:val="C00000"/>
        </w:rPr>
      </w:pPr>
    </w:p>
    <w:p w:rsidR="004A3042" w:rsidRDefault="004A3042" w:rsidP="00BD04CA">
      <w:pPr>
        <w:rPr>
          <w:b/>
          <w:color w:val="C00000"/>
        </w:rPr>
      </w:pPr>
    </w:p>
    <w:p w:rsidR="004A3042" w:rsidRDefault="004A3042" w:rsidP="00BD04CA">
      <w:pPr>
        <w:rPr>
          <w:b/>
          <w:color w:val="C00000"/>
        </w:rPr>
      </w:pPr>
    </w:p>
    <w:p w:rsidR="004A3042" w:rsidRDefault="004A3042" w:rsidP="00BD04CA">
      <w:pPr>
        <w:rPr>
          <w:b/>
          <w:color w:val="C00000"/>
        </w:rPr>
      </w:pPr>
    </w:p>
    <w:p w:rsidR="004A3042" w:rsidRDefault="004A3042" w:rsidP="00BD04CA">
      <w:pPr>
        <w:rPr>
          <w:b/>
          <w:color w:val="C00000"/>
        </w:rPr>
      </w:pPr>
    </w:p>
    <w:p w:rsidR="004A3042" w:rsidRDefault="004A3042" w:rsidP="00BD04CA">
      <w:pPr>
        <w:rPr>
          <w:b/>
          <w:color w:val="C00000"/>
        </w:rPr>
      </w:pPr>
    </w:p>
    <w:p w:rsidR="004A3042" w:rsidRDefault="004A3042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D07901" w:rsidRDefault="00D07901" w:rsidP="00BD04CA">
      <w:pPr>
        <w:rPr>
          <w:b/>
          <w:color w:val="C00000"/>
        </w:rPr>
      </w:pPr>
    </w:p>
    <w:p w:rsidR="004A3042" w:rsidRDefault="004A3042" w:rsidP="00BD04CA">
      <w:pPr>
        <w:rPr>
          <w:b/>
          <w:color w:val="C00000"/>
        </w:rPr>
      </w:pPr>
    </w:p>
    <w:p w:rsidR="00D07901" w:rsidRPr="001E00DE" w:rsidRDefault="00D07901" w:rsidP="00BD04CA">
      <w:pPr>
        <w:rPr>
          <w:b/>
          <w:color w:val="C00000"/>
        </w:rPr>
      </w:pPr>
    </w:p>
    <w:p w:rsidR="00BD04CA" w:rsidRPr="00B82826" w:rsidRDefault="00B82826" w:rsidP="00BD04CA">
      <w:pPr>
        <w:rPr>
          <w:b/>
          <w:color w:val="365F91" w:themeColor="accent1" w:themeShade="BF"/>
        </w:rPr>
      </w:pPr>
      <w:r w:rsidRPr="009D4C53">
        <w:rPr>
          <w:b/>
          <w:color w:val="365F91" w:themeColor="accent1" w:themeShade="BF"/>
        </w:rPr>
        <w:lastRenderedPageBreak/>
        <w:t xml:space="preserve">5.1. </w:t>
      </w:r>
      <w:r w:rsidR="00D92A1F" w:rsidRPr="009D4C53">
        <w:rPr>
          <w:b/>
          <w:color w:val="365F91" w:themeColor="accent1" w:themeShade="BF"/>
        </w:rPr>
        <w:t xml:space="preserve"> </w:t>
      </w:r>
      <w:r w:rsidR="00BD04CA" w:rsidRPr="009D4C53">
        <w:rPr>
          <w:b/>
          <w:color w:val="365F91" w:themeColor="accent1" w:themeShade="BF"/>
        </w:rPr>
        <w:t>SHPJEGIME NË KATEGORINË MALLRA DHE SHËRBIME</w:t>
      </w:r>
    </w:p>
    <w:p w:rsidR="00BD04CA" w:rsidRPr="00951097" w:rsidRDefault="00BD04CA" w:rsidP="00BD04CA">
      <w:pPr>
        <w:jc w:val="both"/>
        <w:rPr>
          <w:u w:val="single"/>
        </w:rPr>
      </w:pPr>
    </w:p>
    <w:p w:rsidR="00B06395" w:rsidRDefault="00B06395" w:rsidP="00B06395">
      <w:pPr>
        <w:jc w:val="both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u w:val="single"/>
          <w:shd w:val="clear" w:color="auto" w:fill="FFFFFF"/>
        </w:rPr>
        <w:t>13130-Shpenzimet e udhëtimit zyrtar brenda vendit</w:t>
      </w:r>
    </w:p>
    <w:p w:rsidR="00B06395" w:rsidRDefault="00B06395" w:rsidP="00B06395">
      <w:pPr>
        <w:jc w:val="both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 </w:t>
      </w:r>
    </w:p>
    <w:p w:rsidR="00B06395" w:rsidRPr="00CF7912" w:rsidRDefault="00B06395" w:rsidP="00B06395">
      <w:pPr>
        <w:jc w:val="both"/>
        <w:rPr>
          <w:bCs/>
          <w:shd w:val="clear" w:color="auto" w:fill="FFFFFF"/>
        </w:rPr>
      </w:pPr>
      <w:r w:rsidRPr="00CF7912">
        <w:rPr>
          <w:bCs/>
          <w:shd w:val="clear" w:color="auto" w:fill="FFFFFF"/>
        </w:rPr>
        <w:t>Kanë të bëjnë me shpenzimet e transportit të nxënësve për realicionin Hani i Elezit-Krivenik-anasjelltas dhe Hani i Elezit – Kashan - Uji i Thar</w:t>
      </w:r>
      <w:r w:rsidR="003A2396">
        <w:rPr>
          <w:bCs/>
          <w:shd w:val="clear" w:color="auto" w:fill="FFFFFF"/>
        </w:rPr>
        <w:t>të – anasjelltas në shumë prej 5,202.85 € për periudhën janar-qershor</w:t>
      </w:r>
      <w:r w:rsidRPr="00CF7912">
        <w:rPr>
          <w:bCs/>
          <w:shd w:val="clear" w:color="auto" w:fill="FFFFFF"/>
        </w:rPr>
        <w:t xml:space="preserve"> 2019</w:t>
      </w:r>
      <w:r>
        <w:rPr>
          <w:bCs/>
          <w:shd w:val="clear" w:color="auto" w:fill="FFFFFF"/>
        </w:rPr>
        <w:t xml:space="preserve">, pastaj </w:t>
      </w:r>
      <w:r w:rsidRPr="00CF7912">
        <w:rPr>
          <w:bCs/>
          <w:shd w:val="clear" w:color="auto" w:fill="FFFFFF"/>
        </w:rPr>
        <w:t>transporti i nxënësve për realicionin Hani i Elezit - Kaçanik</w:t>
      </w:r>
      <w:r w:rsidR="003A2396">
        <w:rPr>
          <w:bCs/>
          <w:shd w:val="clear" w:color="auto" w:fill="FFFFFF"/>
        </w:rPr>
        <w:t xml:space="preserve"> dhe anasjelltas në shumë prej 7</w:t>
      </w:r>
      <w:r w:rsidRPr="00CF7912">
        <w:rPr>
          <w:bCs/>
          <w:shd w:val="clear" w:color="auto" w:fill="FFFFFF"/>
        </w:rPr>
        <w:t>,</w:t>
      </w:r>
      <w:r w:rsidR="003A2396">
        <w:rPr>
          <w:bCs/>
          <w:shd w:val="clear" w:color="auto" w:fill="FFFFFF"/>
        </w:rPr>
        <w:t>912.89</w:t>
      </w:r>
      <w:r w:rsidRPr="00CF7912">
        <w:rPr>
          <w:bCs/>
          <w:shd w:val="clear" w:color="auto" w:fill="FFFFFF"/>
        </w:rPr>
        <w:t xml:space="preserve"> € për periudhën janar-</w:t>
      </w:r>
      <w:r w:rsidR="003A2396">
        <w:rPr>
          <w:bCs/>
          <w:shd w:val="clear" w:color="auto" w:fill="FFFFFF"/>
        </w:rPr>
        <w:t>qershor</w:t>
      </w:r>
      <w:r w:rsidRPr="00CF7912">
        <w:rPr>
          <w:bCs/>
          <w:shd w:val="clear" w:color="auto" w:fill="FFFFFF"/>
        </w:rPr>
        <w:t xml:space="preserve"> 2019</w:t>
      </w:r>
      <w:r>
        <w:rPr>
          <w:bCs/>
          <w:shd w:val="clear" w:color="auto" w:fill="FFFFFF"/>
        </w:rPr>
        <w:t xml:space="preserve"> si dhe borxh i vitit 2018 në shumë prej 906.00 €.</w:t>
      </w:r>
    </w:p>
    <w:p w:rsidR="00B06395" w:rsidRDefault="00B06395" w:rsidP="00B06395">
      <w:pPr>
        <w:jc w:val="both"/>
        <w:rPr>
          <w:bCs/>
          <w:color w:val="222222"/>
          <w:shd w:val="clear" w:color="auto" w:fill="FFFFFF"/>
        </w:rPr>
      </w:pPr>
    </w:p>
    <w:p w:rsidR="00E95207" w:rsidRPr="00E95207" w:rsidRDefault="00E95207" w:rsidP="00B06395">
      <w:pPr>
        <w:jc w:val="both"/>
        <w:rPr>
          <w:b/>
          <w:bCs/>
          <w:color w:val="222222"/>
          <w:u w:val="single"/>
          <w:shd w:val="clear" w:color="auto" w:fill="FFFFFF"/>
        </w:rPr>
      </w:pPr>
      <w:r w:rsidRPr="00E95207">
        <w:rPr>
          <w:b/>
          <w:bCs/>
          <w:color w:val="222222"/>
          <w:u w:val="single"/>
          <w:shd w:val="clear" w:color="auto" w:fill="FFFFFF"/>
        </w:rPr>
        <w:t xml:space="preserve">13133 - </w:t>
      </w:r>
      <w:r w:rsidRPr="00E95207">
        <w:rPr>
          <w:b/>
          <w:color w:val="000000" w:themeColor="text1"/>
          <w:sz w:val="22"/>
          <w:szCs w:val="22"/>
          <w:u w:val="single"/>
        </w:rPr>
        <w:t>Shpenzimet tjera të udhëtimit zyrtar brenda vendit</w:t>
      </w:r>
    </w:p>
    <w:p w:rsidR="00E95207" w:rsidRDefault="00E95207" w:rsidP="00B06395">
      <w:pPr>
        <w:jc w:val="both"/>
        <w:rPr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>Kanë të bëjë me shpenzimet e transportit nëpër Kosovë të nxënësve më të mirë SHFMU Kështjella e Diturisë-Paldenicë</w:t>
      </w:r>
      <w:r w:rsidR="001C5AC3">
        <w:rPr>
          <w:bCs/>
          <w:color w:val="222222"/>
          <w:shd w:val="clear" w:color="auto" w:fill="FFFFFF"/>
        </w:rPr>
        <w:t xml:space="preserve"> në shumë prej 644.99 €. Këto mjete kanë qenë nga fondi i huamarrjes për arsim.</w:t>
      </w:r>
    </w:p>
    <w:p w:rsidR="001C5AC3" w:rsidRDefault="001C5AC3" w:rsidP="00B06395">
      <w:pPr>
        <w:jc w:val="both"/>
        <w:rPr>
          <w:bCs/>
          <w:color w:val="222222"/>
          <w:shd w:val="clear" w:color="auto" w:fill="FFFFFF"/>
        </w:rPr>
      </w:pPr>
    </w:p>
    <w:p w:rsidR="00D209E9" w:rsidRPr="00D209E9" w:rsidRDefault="00D209E9" w:rsidP="00B06395">
      <w:pPr>
        <w:jc w:val="both"/>
        <w:rPr>
          <w:b/>
          <w:bCs/>
          <w:color w:val="222222"/>
          <w:u w:val="single"/>
          <w:shd w:val="clear" w:color="auto" w:fill="FFFFFF"/>
        </w:rPr>
      </w:pPr>
      <w:r w:rsidRPr="00D209E9">
        <w:rPr>
          <w:b/>
          <w:bCs/>
          <w:color w:val="222222"/>
          <w:u w:val="single"/>
          <w:shd w:val="clear" w:color="auto" w:fill="FFFFFF"/>
        </w:rPr>
        <w:t>13140 - Shpenzimet e udhëtimit</w:t>
      </w:r>
      <w:r w:rsidR="00CC55DF">
        <w:rPr>
          <w:b/>
          <w:bCs/>
          <w:color w:val="222222"/>
          <w:u w:val="single"/>
          <w:shd w:val="clear" w:color="auto" w:fill="FFFFFF"/>
        </w:rPr>
        <w:t xml:space="preserve"> zyrtar jashtë</w:t>
      </w:r>
      <w:r w:rsidRPr="00D209E9">
        <w:rPr>
          <w:b/>
          <w:bCs/>
          <w:color w:val="222222"/>
          <w:u w:val="single"/>
          <w:shd w:val="clear" w:color="auto" w:fill="FFFFFF"/>
        </w:rPr>
        <w:t xml:space="preserve"> vendit</w:t>
      </w:r>
    </w:p>
    <w:p w:rsidR="00D209E9" w:rsidRDefault="00D209E9" w:rsidP="00B06395">
      <w:pPr>
        <w:jc w:val="both"/>
        <w:rPr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 xml:space="preserve">Kanë të bëjë me shpenzimet e udhëtimit </w:t>
      </w:r>
      <w:r w:rsidR="008365FD">
        <w:rPr>
          <w:bCs/>
          <w:color w:val="222222"/>
          <w:shd w:val="clear" w:color="auto" w:fill="FFFFFF"/>
        </w:rPr>
        <w:t>jashtë</w:t>
      </w:r>
      <w:r>
        <w:rPr>
          <w:bCs/>
          <w:color w:val="222222"/>
          <w:shd w:val="clear" w:color="auto" w:fill="FFFFFF"/>
        </w:rPr>
        <w:t xml:space="preserve"> vendit (biletat) në Gjermani të 5 nxënësve dhe një arsimtari, </w:t>
      </w:r>
      <w:r w:rsidR="008365FD">
        <w:rPr>
          <w:bCs/>
          <w:color w:val="222222"/>
          <w:shd w:val="clear" w:color="auto" w:fill="FFFFFF"/>
        </w:rPr>
        <w:t>në shumë prej 1,331.68 €.</w:t>
      </w:r>
    </w:p>
    <w:p w:rsidR="00D209E9" w:rsidRDefault="00D209E9" w:rsidP="00B06395">
      <w:pPr>
        <w:jc w:val="both"/>
        <w:rPr>
          <w:bCs/>
          <w:color w:val="222222"/>
          <w:shd w:val="clear" w:color="auto" w:fill="FFFFFF"/>
        </w:rPr>
      </w:pPr>
    </w:p>
    <w:p w:rsidR="00B06395" w:rsidRPr="00721A02" w:rsidRDefault="00B06395" w:rsidP="00B06395">
      <w:pPr>
        <w:jc w:val="both"/>
        <w:rPr>
          <w:b/>
          <w:bCs/>
          <w:color w:val="222222"/>
          <w:u w:val="single"/>
          <w:shd w:val="clear" w:color="auto" w:fill="FFFFFF"/>
        </w:rPr>
      </w:pPr>
      <w:r w:rsidRPr="00721A02">
        <w:rPr>
          <w:b/>
          <w:bCs/>
          <w:color w:val="222222"/>
          <w:u w:val="single"/>
          <w:shd w:val="clear" w:color="auto" w:fill="FFFFFF"/>
        </w:rPr>
        <w:t>13141-Mëditjet e udhëtimit zyrtar jashtë vendit</w:t>
      </w:r>
    </w:p>
    <w:p w:rsidR="00221CA0" w:rsidRDefault="00B06395" w:rsidP="00B06395">
      <w:pPr>
        <w:jc w:val="both"/>
        <w:rPr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>Ka</w:t>
      </w:r>
      <w:r w:rsidR="00E95207">
        <w:rPr>
          <w:bCs/>
          <w:color w:val="222222"/>
          <w:shd w:val="clear" w:color="auto" w:fill="FFFFFF"/>
        </w:rPr>
        <w:t>në</w:t>
      </w:r>
      <w:r>
        <w:rPr>
          <w:bCs/>
          <w:color w:val="222222"/>
          <w:shd w:val="clear" w:color="auto" w:fill="FFFFFF"/>
        </w:rPr>
        <w:t xml:space="preserve"> të bëjë me mëditjet e udhëtimeve zyrtare jashtë vendit</w:t>
      </w:r>
      <w:r w:rsidR="00221CA0">
        <w:rPr>
          <w:bCs/>
          <w:color w:val="222222"/>
          <w:shd w:val="clear" w:color="auto" w:fill="FFFFFF"/>
        </w:rPr>
        <w:t xml:space="preserve"> si</w:t>
      </w:r>
      <w:r w:rsidR="00631C85">
        <w:rPr>
          <w:bCs/>
          <w:color w:val="222222"/>
          <w:shd w:val="clear" w:color="auto" w:fill="FFFFFF"/>
        </w:rPr>
        <w:t xml:space="preserve"> në</w:t>
      </w:r>
      <w:r w:rsidR="00221CA0">
        <w:rPr>
          <w:bCs/>
          <w:color w:val="222222"/>
          <w:shd w:val="clear" w:color="auto" w:fill="FFFFFF"/>
        </w:rPr>
        <w:t xml:space="preserve">: Shqipëri, </w:t>
      </w:r>
      <w:r w:rsidR="001B0789">
        <w:rPr>
          <w:bCs/>
          <w:color w:val="222222"/>
          <w:shd w:val="clear" w:color="auto" w:fill="FFFFFF"/>
        </w:rPr>
        <w:t>Kroaci</w:t>
      </w:r>
      <w:r w:rsidR="00221CA0">
        <w:rPr>
          <w:bCs/>
          <w:color w:val="222222"/>
          <w:shd w:val="clear" w:color="auto" w:fill="FFFFFF"/>
        </w:rPr>
        <w:t>, Itali.</w:t>
      </w:r>
      <w:r w:rsidR="008365FD">
        <w:rPr>
          <w:bCs/>
          <w:color w:val="222222"/>
          <w:shd w:val="clear" w:color="auto" w:fill="FFFFFF"/>
        </w:rPr>
        <w:t xml:space="preserve"> </w:t>
      </w:r>
    </w:p>
    <w:p w:rsidR="00B06395" w:rsidRDefault="00221CA0" w:rsidP="00B06395">
      <w:pPr>
        <w:jc w:val="both"/>
        <w:rPr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>Këto shpenzime janë bërë nga zyra e kryetarit në shumë prej 1,332.00 € nga të cilat 804.00 € janë për periudhën janar-shtator 2019, (si dhe borxhe të vitit 2018 në shume prej 528.00 €), nga drejtoria për buxhet dhe financa në shumë prej 78.00 €, nga drejtoria e shërbimeve publike në shumë prej 92.00 €, nga drejtoria e bujqësisë dhe pylltarisë në shumë prej 170.00 €, nga drejtoria e arsimit në shumë prej 104.00 €.</w:t>
      </w:r>
    </w:p>
    <w:p w:rsidR="00B06395" w:rsidRDefault="00B06395" w:rsidP="00B06395">
      <w:pPr>
        <w:jc w:val="both"/>
        <w:rPr>
          <w:bCs/>
          <w:color w:val="222222"/>
          <w:shd w:val="clear" w:color="auto" w:fill="FFFFFF"/>
        </w:rPr>
      </w:pPr>
    </w:p>
    <w:p w:rsidR="00B06395" w:rsidRPr="00721A02" w:rsidRDefault="00B06395" w:rsidP="00B06395">
      <w:pPr>
        <w:jc w:val="both"/>
        <w:rPr>
          <w:b/>
          <w:bCs/>
          <w:color w:val="222222"/>
          <w:u w:val="single"/>
          <w:shd w:val="clear" w:color="auto" w:fill="FFFFFF"/>
        </w:rPr>
      </w:pPr>
      <w:r>
        <w:rPr>
          <w:b/>
          <w:bCs/>
          <w:color w:val="222222"/>
          <w:u w:val="single"/>
          <w:shd w:val="clear" w:color="auto" w:fill="FFFFFF"/>
        </w:rPr>
        <w:t>13142-Akomodimi gjatë</w:t>
      </w:r>
      <w:r w:rsidRPr="00721A02">
        <w:rPr>
          <w:b/>
          <w:bCs/>
          <w:color w:val="222222"/>
          <w:u w:val="single"/>
          <w:shd w:val="clear" w:color="auto" w:fill="FFFFFF"/>
        </w:rPr>
        <w:t xml:space="preserve"> udhëtimit </w:t>
      </w:r>
      <w:r>
        <w:rPr>
          <w:b/>
          <w:bCs/>
          <w:color w:val="222222"/>
          <w:u w:val="single"/>
          <w:shd w:val="clear" w:color="auto" w:fill="FFFFFF"/>
        </w:rPr>
        <w:t>zyrtar jashtë</w:t>
      </w:r>
      <w:r w:rsidRPr="00721A02">
        <w:rPr>
          <w:b/>
          <w:bCs/>
          <w:color w:val="222222"/>
          <w:u w:val="single"/>
          <w:shd w:val="clear" w:color="auto" w:fill="FFFFFF"/>
        </w:rPr>
        <w:t xml:space="preserve"> vendit</w:t>
      </w:r>
    </w:p>
    <w:p w:rsidR="00B06395" w:rsidRDefault="00B06395" w:rsidP="00B06395">
      <w:pPr>
        <w:jc w:val="both"/>
        <w:rPr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>Ka</w:t>
      </w:r>
      <w:r w:rsidR="00E95207">
        <w:rPr>
          <w:bCs/>
          <w:color w:val="222222"/>
          <w:shd w:val="clear" w:color="auto" w:fill="FFFFFF"/>
        </w:rPr>
        <w:t>në</w:t>
      </w:r>
      <w:r>
        <w:rPr>
          <w:bCs/>
          <w:color w:val="222222"/>
          <w:shd w:val="clear" w:color="auto" w:fill="FFFFFF"/>
        </w:rPr>
        <w:t xml:space="preserve"> të bëjë me shpenzimet e udhëtimit dhe akomodimit gjatë vizitës së arsimtarëve në Shqip</w:t>
      </w:r>
      <w:r w:rsidR="008365FD">
        <w:rPr>
          <w:bCs/>
          <w:color w:val="222222"/>
          <w:shd w:val="clear" w:color="auto" w:fill="FFFFFF"/>
        </w:rPr>
        <w:t>ëri në shumë prej 5,845.00 €, si dhe vizitës së këshilltarëve dhe drejtorëve në Shqipëri në shumë prej 2,592.00 €.</w:t>
      </w:r>
    </w:p>
    <w:p w:rsidR="00B06395" w:rsidRDefault="00B06395" w:rsidP="00B06395">
      <w:pPr>
        <w:jc w:val="both"/>
        <w:rPr>
          <w:bCs/>
          <w:color w:val="222222"/>
          <w:shd w:val="clear" w:color="auto" w:fill="FFFFFF"/>
        </w:rPr>
      </w:pPr>
    </w:p>
    <w:p w:rsidR="00B06395" w:rsidRPr="00EB4B76" w:rsidRDefault="00B06395" w:rsidP="00B06395">
      <w:pPr>
        <w:jc w:val="both"/>
        <w:rPr>
          <w:b/>
          <w:bCs/>
          <w:color w:val="222222"/>
          <w:u w:val="single"/>
          <w:shd w:val="clear" w:color="auto" w:fill="FFFFFF"/>
        </w:rPr>
      </w:pPr>
      <w:r>
        <w:rPr>
          <w:b/>
          <w:bCs/>
          <w:color w:val="222222"/>
          <w:u w:val="single"/>
          <w:shd w:val="clear" w:color="auto" w:fill="FFFFFF"/>
        </w:rPr>
        <w:t>13143-Shpenzime tjera të</w:t>
      </w:r>
      <w:r w:rsidRPr="00EB4B76">
        <w:rPr>
          <w:b/>
          <w:bCs/>
          <w:color w:val="222222"/>
          <w:u w:val="single"/>
          <w:shd w:val="clear" w:color="auto" w:fill="FFFFFF"/>
        </w:rPr>
        <w:t xml:space="preserve"> udhëtimit zyrtar jashtë vendit</w:t>
      </w:r>
    </w:p>
    <w:p w:rsidR="00B06395" w:rsidRDefault="00B06395" w:rsidP="00B06395">
      <w:pPr>
        <w:jc w:val="both"/>
        <w:rPr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>Ka</w:t>
      </w:r>
      <w:r w:rsidR="00E95207">
        <w:rPr>
          <w:bCs/>
          <w:color w:val="222222"/>
          <w:shd w:val="clear" w:color="auto" w:fill="FFFFFF"/>
        </w:rPr>
        <w:t>në</w:t>
      </w:r>
      <w:r>
        <w:rPr>
          <w:bCs/>
          <w:color w:val="222222"/>
          <w:shd w:val="clear" w:color="auto" w:fill="FFFFFF"/>
        </w:rPr>
        <w:t xml:space="preserve"> të bëjë me shpenzimet e 2 biletave të udhëtimit zyrtar në </w:t>
      </w:r>
      <w:r w:rsidR="001E51BF">
        <w:rPr>
          <w:bCs/>
          <w:color w:val="222222"/>
          <w:shd w:val="clear" w:color="auto" w:fill="FFFFFF"/>
        </w:rPr>
        <w:t xml:space="preserve">(Celano) </w:t>
      </w:r>
      <w:r>
        <w:rPr>
          <w:bCs/>
          <w:color w:val="222222"/>
          <w:shd w:val="clear" w:color="auto" w:fill="FFFFFF"/>
        </w:rPr>
        <w:t>Itali</w:t>
      </w:r>
      <w:r w:rsidR="001E51BF">
        <w:rPr>
          <w:bCs/>
          <w:color w:val="222222"/>
          <w:shd w:val="clear" w:color="auto" w:fill="FFFFFF"/>
        </w:rPr>
        <w:t>,</w:t>
      </w:r>
      <w:r>
        <w:rPr>
          <w:bCs/>
          <w:color w:val="222222"/>
          <w:shd w:val="clear" w:color="auto" w:fill="FFFFFF"/>
        </w:rPr>
        <w:t xml:space="preserve"> në shumë pre</w:t>
      </w:r>
      <w:r w:rsidR="008365FD">
        <w:rPr>
          <w:bCs/>
          <w:color w:val="222222"/>
          <w:shd w:val="clear" w:color="auto" w:fill="FFFFFF"/>
        </w:rPr>
        <w:t>j 914.00 € (borxh i vitit 2018)</w:t>
      </w:r>
      <w:r w:rsidR="009E4313">
        <w:rPr>
          <w:bCs/>
          <w:color w:val="222222"/>
          <w:shd w:val="clear" w:color="auto" w:fill="FFFFFF"/>
        </w:rPr>
        <w:t xml:space="preserve">, si dhe shpenzimet tjera </w:t>
      </w:r>
      <w:r w:rsidR="001E51BF">
        <w:rPr>
          <w:bCs/>
          <w:color w:val="222222"/>
          <w:shd w:val="clear" w:color="auto" w:fill="FFFFFF"/>
        </w:rPr>
        <w:t>të</w:t>
      </w:r>
      <w:r w:rsidR="009E4313">
        <w:rPr>
          <w:bCs/>
          <w:color w:val="222222"/>
          <w:shd w:val="clear" w:color="auto" w:fill="FFFFFF"/>
        </w:rPr>
        <w:t xml:space="preserve"> vitit 2019 gjatë</w:t>
      </w:r>
      <w:r w:rsidR="008365FD">
        <w:rPr>
          <w:bCs/>
          <w:color w:val="222222"/>
          <w:shd w:val="clear" w:color="auto" w:fill="FFFFFF"/>
        </w:rPr>
        <w:t xml:space="preserve"> </w:t>
      </w:r>
      <w:r w:rsidR="009E4313">
        <w:rPr>
          <w:bCs/>
          <w:color w:val="222222"/>
          <w:shd w:val="clear" w:color="auto" w:fill="FFFFFF"/>
        </w:rPr>
        <w:t>vizitës zyrtare në (Celano) Itali</w:t>
      </w:r>
      <w:r w:rsidR="001E51BF">
        <w:rPr>
          <w:bCs/>
          <w:color w:val="222222"/>
          <w:shd w:val="clear" w:color="auto" w:fill="FFFFFF"/>
        </w:rPr>
        <w:t>,</w:t>
      </w:r>
      <w:r w:rsidR="009E4313">
        <w:rPr>
          <w:bCs/>
          <w:color w:val="222222"/>
          <w:shd w:val="clear" w:color="auto" w:fill="FFFFFF"/>
        </w:rPr>
        <w:t xml:space="preserve"> në shumë prej 588.30 €. </w:t>
      </w:r>
    </w:p>
    <w:p w:rsidR="00B06395" w:rsidRDefault="00B06395" w:rsidP="00B06395">
      <w:pPr>
        <w:jc w:val="both"/>
        <w:rPr>
          <w:bCs/>
          <w:color w:val="222222"/>
          <w:shd w:val="clear" w:color="auto" w:fill="FFFFFF"/>
        </w:rPr>
      </w:pPr>
    </w:p>
    <w:p w:rsidR="00B06395" w:rsidRPr="006501E6" w:rsidRDefault="00B06395" w:rsidP="00B06395">
      <w:pPr>
        <w:jc w:val="both"/>
        <w:rPr>
          <w:b/>
          <w:bCs/>
          <w:color w:val="222222"/>
          <w:u w:val="single"/>
          <w:shd w:val="clear" w:color="auto" w:fill="FFFFFF"/>
        </w:rPr>
      </w:pPr>
      <w:r w:rsidRPr="006501E6">
        <w:rPr>
          <w:b/>
          <w:bCs/>
          <w:color w:val="222222"/>
          <w:u w:val="single"/>
          <w:shd w:val="clear" w:color="auto" w:fill="FFFFFF"/>
        </w:rPr>
        <w:t>13430-Shpenzimet e ndryshme shëndetësore</w:t>
      </w:r>
    </w:p>
    <w:p w:rsidR="00B06395" w:rsidRDefault="00B06395" w:rsidP="00B06395">
      <w:pPr>
        <w:jc w:val="both"/>
        <w:rPr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>Kanë të bëjnë me shpenzimet për familjet e dëshmorëve për rehabilitimin e tyre në Banjë të Kll</w:t>
      </w:r>
      <w:r w:rsidR="009E4313">
        <w:rPr>
          <w:bCs/>
          <w:color w:val="222222"/>
          <w:shd w:val="clear" w:color="auto" w:fill="FFFFFF"/>
        </w:rPr>
        <w:t xml:space="preserve">okotit në shumë prej 1,520.00 €, si dhe shpenzimet </w:t>
      </w:r>
      <w:r w:rsidR="001E51BF">
        <w:rPr>
          <w:bCs/>
          <w:color w:val="222222"/>
          <w:shd w:val="clear" w:color="auto" w:fill="FFFFFF"/>
        </w:rPr>
        <w:t>për</w:t>
      </w:r>
      <w:r w:rsidR="009E4313">
        <w:rPr>
          <w:bCs/>
          <w:color w:val="222222"/>
          <w:shd w:val="clear" w:color="auto" w:fill="FFFFFF"/>
        </w:rPr>
        <w:t xml:space="preserve"> analiza</w:t>
      </w:r>
      <w:r w:rsidR="001E51BF">
        <w:rPr>
          <w:bCs/>
          <w:color w:val="222222"/>
          <w:shd w:val="clear" w:color="auto" w:fill="FFFFFF"/>
        </w:rPr>
        <w:t>t e ujit në shumë</w:t>
      </w:r>
      <w:r w:rsidR="009E4313">
        <w:rPr>
          <w:bCs/>
          <w:color w:val="222222"/>
          <w:shd w:val="clear" w:color="auto" w:fill="FFFFFF"/>
        </w:rPr>
        <w:t xml:space="preserve"> prej 575.28 €.</w:t>
      </w:r>
    </w:p>
    <w:p w:rsidR="00B06395" w:rsidRPr="006501E6" w:rsidRDefault="00B06395" w:rsidP="00B06395">
      <w:pPr>
        <w:jc w:val="both"/>
        <w:rPr>
          <w:b/>
          <w:bCs/>
          <w:color w:val="222222"/>
          <w:u w:val="single"/>
          <w:shd w:val="clear" w:color="auto" w:fill="FFFFFF"/>
        </w:rPr>
      </w:pPr>
    </w:p>
    <w:p w:rsidR="00B06395" w:rsidRPr="00537824" w:rsidRDefault="00B06395" w:rsidP="00B06395">
      <w:pPr>
        <w:jc w:val="both"/>
        <w:rPr>
          <w:b/>
          <w:color w:val="000000"/>
          <w:sz w:val="22"/>
          <w:szCs w:val="22"/>
          <w:u w:val="single"/>
        </w:rPr>
      </w:pPr>
      <w:r w:rsidRPr="00537824">
        <w:rPr>
          <w:b/>
          <w:bCs/>
          <w:color w:val="222222"/>
          <w:u w:val="single"/>
          <w:shd w:val="clear" w:color="auto" w:fill="FFFFFF"/>
        </w:rPr>
        <w:t>13440-</w:t>
      </w:r>
      <w:r w:rsidRPr="00537824">
        <w:rPr>
          <w:b/>
          <w:color w:val="000000"/>
          <w:sz w:val="22"/>
          <w:szCs w:val="22"/>
          <w:u w:val="single"/>
        </w:rPr>
        <w:t xml:space="preserve"> Shërbime të ndryshme intelektuale dhe këshillëdhënëse</w:t>
      </w:r>
    </w:p>
    <w:p w:rsidR="00B06395" w:rsidRDefault="00B06395" w:rsidP="00B06395">
      <w:pPr>
        <w:jc w:val="both"/>
        <w:rPr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>Kanë të bëjnë me shpenzimet për angazhimin e një psikologe për këshillime psiko-sociale të fëmijëve të raportuara në QPS për periudhën shkurt-prill në shumë prej 450.00 €.</w:t>
      </w:r>
    </w:p>
    <w:p w:rsidR="00B06395" w:rsidRPr="005C0AC7" w:rsidRDefault="00B06395" w:rsidP="00B06395">
      <w:pPr>
        <w:jc w:val="both"/>
        <w:rPr>
          <w:bCs/>
          <w:color w:val="222222"/>
          <w:shd w:val="clear" w:color="auto" w:fill="FFFFFF"/>
        </w:rPr>
      </w:pPr>
    </w:p>
    <w:p w:rsidR="00B06395" w:rsidRDefault="00B06395" w:rsidP="00B06395">
      <w:pPr>
        <w:tabs>
          <w:tab w:val="center" w:pos="4680"/>
        </w:tabs>
        <w:jc w:val="both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u w:val="single"/>
          <w:shd w:val="clear" w:color="auto" w:fill="FFFFFF"/>
        </w:rPr>
        <w:t>13460-Shërbime kontraktuese tjera</w:t>
      </w:r>
    </w:p>
    <w:p w:rsidR="00B06395" w:rsidRPr="006501E6" w:rsidRDefault="00B06395" w:rsidP="00B06395">
      <w:pPr>
        <w:jc w:val="both"/>
        <w:rPr>
          <w:bCs/>
          <w:color w:val="000000" w:themeColor="text1"/>
          <w:shd w:val="clear" w:color="auto" w:fill="FFFFFF"/>
        </w:rPr>
      </w:pPr>
      <w:r w:rsidRPr="006501E6">
        <w:rPr>
          <w:bCs/>
          <w:color w:val="000000" w:themeColor="text1"/>
          <w:shd w:val="clear" w:color="auto" w:fill="FFFFFF"/>
        </w:rPr>
        <w:t>Kemi të bëjmë me pagesën e punëtorëve me kontrata për shërbime të veçanta si:</w:t>
      </w:r>
    </w:p>
    <w:p w:rsidR="00B06395" w:rsidRPr="009B3F22" w:rsidRDefault="005A3CAE" w:rsidP="00B06395">
      <w:pPr>
        <w:pStyle w:val="ListParagraph"/>
        <w:numPr>
          <w:ilvl w:val="0"/>
          <w:numId w:val="6"/>
        </w:numPr>
        <w:jc w:val="both"/>
        <w:rPr>
          <w:bCs/>
          <w:shd w:val="clear" w:color="auto" w:fill="FFFFFF"/>
        </w:rPr>
      </w:pPr>
      <w:r w:rsidRPr="00603C5E">
        <w:rPr>
          <w:bCs/>
          <w:u w:val="single"/>
          <w:shd w:val="clear" w:color="auto" w:fill="FFFFFF"/>
        </w:rPr>
        <w:lastRenderedPageBreak/>
        <w:t>10</w:t>
      </w:r>
      <w:r w:rsidR="00B06395" w:rsidRPr="00603C5E">
        <w:rPr>
          <w:bCs/>
          <w:u w:val="single"/>
          <w:shd w:val="clear" w:color="auto" w:fill="FFFFFF"/>
        </w:rPr>
        <w:t xml:space="preserve"> punëtorë në drejtorinë e shëndetësisë</w:t>
      </w:r>
      <w:r w:rsidR="00B06395" w:rsidRPr="009B3F22">
        <w:rPr>
          <w:bCs/>
          <w:shd w:val="clear" w:color="auto" w:fill="FFFFFF"/>
        </w:rPr>
        <w:t>,</w:t>
      </w:r>
      <w:r w:rsidR="00B06395">
        <w:rPr>
          <w:bCs/>
          <w:shd w:val="clear" w:color="auto" w:fill="FFFFFF"/>
        </w:rPr>
        <w:t xml:space="preserve"> nga të cilë</w:t>
      </w:r>
      <w:r w:rsidR="00B06395" w:rsidRPr="009B3F22">
        <w:rPr>
          <w:bCs/>
          <w:shd w:val="clear" w:color="auto" w:fill="FFFFFF"/>
        </w:rPr>
        <w:t xml:space="preserve">t 1 punëtorë është paguar </w:t>
      </w:r>
      <w:r>
        <w:rPr>
          <w:bCs/>
          <w:shd w:val="clear" w:color="auto" w:fill="FFFFFF"/>
        </w:rPr>
        <w:t>për 5 muaj dhe 9</w:t>
      </w:r>
      <w:r w:rsidR="004F7F40">
        <w:rPr>
          <w:bCs/>
          <w:shd w:val="clear" w:color="auto" w:fill="FFFFFF"/>
        </w:rPr>
        <w:t xml:space="preserve"> të tjerë  për 3</w:t>
      </w:r>
      <w:r w:rsidR="00B06395" w:rsidRPr="009B3F22">
        <w:rPr>
          <w:bCs/>
          <w:shd w:val="clear" w:color="auto" w:fill="FFFFFF"/>
        </w:rPr>
        <w:t xml:space="preserve"> muaj, shuma prej </w:t>
      </w:r>
      <w:r>
        <w:rPr>
          <w:bCs/>
          <w:shd w:val="clear" w:color="auto" w:fill="FFFFFF"/>
        </w:rPr>
        <w:t>16,</w:t>
      </w:r>
      <w:r w:rsidR="0055067F">
        <w:rPr>
          <w:bCs/>
          <w:shd w:val="clear" w:color="auto" w:fill="FFFFFF"/>
        </w:rPr>
        <w:t>332</w:t>
      </w:r>
      <w:r>
        <w:rPr>
          <w:bCs/>
          <w:shd w:val="clear" w:color="auto" w:fill="FFFFFF"/>
        </w:rPr>
        <w:t>.</w:t>
      </w:r>
      <w:r w:rsidR="00AC2F40">
        <w:rPr>
          <w:bCs/>
          <w:shd w:val="clear" w:color="auto" w:fill="FFFFFF"/>
        </w:rPr>
        <w:t>22</w:t>
      </w:r>
      <w:r w:rsidR="00B06395" w:rsidRPr="006D1E38">
        <w:rPr>
          <w:bCs/>
          <w:shd w:val="clear" w:color="auto" w:fill="FFFFFF"/>
        </w:rPr>
        <w:t xml:space="preserve"> €;</w:t>
      </w:r>
    </w:p>
    <w:p w:rsidR="00B06395" w:rsidRPr="009B3F22" w:rsidRDefault="00B06395" w:rsidP="00B06395">
      <w:pPr>
        <w:pStyle w:val="ListParagraph"/>
        <w:numPr>
          <w:ilvl w:val="0"/>
          <w:numId w:val="6"/>
        </w:numPr>
        <w:jc w:val="both"/>
        <w:rPr>
          <w:bCs/>
          <w:shd w:val="clear" w:color="auto" w:fill="FFFFFF"/>
        </w:rPr>
      </w:pPr>
      <w:r w:rsidRPr="00603C5E">
        <w:rPr>
          <w:bCs/>
          <w:u w:val="single"/>
          <w:shd w:val="clear" w:color="auto" w:fill="FFFFFF"/>
        </w:rPr>
        <w:t>1 punëtorë në drejtorinë e urbanizmit, kadastrit</w:t>
      </w:r>
      <w:r w:rsidR="00BD3B2D" w:rsidRPr="00603C5E">
        <w:rPr>
          <w:bCs/>
          <w:u w:val="single"/>
          <w:shd w:val="clear" w:color="auto" w:fill="FFFFFF"/>
        </w:rPr>
        <w:t xml:space="preserve"> dhe mbrojtjes së mjedisi</w:t>
      </w:r>
      <w:r w:rsidR="00BD3B2D">
        <w:rPr>
          <w:bCs/>
          <w:shd w:val="clear" w:color="auto" w:fill="FFFFFF"/>
        </w:rPr>
        <w:t>t për 6 muaj</w:t>
      </w:r>
      <w:r w:rsidR="004F7F40">
        <w:rPr>
          <w:bCs/>
          <w:shd w:val="clear" w:color="auto" w:fill="FFFFFF"/>
        </w:rPr>
        <w:t>,</w:t>
      </w:r>
      <w:r w:rsidR="00BD3B2D">
        <w:rPr>
          <w:bCs/>
          <w:shd w:val="clear" w:color="auto" w:fill="FFFFFF"/>
        </w:rPr>
        <w:t xml:space="preserve">  shuma prej 2,067.36</w:t>
      </w:r>
      <w:r w:rsidRPr="009B3F22">
        <w:rPr>
          <w:bCs/>
          <w:shd w:val="clear" w:color="auto" w:fill="FFFFFF"/>
        </w:rPr>
        <w:t xml:space="preserve"> €</w:t>
      </w:r>
      <w:r w:rsidR="00603C5E">
        <w:rPr>
          <w:bCs/>
          <w:shd w:val="clear" w:color="auto" w:fill="FFFFFF"/>
        </w:rPr>
        <w:t>, (6M*344.56 €)</w:t>
      </w:r>
      <w:r w:rsidRPr="009B3F22">
        <w:rPr>
          <w:bCs/>
          <w:shd w:val="clear" w:color="auto" w:fill="FFFFFF"/>
        </w:rPr>
        <w:t>;</w:t>
      </w:r>
    </w:p>
    <w:p w:rsidR="00B06395" w:rsidRDefault="00B06395" w:rsidP="00B06395">
      <w:pPr>
        <w:pStyle w:val="ListParagraph"/>
        <w:numPr>
          <w:ilvl w:val="0"/>
          <w:numId w:val="6"/>
        </w:numPr>
        <w:jc w:val="both"/>
        <w:rPr>
          <w:bCs/>
          <w:shd w:val="clear" w:color="auto" w:fill="FFFFFF"/>
        </w:rPr>
      </w:pPr>
      <w:r w:rsidRPr="00603C5E">
        <w:rPr>
          <w:bCs/>
          <w:u w:val="single"/>
          <w:shd w:val="clear" w:color="auto" w:fill="FFFFFF"/>
        </w:rPr>
        <w:t>1 punëtor</w:t>
      </w:r>
      <w:r w:rsidR="00BD3B2D" w:rsidRPr="00603C5E">
        <w:rPr>
          <w:bCs/>
          <w:u w:val="single"/>
          <w:shd w:val="clear" w:color="auto" w:fill="FFFFFF"/>
        </w:rPr>
        <w:t>e</w:t>
      </w:r>
      <w:r w:rsidRPr="00603C5E">
        <w:rPr>
          <w:bCs/>
          <w:u w:val="single"/>
          <w:shd w:val="clear" w:color="auto" w:fill="FFFFFF"/>
        </w:rPr>
        <w:t xml:space="preserve"> në drejt</w:t>
      </w:r>
      <w:r w:rsidR="00BD3B2D" w:rsidRPr="00603C5E">
        <w:rPr>
          <w:bCs/>
          <w:u w:val="single"/>
          <w:shd w:val="clear" w:color="auto" w:fill="FFFFFF"/>
        </w:rPr>
        <w:t>orinë e shërbimeve publike</w:t>
      </w:r>
      <w:r w:rsidR="00BD3B2D">
        <w:rPr>
          <w:bCs/>
          <w:shd w:val="clear" w:color="auto" w:fill="FFFFFF"/>
        </w:rPr>
        <w:t xml:space="preserve"> (për mirëmbajtje të varrezave të dëshmorëve) për 6</w:t>
      </w:r>
      <w:r w:rsidR="00221CA0">
        <w:rPr>
          <w:bCs/>
          <w:shd w:val="clear" w:color="auto" w:fill="FFFFFF"/>
        </w:rPr>
        <w:t xml:space="preserve"> muaj</w:t>
      </w:r>
      <w:r w:rsidRPr="009B3F22">
        <w:rPr>
          <w:bCs/>
          <w:shd w:val="clear" w:color="auto" w:fill="FFFFFF"/>
        </w:rPr>
        <w:t xml:space="preserve"> s</w:t>
      </w:r>
      <w:r w:rsidR="00BD3B2D">
        <w:rPr>
          <w:bCs/>
          <w:shd w:val="clear" w:color="auto" w:fill="FFFFFF"/>
        </w:rPr>
        <w:t xml:space="preserve">huma </w:t>
      </w:r>
      <w:r w:rsidR="00603C5E">
        <w:rPr>
          <w:bCs/>
          <w:shd w:val="clear" w:color="auto" w:fill="FFFFFF"/>
        </w:rPr>
        <w:t xml:space="preserve">prej </w:t>
      </w:r>
      <w:r w:rsidR="00BD3B2D">
        <w:rPr>
          <w:bCs/>
          <w:shd w:val="clear" w:color="auto" w:fill="FFFFFF"/>
        </w:rPr>
        <w:t>2,835.0</w:t>
      </w:r>
      <w:r w:rsidRPr="009B3F22">
        <w:rPr>
          <w:bCs/>
          <w:shd w:val="clear" w:color="auto" w:fill="FFFFFF"/>
        </w:rPr>
        <w:t>0</w:t>
      </w:r>
      <w:r>
        <w:rPr>
          <w:bCs/>
          <w:shd w:val="clear" w:color="auto" w:fill="FFFFFF"/>
        </w:rPr>
        <w:t xml:space="preserve"> €</w:t>
      </w:r>
      <w:r w:rsidR="00603C5E">
        <w:rPr>
          <w:bCs/>
          <w:shd w:val="clear" w:color="auto" w:fill="FFFFFF"/>
        </w:rPr>
        <w:t>, (6M*472.50 € bruto),</w:t>
      </w:r>
      <w:r>
        <w:rPr>
          <w:bCs/>
          <w:shd w:val="clear" w:color="auto" w:fill="FFFFFF"/>
        </w:rPr>
        <w:t>.</w:t>
      </w:r>
    </w:p>
    <w:p w:rsidR="00B06395" w:rsidRPr="009B3F22" w:rsidRDefault="00B06395" w:rsidP="00B06395">
      <w:pPr>
        <w:pStyle w:val="ListParagraph"/>
        <w:jc w:val="both"/>
        <w:rPr>
          <w:bCs/>
          <w:shd w:val="clear" w:color="auto" w:fill="FFFFFF"/>
        </w:rPr>
      </w:pPr>
    </w:p>
    <w:p w:rsidR="00B06395" w:rsidRPr="006501E6" w:rsidRDefault="00B06395" w:rsidP="00B06395">
      <w:pPr>
        <w:jc w:val="both"/>
        <w:rPr>
          <w:bCs/>
          <w:color w:val="000000" w:themeColor="text1"/>
          <w:shd w:val="clear" w:color="auto" w:fill="FFFFFF"/>
        </w:rPr>
      </w:pPr>
      <w:r w:rsidRPr="009B3F22">
        <w:rPr>
          <w:bCs/>
          <w:shd w:val="clear" w:color="auto" w:fill="FFFFFF"/>
        </w:rPr>
        <w:t xml:space="preserve">- </w:t>
      </w:r>
      <w:r w:rsidRPr="006501E6">
        <w:rPr>
          <w:bCs/>
          <w:color w:val="000000" w:themeColor="text1"/>
          <w:shd w:val="clear" w:color="auto" w:fill="FFFFFF"/>
        </w:rPr>
        <w:t xml:space="preserve">Është bërë pagesa </w:t>
      </w:r>
      <w:r>
        <w:rPr>
          <w:bCs/>
          <w:color w:val="000000" w:themeColor="text1"/>
          <w:shd w:val="clear" w:color="auto" w:fill="FFFFFF"/>
        </w:rPr>
        <w:t>vjetore</w:t>
      </w:r>
      <w:r w:rsidRPr="006501E6">
        <w:rPr>
          <w:bCs/>
          <w:color w:val="000000" w:themeColor="text1"/>
          <w:shd w:val="clear" w:color="auto" w:fill="FFFFFF"/>
        </w:rPr>
        <w:t xml:space="preserve"> për mirëmbajtjen e aparatit të GPS-it të drejtorisë së urbanizmit, kadastrit dhe mbrojtjes së </w:t>
      </w:r>
      <w:r w:rsidR="00AC2F40">
        <w:rPr>
          <w:bCs/>
          <w:color w:val="000000" w:themeColor="text1"/>
          <w:shd w:val="clear" w:color="auto" w:fill="FFFFFF"/>
        </w:rPr>
        <w:t>mjedisit në shumë prej 400.00 €;</w:t>
      </w:r>
    </w:p>
    <w:p w:rsidR="00B06395" w:rsidRDefault="00B06395" w:rsidP="00B06395">
      <w:pPr>
        <w:jc w:val="both"/>
        <w:rPr>
          <w:bCs/>
          <w:color w:val="000000" w:themeColor="text1"/>
          <w:shd w:val="clear" w:color="auto" w:fill="FFFFFF"/>
        </w:rPr>
      </w:pPr>
      <w:r w:rsidRPr="00845CFD">
        <w:rPr>
          <w:bCs/>
          <w:color w:val="000000" w:themeColor="text1"/>
          <w:shd w:val="clear" w:color="auto" w:fill="FFFFFF"/>
        </w:rPr>
        <w:t xml:space="preserve">-  </w:t>
      </w:r>
      <w:r w:rsidRPr="006501E6">
        <w:rPr>
          <w:bCs/>
          <w:color w:val="000000" w:themeColor="text1"/>
          <w:shd w:val="clear" w:color="auto" w:fill="FFFFFF"/>
        </w:rPr>
        <w:t>Është bërë pagesa për</w:t>
      </w:r>
      <w:r>
        <w:rPr>
          <w:bCs/>
          <w:color w:val="000000" w:themeColor="text1"/>
          <w:shd w:val="clear" w:color="auto" w:fill="FFFFFF"/>
        </w:rPr>
        <w:t xml:space="preserve"> mbetjet medicinale të shtëpisë së s</w:t>
      </w:r>
      <w:r w:rsidR="006702DD">
        <w:rPr>
          <w:bCs/>
          <w:color w:val="000000" w:themeColor="text1"/>
          <w:shd w:val="clear" w:color="auto" w:fill="FFFFFF"/>
        </w:rPr>
        <w:t>hëndetit</w:t>
      </w:r>
      <w:r w:rsidR="006702DD" w:rsidRPr="006702DD">
        <w:rPr>
          <w:bCs/>
          <w:color w:val="000000" w:themeColor="text1"/>
          <w:shd w:val="clear" w:color="auto" w:fill="FFFFFF"/>
        </w:rPr>
        <w:t xml:space="preserve"> </w:t>
      </w:r>
      <w:r w:rsidR="006702DD" w:rsidRPr="006501E6">
        <w:rPr>
          <w:bCs/>
          <w:color w:val="000000" w:themeColor="text1"/>
          <w:shd w:val="clear" w:color="auto" w:fill="FFFFFF"/>
        </w:rPr>
        <w:t xml:space="preserve">në shumë prej </w:t>
      </w:r>
      <w:r w:rsidR="006702DD">
        <w:rPr>
          <w:bCs/>
          <w:color w:val="000000" w:themeColor="text1"/>
          <w:shd w:val="clear" w:color="auto" w:fill="FFFFFF"/>
        </w:rPr>
        <w:t>463.6</w:t>
      </w:r>
      <w:r w:rsidR="006702DD" w:rsidRPr="006501E6">
        <w:rPr>
          <w:bCs/>
          <w:color w:val="000000" w:themeColor="text1"/>
          <w:shd w:val="clear" w:color="auto" w:fill="FFFFFF"/>
        </w:rPr>
        <w:t>0 €</w:t>
      </w:r>
      <w:r w:rsidR="00AC2F40">
        <w:rPr>
          <w:bCs/>
          <w:color w:val="000000" w:themeColor="text1"/>
          <w:shd w:val="clear" w:color="auto" w:fill="FFFFFF"/>
        </w:rPr>
        <w:t>;</w:t>
      </w:r>
    </w:p>
    <w:p w:rsidR="00B06395" w:rsidRDefault="00B06395" w:rsidP="00B06395">
      <w:pPr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- </w:t>
      </w:r>
      <w:r w:rsidRPr="006501E6">
        <w:rPr>
          <w:bCs/>
          <w:color w:val="000000" w:themeColor="text1"/>
          <w:shd w:val="clear" w:color="auto" w:fill="FFFFFF"/>
        </w:rPr>
        <w:t xml:space="preserve"> Ë</w:t>
      </w:r>
      <w:r w:rsidR="004F7F40">
        <w:rPr>
          <w:bCs/>
          <w:color w:val="000000" w:themeColor="text1"/>
          <w:shd w:val="clear" w:color="auto" w:fill="FFFFFF"/>
        </w:rPr>
        <w:t xml:space="preserve">shtë bërë pagesa </w:t>
      </w:r>
      <w:r w:rsidR="006702DD">
        <w:rPr>
          <w:bCs/>
          <w:color w:val="000000" w:themeColor="text1"/>
          <w:shd w:val="clear" w:color="auto" w:fill="FFFFFF"/>
        </w:rPr>
        <w:t>për leximin e dozimetrave</w:t>
      </w:r>
      <w:r w:rsidR="006702DD" w:rsidRPr="006702DD">
        <w:rPr>
          <w:bCs/>
          <w:color w:val="000000" w:themeColor="text1"/>
          <w:shd w:val="clear" w:color="auto" w:fill="FFFFFF"/>
        </w:rPr>
        <w:t xml:space="preserve"> </w:t>
      </w:r>
      <w:r w:rsidR="006702DD">
        <w:rPr>
          <w:bCs/>
          <w:color w:val="000000" w:themeColor="text1"/>
          <w:shd w:val="clear" w:color="auto" w:fill="FFFFFF"/>
        </w:rPr>
        <w:t>në shumë prej 9</w:t>
      </w:r>
      <w:r w:rsidR="006702DD" w:rsidRPr="006501E6">
        <w:rPr>
          <w:bCs/>
          <w:color w:val="000000" w:themeColor="text1"/>
          <w:shd w:val="clear" w:color="auto" w:fill="FFFFFF"/>
        </w:rPr>
        <w:t>0.00 €</w:t>
      </w:r>
      <w:r w:rsidR="00AC2F40">
        <w:rPr>
          <w:bCs/>
          <w:color w:val="000000" w:themeColor="text1"/>
          <w:shd w:val="clear" w:color="auto" w:fill="FFFFFF"/>
        </w:rPr>
        <w:t>;</w:t>
      </w:r>
    </w:p>
    <w:p w:rsidR="00B06395" w:rsidRDefault="00B06395" w:rsidP="00B06395">
      <w:pPr>
        <w:jc w:val="both"/>
        <w:rPr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 xml:space="preserve">-  </w:t>
      </w:r>
      <w:r w:rsidRPr="006501E6">
        <w:rPr>
          <w:bCs/>
          <w:color w:val="000000" w:themeColor="text1"/>
          <w:shd w:val="clear" w:color="auto" w:fill="FFFFFF"/>
        </w:rPr>
        <w:t xml:space="preserve">Është bërë pagesa </w:t>
      </w:r>
      <w:r>
        <w:rPr>
          <w:bCs/>
          <w:color w:val="000000" w:themeColor="text1"/>
          <w:shd w:val="clear" w:color="auto" w:fill="FFFFFF"/>
        </w:rPr>
        <w:t>për trajnimin e punëtorëve shëndetësor</w:t>
      </w:r>
      <w:r w:rsidR="006702DD" w:rsidRPr="006702DD">
        <w:rPr>
          <w:bCs/>
          <w:color w:val="000000" w:themeColor="text1"/>
          <w:shd w:val="clear" w:color="auto" w:fill="FFFFFF"/>
        </w:rPr>
        <w:t xml:space="preserve"> </w:t>
      </w:r>
      <w:r w:rsidR="006702DD" w:rsidRPr="006501E6">
        <w:rPr>
          <w:bCs/>
          <w:color w:val="000000" w:themeColor="text1"/>
          <w:shd w:val="clear" w:color="auto" w:fill="FFFFFF"/>
        </w:rPr>
        <w:t>në shumë prej</w:t>
      </w:r>
      <w:r w:rsidR="006702DD">
        <w:rPr>
          <w:bCs/>
          <w:color w:val="000000" w:themeColor="text1"/>
          <w:shd w:val="clear" w:color="auto" w:fill="FFFFFF"/>
        </w:rPr>
        <w:t xml:space="preserve"> 545.00 €</w:t>
      </w:r>
      <w:r w:rsidR="00AC2F40">
        <w:rPr>
          <w:bCs/>
          <w:color w:val="000000" w:themeColor="text1"/>
          <w:shd w:val="clear" w:color="auto" w:fill="FFFFFF"/>
        </w:rPr>
        <w:t>;</w:t>
      </w:r>
    </w:p>
    <w:p w:rsidR="005A3CAE" w:rsidRDefault="005A3CAE" w:rsidP="00B06395">
      <w:pPr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- </w:t>
      </w:r>
      <w:r w:rsidR="009E4313" w:rsidRPr="006501E6">
        <w:rPr>
          <w:bCs/>
          <w:color w:val="000000" w:themeColor="text1"/>
          <w:shd w:val="clear" w:color="auto" w:fill="FFFFFF"/>
        </w:rPr>
        <w:t>Është bërë</w:t>
      </w:r>
      <w:r w:rsidR="009E4313">
        <w:rPr>
          <w:bCs/>
          <w:color w:val="000000" w:themeColor="text1"/>
          <w:shd w:val="clear" w:color="auto" w:fill="FFFFFF"/>
        </w:rPr>
        <w:t xml:space="preserve"> </w:t>
      </w:r>
      <w:r w:rsidR="006702DD">
        <w:rPr>
          <w:bCs/>
          <w:color w:val="000000" w:themeColor="text1"/>
          <w:shd w:val="clear" w:color="auto" w:fill="FFFFFF"/>
        </w:rPr>
        <w:t xml:space="preserve">pagesa për </w:t>
      </w:r>
      <w:r w:rsidR="009E4313">
        <w:rPr>
          <w:bCs/>
          <w:color w:val="000000" w:themeColor="text1"/>
          <w:shd w:val="clear" w:color="auto" w:fill="FFFFFF"/>
        </w:rPr>
        <w:t>servisimi</w:t>
      </w:r>
      <w:r w:rsidR="006702DD">
        <w:rPr>
          <w:bCs/>
          <w:color w:val="000000" w:themeColor="text1"/>
          <w:shd w:val="clear" w:color="auto" w:fill="FFFFFF"/>
        </w:rPr>
        <w:t>n</w:t>
      </w:r>
      <w:r w:rsidR="009E4313">
        <w:rPr>
          <w:bCs/>
          <w:color w:val="000000" w:themeColor="text1"/>
          <w:shd w:val="clear" w:color="auto" w:fill="FFFFFF"/>
        </w:rPr>
        <w:t xml:space="preserve"> dhe </w:t>
      </w:r>
      <w:r w:rsidR="006702DD">
        <w:rPr>
          <w:bCs/>
          <w:color w:val="000000" w:themeColor="text1"/>
          <w:shd w:val="clear" w:color="auto" w:fill="FFFFFF"/>
        </w:rPr>
        <w:t>mbushjen</w:t>
      </w:r>
      <w:r w:rsidR="004929A1">
        <w:rPr>
          <w:bCs/>
          <w:color w:val="000000" w:themeColor="text1"/>
          <w:shd w:val="clear" w:color="auto" w:fill="FFFFFF"/>
        </w:rPr>
        <w:t xml:space="preserve"> e klimave për administratë</w:t>
      </w:r>
      <w:r w:rsidR="009E4313">
        <w:rPr>
          <w:bCs/>
          <w:color w:val="000000" w:themeColor="text1"/>
          <w:shd w:val="clear" w:color="auto" w:fill="FFFFFF"/>
        </w:rPr>
        <w:t xml:space="preserve"> komunale në shumë prej 860.00 €</w:t>
      </w:r>
      <w:r w:rsidR="00AC2F40">
        <w:rPr>
          <w:bCs/>
          <w:color w:val="000000" w:themeColor="text1"/>
          <w:shd w:val="clear" w:color="auto" w:fill="FFFFFF"/>
        </w:rPr>
        <w:t>;</w:t>
      </w:r>
    </w:p>
    <w:p w:rsidR="005A3CAE" w:rsidRDefault="005A3CAE" w:rsidP="00B06395">
      <w:pPr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- Është bërë pagesa </w:t>
      </w:r>
      <w:r w:rsidR="006702DD">
        <w:rPr>
          <w:bCs/>
          <w:color w:val="000000" w:themeColor="text1"/>
          <w:shd w:val="clear" w:color="auto" w:fill="FFFFFF"/>
        </w:rPr>
        <w:t>e</w:t>
      </w:r>
      <w:r w:rsidR="001E6406">
        <w:rPr>
          <w:bCs/>
          <w:color w:val="000000" w:themeColor="text1"/>
          <w:shd w:val="clear" w:color="auto" w:fill="FFFFFF"/>
        </w:rPr>
        <w:t xml:space="preserve"> kësti</w:t>
      </w:r>
      <w:r w:rsidR="006702DD">
        <w:rPr>
          <w:bCs/>
          <w:color w:val="000000" w:themeColor="text1"/>
          <w:shd w:val="clear" w:color="auto" w:fill="FFFFFF"/>
        </w:rPr>
        <w:t>t të</w:t>
      </w:r>
      <w:r w:rsidR="001E6406">
        <w:rPr>
          <w:bCs/>
          <w:color w:val="000000" w:themeColor="text1"/>
          <w:shd w:val="clear" w:color="auto" w:fill="FFFFFF"/>
        </w:rPr>
        <w:t xml:space="preserve"> parë</w:t>
      </w:r>
      <w:r>
        <w:rPr>
          <w:bCs/>
          <w:color w:val="000000" w:themeColor="text1"/>
          <w:shd w:val="clear" w:color="auto" w:fill="FFFFFF"/>
        </w:rPr>
        <w:t xml:space="preserve"> në bazë të marrëveshjes që kemi me organizatën Islamic Reliev</w:t>
      </w:r>
      <w:r w:rsidR="005C246D">
        <w:rPr>
          <w:bCs/>
          <w:color w:val="000000" w:themeColor="text1"/>
          <w:shd w:val="clear" w:color="auto" w:fill="FFFFFF"/>
        </w:rPr>
        <w:t xml:space="preserve"> Worldvife</w:t>
      </w:r>
      <w:r w:rsidR="006702DD">
        <w:rPr>
          <w:bCs/>
          <w:color w:val="000000" w:themeColor="text1"/>
          <w:shd w:val="clear" w:color="auto" w:fill="FFFFFF"/>
        </w:rPr>
        <w:t xml:space="preserve"> për </w:t>
      </w:r>
      <w:r w:rsidR="005C246D">
        <w:rPr>
          <w:bCs/>
          <w:color w:val="000000" w:themeColor="text1"/>
          <w:shd w:val="clear" w:color="auto" w:fill="FFFFFF"/>
        </w:rPr>
        <w:t>projektin “Kujdesi shtëpiak, personat e moshës së tretë dhe me aftësi të kufizuara”</w:t>
      </w:r>
      <w:r w:rsidR="006702DD">
        <w:rPr>
          <w:bCs/>
          <w:color w:val="000000" w:themeColor="text1"/>
          <w:shd w:val="clear" w:color="auto" w:fill="FFFFFF"/>
        </w:rPr>
        <w:t xml:space="preserve">  në shumë prej 10,000 €</w:t>
      </w:r>
      <w:r w:rsidR="00AC2F40">
        <w:rPr>
          <w:bCs/>
          <w:color w:val="000000" w:themeColor="text1"/>
          <w:shd w:val="clear" w:color="auto" w:fill="FFFFFF"/>
        </w:rPr>
        <w:t>;</w:t>
      </w:r>
    </w:p>
    <w:p w:rsidR="001E6406" w:rsidRDefault="00CC55DF" w:rsidP="00B06395">
      <w:pPr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- </w:t>
      </w:r>
      <w:r w:rsidR="001E6406">
        <w:rPr>
          <w:bCs/>
          <w:color w:val="000000" w:themeColor="text1"/>
          <w:shd w:val="clear" w:color="auto" w:fill="FFFFFF"/>
        </w:rPr>
        <w:t>Është bërë pagesa në shumë prej 950.00 € për trajnimin e mësimdhënësve të SHFMU. Kështjella e Diturisë” Paldenicë nga mjetet e financimit të huamarrjes në</w:t>
      </w:r>
      <w:r w:rsidR="00AC2F40">
        <w:rPr>
          <w:bCs/>
          <w:color w:val="000000" w:themeColor="text1"/>
          <w:shd w:val="clear" w:color="auto" w:fill="FFFFFF"/>
        </w:rPr>
        <w:t xml:space="preserve"> arsim;</w:t>
      </w:r>
    </w:p>
    <w:p w:rsidR="001E6406" w:rsidRDefault="001E6406" w:rsidP="00B06395">
      <w:pPr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- </w:t>
      </w:r>
      <w:r w:rsidR="00AC2F40">
        <w:rPr>
          <w:bCs/>
          <w:color w:val="000000" w:themeColor="text1"/>
          <w:shd w:val="clear" w:color="auto" w:fill="FFFFFF"/>
        </w:rPr>
        <w:t xml:space="preserve"> </w:t>
      </w:r>
      <w:r>
        <w:rPr>
          <w:bCs/>
          <w:color w:val="000000" w:themeColor="text1"/>
          <w:shd w:val="clear" w:color="auto" w:fill="FFFFFF"/>
        </w:rPr>
        <w:t xml:space="preserve">Është bërë pagesa në shumë prej </w:t>
      </w:r>
      <w:r w:rsidR="006702DD">
        <w:rPr>
          <w:bCs/>
          <w:color w:val="000000" w:themeColor="text1"/>
          <w:shd w:val="clear" w:color="auto" w:fill="FFFFFF"/>
        </w:rPr>
        <w:t xml:space="preserve">886.60 € </w:t>
      </w:r>
      <w:r w:rsidR="006702DD" w:rsidRPr="00825D03">
        <w:rPr>
          <w:bCs/>
          <w:color w:val="000000" w:themeColor="text1"/>
          <w:shd w:val="clear" w:color="auto" w:fill="FFFFFF"/>
        </w:rPr>
        <w:t>për material të ndë</w:t>
      </w:r>
      <w:r w:rsidR="00825D03" w:rsidRPr="00825D03">
        <w:rPr>
          <w:bCs/>
          <w:color w:val="000000" w:themeColor="text1"/>
          <w:shd w:val="clear" w:color="auto" w:fill="FFFFFF"/>
        </w:rPr>
        <w:t>rtimit</w:t>
      </w:r>
      <w:r w:rsidR="00825D03">
        <w:rPr>
          <w:bCs/>
          <w:color w:val="000000" w:themeColor="text1"/>
          <w:shd w:val="clear" w:color="auto" w:fill="FFFFFF"/>
        </w:rPr>
        <w:t>;</w:t>
      </w:r>
    </w:p>
    <w:p w:rsidR="006702DD" w:rsidRPr="001E6406" w:rsidRDefault="00CC55DF" w:rsidP="00B06395">
      <w:pPr>
        <w:jc w:val="both"/>
        <w:rPr>
          <w:rFonts w:ascii="Sylfaen" w:hAnsi="Sylfaen"/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- </w:t>
      </w:r>
      <w:r w:rsidR="006702DD">
        <w:rPr>
          <w:bCs/>
          <w:color w:val="000000" w:themeColor="text1"/>
          <w:shd w:val="clear" w:color="auto" w:fill="FFFFFF"/>
        </w:rPr>
        <w:t>Është bërë pagesa për shërbimet e auditimit t</w:t>
      </w:r>
      <w:r w:rsidR="00B15523">
        <w:rPr>
          <w:bCs/>
          <w:color w:val="000000" w:themeColor="text1"/>
          <w:shd w:val="clear" w:color="auto" w:fill="FFFFFF"/>
        </w:rPr>
        <w:t>ë kamionit të mbeturinave nga financimi i</w:t>
      </w:r>
      <w:r w:rsidR="006702DD">
        <w:rPr>
          <w:bCs/>
          <w:color w:val="000000" w:themeColor="text1"/>
          <w:shd w:val="clear" w:color="auto" w:fill="FFFFFF"/>
        </w:rPr>
        <w:t xml:space="preserve"> </w:t>
      </w:r>
      <w:r w:rsidR="00152BA2">
        <w:rPr>
          <w:bCs/>
          <w:color w:val="000000" w:themeColor="text1"/>
          <w:shd w:val="clear" w:color="auto" w:fill="FFFFFF"/>
        </w:rPr>
        <w:t>qeverisë</w:t>
      </w:r>
      <w:r w:rsidR="006702DD">
        <w:rPr>
          <w:bCs/>
          <w:color w:val="000000" w:themeColor="text1"/>
          <w:shd w:val="clear" w:color="auto" w:fill="FFFFFF"/>
        </w:rPr>
        <w:t xml:space="preserve"> japoneze në shumë prej 500.00 €</w:t>
      </w:r>
      <w:r w:rsidR="00AC2F40">
        <w:rPr>
          <w:bCs/>
          <w:color w:val="000000" w:themeColor="text1"/>
          <w:shd w:val="clear" w:color="auto" w:fill="FFFFFF"/>
        </w:rPr>
        <w:t>.</w:t>
      </w:r>
    </w:p>
    <w:p w:rsidR="00B06395" w:rsidRPr="00845CFD" w:rsidRDefault="00B06395" w:rsidP="00B06395">
      <w:pPr>
        <w:jc w:val="both"/>
        <w:rPr>
          <w:b/>
          <w:bCs/>
          <w:color w:val="000000" w:themeColor="text1"/>
          <w:shd w:val="clear" w:color="auto" w:fill="FFFFFF"/>
        </w:rPr>
      </w:pPr>
    </w:p>
    <w:p w:rsidR="00B06395" w:rsidRPr="00537824" w:rsidRDefault="00B06395" w:rsidP="00B06395">
      <w:pPr>
        <w:jc w:val="both"/>
        <w:rPr>
          <w:b/>
          <w:bCs/>
          <w:color w:val="222222"/>
          <w:u w:val="single"/>
          <w:shd w:val="clear" w:color="auto" w:fill="FFFFFF"/>
        </w:rPr>
      </w:pPr>
      <w:r>
        <w:rPr>
          <w:b/>
          <w:bCs/>
          <w:color w:val="222222"/>
          <w:u w:val="single"/>
          <w:shd w:val="clear" w:color="auto" w:fill="FFFFFF"/>
        </w:rPr>
        <w:t>13480-Shpenzimet për anëtarësim</w:t>
      </w:r>
    </w:p>
    <w:p w:rsidR="00B06395" w:rsidRDefault="00B06395" w:rsidP="00B06395">
      <w:pPr>
        <w:jc w:val="both"/>
        <w:rPr>
          <w:bCs/>
          <w:color w:val="000000" w:themeColor="text1"/>
          <w:shd w:val="clear" w:color="auto" w:fill="FFFFFF"/>
        </w:rPr>
      </w:pPr>
      <w:r w:rsidRPr="00EA5594">
        <w:rPr>
          <w:bCs/>
          <w:color w:val="000000" w:themeColor="text1"/>
          <w:shd w:val="clear" w:color="auto" w:fill="FFFFFF"/>
        </w:rPr>
        <w:t>Kemi të bëjmë me shpenzimet për anëtarësim me Asociacionin e Komunave të Kosovës në shumë prej 940.30 €, si dhe shpenzimet vjetore për anëtarësim ne në Agjencinë</w:t>
      </w:r>
      <w:r>
        <w:rPr>
          <w:bCs/>
          <w:color w:val="000000" w:themeColor="text1"/>
          <w:shd w:val="clear" w:color="auto" w:fill="FFFFFF"/>
        </w:rPr>
        <w:t xml:space="preserve"> e Zhvillimit Rajonal-Lindje në shumë</w:t>
      </w:r>
      <w:r w:rsidRPr="00EA5594">
        <w:rPr>
          <w:bCs/>
          <w:color w:val="000000" w:themeColor="text1"/>
          <w:shd w:val="clear" w:color="auto" w:fill="FFFFFF"/>
        </w:rPr>
        <w:t xml:space="preserve"> prej 990.00 €.</w:t>
      </w:r>
    </w:p>
    <w:p w:rsidR="000017EF" w:rsidRDefault="000017EF" w:rsidP="00B06395">
      <w:pPr>
        <w:jc w:val="both"/>
        <w:rPr>
          <w:bCs/>
          <w:color w:val="000000" w:themeColor="text1"/>
          <w:shd w:val="clear" w:color="auto" w:fill="FFFFFF"/>
        </w:rPr>
      </w:pPr>
    </w:p>
    <w:p w:rsidR="00B06395" w:rsidRPr="00D31A1F" w:rsidRDefault="00B06395" w:rsidP="00B06395">
      <w:pPr>
        <w:jc w:val="both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u w:val="single"/>
          <w:shd w:val="clear" w:color="auto" w:fill="FFFFFF"/>
        </w:rPr>
        <w:t>13490-Shërbimet e varrimit</w:t>
      </w:r>
    </w:p>
    <w:p w:rsidR="00B06395" w:rsidRDefault="00B06395" w:rsidP="00B06395">
      <w:pPr>
        <w:jc w:val="both"/>
        <w:rPr>
          <w:bCs/>
          <w:color w:val="000000" w:themeColor="text1"/>
          <w:shd w:val="clear" w:color="auto" w:fill="FFFFFF"/>
        </w:rPr>
      </w:pPr>
      <w:r w:rsidRPr="00EB4B76">
        <w:rPr>
          <w:bCs/>
          <w:color w:val="000000" w:themeColor="text1"/>
          <w:shd w:val="clear" w:color="auto" w:fill="FFFFFF"/>
        </w:rPr>
        <w:t>Ka të bëjë m</w:t>
      </w:r>
      <w:r w:rsidR="00AC2F40">
        <w:rPr>
          <w:bCs/>
          <w:color w:val="000000" w:themeColor="text1"/>
          <w:shd w:val="clear" w:color="auto" w:fill="FFFFFF"/>
        </w:rPr>
        <w:t>e pagesën e 49</w:t>
      </w:r>
      <w:r w:rsidRPr="00EB4B76">
        <w:rPr>
          <w:bCs/>
          <w:color w:val="000000" w:themeColor="text1"/>
          <w:shd w:val="clear" w:color="auto" w:fill="FFFFFF"/>
        </w:rPr>
        <w:t xml:space="preserve"> raste</w:t>
      </w:r>
      <w:r w:rsidR="00AC2F40">
        <w:rPr>
          <w:bCs/>
          <w:color w:val="000000" w:themeColor="text1"/>
          <w:shd w:val="clear" w:color="auto" w:fill="FFFFFF"/>
        </w:rPr>
        <w:t>ve</w:t>
      </w:r>
      <w:r w:rsidRPr="00EB4B76">
        <w:rPr>
          <w:bCs/>
          <w:color w:val="000000" w:themeColor="text1"/>
          <w:shd w:val="clear" w:color="auto" w:fill="FFFFFF"/>
        </w:rPr>
        <w:t xml:space="preserve"> të varrimit në shumë </w:t>
      </w:r>
      <w:r w:rsidR="00AC2F40">
        <w:rPr>
          <w:bCs/>
          <w:color w:val="000000" w:themeColor="text1"/>
          <w:shd w:val="clear" w:color="auto" w:fill="FFFFFF"/>
        </w:rPr>
        <w:t>prej 8,33</w:t>
      </w:r>
      <w:r w:rsidRPr="00EB4B76">
        <w:rPr>
          <w:bCs/>
          <w:color w:val="000000" w:themeColor="text1"/>
          <w:shd w:val="clear" w:color="auto" w:fill="FFFFFF"/>
        </w:rPr>
        <w:t>0.00 €, ku 13 raste kanë qenë të vitit 2018.</w:t>
      </w:r>
    </w:p>
    <w:p w:rsidR="00B06395" w:rsidRPr="005C0AC7" w:rsidRDefault="00B06395" w:rsidP="00B06395">
      <w:pPr>
        <w:jc w:val="both"/>
        <w:rPr>
          <w:bCs/>
          <w:color w:val="222222"/>
          <w:shd w:val="clear" w:color="auto" w:fill="FFFFFF"/>
        </w:rPr>
      </w:pPr>
    </w:p>
    <w:p w:rsidR="00B06395" w:rsidRPr="00867A67" w:rsidRDefault="00B06395" w:rsidP="00B06395">
      <w:pPr>
        <w:rPr>
          <w:b/>
          <w:bCs/>
          <w:color w:val="222222"/>
          <w:u w:val="single"/>
          <w:shd w:val="clear" w:color="auto" w:fill="FFFFFF"/>
        </w:rPr>
      </w:pPr>
      <w:r>
        <w:rPr>
          <w:b/>
          <w:bCs/>
          <w:color w:val="222222"/>
          <w:u w:val="single"/>
          <w:shd w:val="clear" w:color="auto" w:fill="FFFFFF"/>
        </w:rPr>
        <w:t>14032- Mirëmbajtja e auto rrugëve lokale</w:t>
      </w:r>
    </w:p>
    <w:p w:rsidR="00B06395" w:rsidRPr="00867A67" w:rsidRDefault="00B06395" w:rsidP="00B06395">
      <w:pPr>
        <w:jc w:val="both"/>
        <w:rPr>
          <w:bCs/>
          <w:shd w:val="clear" w:color="auto" w:fill="FFFFFF"/>
        </w:rPr>
      </w:pPr>
      <w:r w:rsidRPr="0082384F">
        <w:rPr>
          <w:bCs/>
          <w:shd w:val="clear" w:color="auto" w:fill="FFFFFF"/>
        </w:rPr>
        <w:t xml:space="preserve">Ka të bëjë me mirëmbajtjen dimërore dhe verore të rrugëve në shumë prej 3,487.50 €, pastaj mirëmbajtjen dhe zhbllokimin e kanalizimeve në shumë prej </w:t>
      </w:r>
      <w:r w:rsidR="00892F78">
        <w:rPr>
          <w:bCs/>
          <w:shd w:val="clear" w:color="auto" w:fill="FFFFFF"/>
        </w:rPr>
        <w:t>5,991.0</w:t>
      </w:r>
      <w:r>
        <w:rPr>
          <w:bCs/>
          <w:shd w:val="clear" w:color="auto" w:fill="FFFFFF"/>
        </w:rPr>
        <w:t>0</w:t>
      </w:r>
      <w:r w:rsidRPr="0082384F">
        <w:rPr>
          <w:b/>
          <w:bCs/>
          <w:shd w:val="clear" w:color="auto" w:fill="FFFFFF"/>
        </w:rPr>
        <w:t xml:space="preserve"> </w:t>
      </w:r>
      <w:r w:rsidRPr="00867A67">
        <w:rPr>
          <w:bCs/>
          <w:shd w:val="clear" w:color="auto" w:fill="FFFFFF"/>
        </w:rPr>
        <w:t>€ si dhe</w:t>
      </w:r>
      <w:r>
        <w:rPr>
          <w:b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mirëmbajtjen dhe rregullimin e disa pusetave në shumë</w:t>
      </w:r>
      <w:r w:rsidRPr="00867A67">
        <w:rPr>
          <w:bCs/>
          <w:shd w:val="clear" w:color="auto" w:fill="FFFFFF"/>
        </w:rPr>
        <w:t xml:space="preserve"> prej 980.00 €.</w:t>
      </w:r>
    </w:p>
    <w:p w:rsidR="00B06395" w:rsidRPr="00537824" w:rsidRDefault="00B06395" w:rsidP="00B06395">
      <w:pPr>
        <w:rPr>
          <w:bCs/>
          <w:color w:val="000000" w:themeColor="text1"/>
          <w:shd w:val="clear" w:color="auto" w:fill="FFFFFF"/>
        </w:rPr>
      </w:pPr>
    </w:p>
    <w:p w:rsidR="00B06395" w:rsidRPr="0082384F" w:rsidRDefault="00B06395" w:rsidP="00B06395">
      <w:pPr>
        <w:rPr>
          <w:b/>
          <w:bCs/>
          <w:color w:val="000000" w:themeColor="text1"/>
          <w:u w:val="single"/>
          <w:shd w:val="clear" w:color="auto" w:fill="FFFFFF"/>
        </w:rPr>
      </w:pPr>
      <w:r w:rsidRPr="0082384F">
        <w:rPr>
          <w:b/>
          <w:bCs/>
          <w:color w:val="000000" w:themeColor="text1"/>
          <w:u w:val="single"/>
          <w:shd w:val="clear" w:color="auto" w:fill="FFFFFF"/>
        </w:rPr>
        <w:t>14220-</w:t>
      </w:r>
      <w:r w:rsidRPr="0082384F">
        <w:rPr>
          <w:b/>
          <w:color w:val="000000" w:themeColor="text1"/>
          <w:sz w:val="22"/>
          <w:szCs w:val="22"/>
          <w:u w:val="single"/>
        </w:rPr>
        <w:t xml:space="preserve"> Botimet e publikimeve</w:t>
      </w:r>
    </w:p>
    <w:p w:rsidR="00B06395" w:rsidRPr="001665E0" w:rsidRDefault="00B06395" w:rsidP="00B06395">
      <w:pPr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Ka të bëjë me publikimin e vjetarit për vitin 2018 në shumë prej 1,350.00 </w:t>
      </w:r>
      <w:r w:rsidR="00892F78">
        <w:rPr>
          <w:bCs/>
          <w:color w:val="000000" w:themeColor="text1"/>
          <w:shd w:val="clear" w:color="auto" w:fill="FFFFFF"/>
        </w:rPr>
        <w:t>€, publikimi i aktivite</w:t>
      </w:r>
      <w:r>
        <w:rPr>
          <w:bCs/>
          <w:color w:val="000000" w:themeColor="text1"/>
          <w:shd w:val="clear" w:color="auto" w:fill="FFFFFF"/>
        </w:rPr>
        <w:t>teve komunale</w:t>
      </w:r>
      <w:r w:rsidR="000017EF">
        <w:rPr>
          <w:bCs/>
          <w:color w:val="000000" w:themeColor="text1"/>
          <w:shd w:val="clear" w:color="auto" w:fill="FFFFFF"/>
        </w:rPr>
        <w:t xml:space="preserve"> </w:t>
      </w:r>
      <w:r w:rsidR="00892F78">
        <w:rPr>
          <w:bCs/>
          <w:color w:val="000000" w:themeColor="text1"/>
          <w:shd w:val="clear" w:color="auto" w:fill="FFFFFF"/>
        </w:rPr>
        <w:t>për 7 muaj në shumë prej 672</w:t>
      </w:r>
      <w:r>
        <w:rPr>
          <w:bCs/>
          <w:color w:val="000000" w:themeColor="text1"/>
          <w:shd w:val="clear" w:color="auto" w:fill="FFFFFF"/>
        </w:rPr>
        <w:t>.0</w:t>
      </w:r>
      <w:r w:rsidR="00892F78">
        <w:rPr>
          <w:bCs/>
          <w:color w:val="000000" w:themeColor="text1"/>
          <w:shd w:val="clear" w:color="auto" w:fill="FFFFFF"/>
        </w:rPr>
        <w:t xml:space="preserve">0 €, </w:t>
      </w:r>
      <w:r w:rsidR="00892F78" w:rsidRPr="004E5460">
        <w:rPr>
          <w:bCs/>
          <w:color w:val="000000" w:themeColor="text1"/>
          <w:shd w:val="clear" w:color="auto" w:fill="FFFFFF"/>
        </w:rPr>
        <w:t xml:space="preserve">si dhe </w:t>
      </w:r>
      <w:r w:rsidR="004E5460">
        <w:rPr>
          <w:bCs/>
          <w:color w:val="000000" w:themeColor="text1"/>
          <w:shd w:val="clear" w:color="auto" w:fill="FFFFFF"/>
        </w:rPr>
        <w:t>në shumë prej 581.95 € pë</w:t>
      </w:r>
      <w:r w:rsidR="00892F78" w:rsidRPr="004E5460">
        <w:rPr>
          <w:bCs/>
          <w:color w:val="000000" w:themeColor="text1"/>
          <w:shd w:val="clear" w:color="auto" w:fill="FFFFFF"/>
        </w:rPr>
        <w:t xml:space="preserve">r </w:t>
      </w:r>
      <w:r w:rsidR="004E5460">
        <w:rPr>
          <w:bCs/>
          <w:color w:val="000000" w:themeColor="text1"/>
          <w:shd w:val="clear" w:color="auto" w:fill="FFFFFF"/>
        </w:rPr>
        <w:t>botimin publikimit të revistës shkollore të SHFMU. “Kështjella e Diturisë”- Paldenicë.</w:t>
      </w:r>
    </w:p>
    <w:p w:rsidR="00B06395" w:rsidRDefault="00B06395" w:rsidP="00B06395">
      <w:pPr>
        <w:jc w:val="both"/>
        <w:rPr>
          <w:b/>
          <w:color w:val="365F91" w:themeColor="accent1" w:themeShade="BF"/>
        </w:rPr>
      </w:pPr>
    </w:p>
    <w:p w:rsidR="00B06395" w:rsidRPr="001665E0" w:rsidRDefault="00B06395" w:rsidP="00B06395">
      <w:pPr>
        <w:jc w:val="both"/>
        <w:rPr>
          <w:b/>
          <w:color w:val="365F91" w:themeColor="accent1" w:themeShade="BF"/>
          <w:u w:val="single"/>
        </w:rPr>
      </w:pPr>
      <w:r w:rsidRPr="001665E0">
        <w:rPr>
          <w:b/>
          <w:color w:val="000000"/>
          <w:sz w:val="22"/>
          <w:szCs w:val="22"/>
          <w:u w:val="single"/>
        </w:rPr>
        <w:t>14410-Shpenzime-vendimet e gjykatave</w:t>
      </w:r>
    </w:p>
    <w:p w:rsidR="00AC2F40" w:rsidRPr="00221CA0" w:rsidRDefault="00B06395" w:rsidP="00AE24A4">
      <w:pPr>
        <w:jc w:val="both"/>
        <w:rPr>
          <w:color w:val="000000" w:themeColor="text1"/>
        </w:rPr>
      </w:pPr>
      <w:r w:rsidRPr="00FC7F03">
        <w:rPr>
          <w:color w:val="000000" w:themeColor="text1"/>
        </w:rPr>
        <w:t>Kanë të bëjnë me shpenzimet e tri pagave pas pensionimit për arsimtarët Misim Curri</w:t>
      </w:r>
      <w:r>
        <w:rPr>
          <w:color w:val="000000" w:themeColor="text1"/>
        </w:rPr>
        <w:t xml:space="preserve"> në shumë prej </w:t>
      </w:r>
      <w:r w:rsidRPr="00FC7F03">
        <w:rPr>
          <w:color w:val="000000" w:themeColor="text1"/>
        </w:rPr>
        <w:t xml:space="preserve"> </w:t>
      </w:r>
      <w:r w:rsidR="000C687B">
        <w:t xml:space="preserve">1,426.86 €, </w:t>
      </w:r>
      <w:r w:rsidRPr="00867A67">
        <w:t>Mejdi Kaloshi në shumë prej 1,416.57</w:t>
      </w:r>
      <w:r>
        <w:t xml:space="preserve"> </w:t>
      </w:r>
      <w:r w:rsidR="000C687B">
        <w:t>€, Emrush Dernjani në shumë prej 1,740.62 €</w:t>
      </w:r>
      <w:r w:rsidR="009C66DB">
        <w:t>,</w:t>
      </w:r>
      <w:r w:rsidR="000C687B">
        <w:t xml:space="preserve"> si dhe një pages</w:t>
      </w:r>
      <w:r w:rsidR="009C66DB">
        <w:t xml:space="preserve">ë </w:t>
      </w:r>
      <w:r w:rsidR="000C687B">
        <w:t>gjyqësore në shumë prej 27.60 €.</w:t>
      </w:r>
    </w:p>
    <w:p w:rsidR="00160148" w:rsidRDefault="00160148" w:rsidP="00AE24A4">
      <w:pPr>
        <w:jc w:val="both"/>
        <w:rPr>
          <w:b/>
          <w:color w:val="365F91" w:themeColor="accent1" w:themeShade="BF"/>
        </w:rPr>
      </w:pPr>
    </w:p>
    <w:p w:rsidR="00AE24A4" w:rsidRDefault="00816C40" w:rsidP="00AE24A4">
      <w:pPr>
        <w:jc w:val="both"/>
        <w:rPr>
          <w:b/>
          <w:color w:val="365F91" w:themeColor="accent1" w:themeShade="BF"/>
        </w:rPr>
      </w:pPr>
      <w:r w:rsidRPr="001E00DE">
        <w:rPr>
          <w:b/>
          <w:color w:val="C00000"/>
        </w:rPr>
        <w:lastRenderedPageBreak/>
        <w:t>TABELA 6.</w:t>
      </w:r>
      <w:r>
        <w:rPr>
          <w:b/>
          <w:color w:val="C00000"/>
        </w:rPr>
        <w:t xml:space="preserve"> </w:t>
      </w:r>
      <w:r w:rsidR="009145D5">
        <w:rPr>
          <w:b/>
          <w:color w:val="365F91" w:themeColor="accent1" w:themeShade="BF"/>
        </w:rPr>
        <w:t xml:space="preserve"> </w:t>
      </w:r>
      <w:r w:rsidR="00AE24A4" w:rsidRPr="004E7F46">
        <w:rPr>
          <w:b/>
          <w:color w:val="365F91" w:themeColor="accent1" w:themeShade="BF"/>
        </w:rPr>
        <w:t>SH</w:t>
      </w:r>
      <w:r w:rsidR="00BD04CA">
        <w:rPr>
          <w:b/>
          <w:color w:val="365F91" w:themeColor="accent1" w:themeShade="BF"/>
        </w:rPr>
        <w:t>PENZI</w:t>
      </w:r>
      <w:r w:rsidR="00AE24A4" w:rsidRPr="004E7F46">
        <w:rPr>
          <w:b/>
          <w:color w:val="365F91" w:themeColor="accent1" w:themeShade="BF"/>
        </w:rPr>
        <w:t>MET KOMUNALE</w:t>
      </w:r>
    </w:p>
    <w:p w:rsidR="00107636" w:rsidRPr="00816C40" w:rsidRDefault="00107636" w:rsidP="00AE24A4">
      <w:pPr>
        <w:jc w:val="both"/>
        <w:rPr>
          <w:b/>
          <w:color w:val="C00000"/>
        </w:rPr>
      </w:pPr>
    </w:p>
    <w:bookmarkStart w:id="16" w:name="_MON_1632350101"/>
    <w:bookmarkStart w:id="17" w:name="_MON_1600353294"/>
    <w:bookmarkStart w:id="18" w:name="_MON_1632350009"/>
    <w:bookmarkStart w:id="19" w:name="_MON_1584304597"/>
    <w:bookmarkStart w:id="20" w:name="_MON_1632495096"/>
    <w:bookmarkEnd w:id="16"/>
    <w:bookmarkEnd w:id="17"/>
    <w:bookmarkEnd w:id="18"/>
    <w:bookmarkEnd w:id="19"/>
    <w:bookmarkEnd w:id="20"/>
    <w:p w:rsidR="003458A6" w:rsidRPr="005325E6" w:rsidRDefault="00E976CC" w:rsidP="005325E6">
      <w:pPr>
        <w:jc w:val="both"/>
        <w:rPr>
          <w:b/>
          <w:color w:val="C00000"/>
        </w:rPr>
      </w:pPr>
      <w:r w:rsidRPr="00F370EE">
        <w:rPr>
          <w:b/>
          <w:color w:val="C00000"/>
        </w:rPr>
        <w:object w:dxaOrig="8503" w:dyaOrig="2150">
          <v:shape id="_x0000_i1029" type="#_x0000_t75" style="width:426pt;height:107.25pt" o:ole="">
            <v:imagedata r:id="rId17" o:title=""/>
          </v:shape>
          <o:OLEObject Type="Embed" ProgID="Excel.Sheet.12" ShapeID="_x0000_i1029" DrawAspect="Content" ObjectID="_1634053666" r:id="rId18"/>
        </w:object>
      </w:r>
    </w:p>
    <w:p w:rsidR="00CF7767" w:rsidRDefault="00CF7767" w:rsidP="00AE24A4">
      <w:pPr>
        <w:rPr>
          <w:b/>
          <w:color w:val="365F91" w:themeColor="accent1" w:themeShade="BF"/>
        </w:rPr>
      </w:pPr>
    </w:p>
    <w:p w:rsidR="00B06395" w:rsidRDefault="00B06395" w:rsidP="00AE24A4">
      <w:pPr>
        <w:rPr>
          <w:b/>
          <w:color w:val="365F91" w:themeColor="accent1" w:themeShade="BF"/>
        </w:rPr>
      </w:pPr>
    </w:p>
    <w:p w:rsidR="00AE24A4" w:rsidRDefault="00816C40" w:rsidP="00AE24A4">
      <w:pPr>
        <w:rPr>
          <w:b/>
          <w:color w:val="365F91" w:themeColor="accent1" w:themeShade="BF"/>
        </w:rPr>
      </w:pPr>
      <w:r w:rsidRPr="001E00DE">
        <w:rPr>
          <w:b/>
          <w:color w:val="C00000"/>
        </w:rPr>
        <w:t>TABELA 7.</w:t>
      </w:r>
      <w:r w:rsidR="009145D5">
        <w:rPr>
          <w:b/>
          <w:color w:val="365F91" w:themeColor="accent1" w:themeShade="BF"/>
        </w:rPr>
        <w:t xml:space="preserve"> </w:t>
      </w:r>
      <w:r w:rsidR="00D92A1F">
        <w:rPr>
          <w:b/>
          <w:color w:val="365F91" w:themeColor="accent1" w:themeShade="BF"/>
        </w:rPr>
        <w:t xml:space="preserve"> </w:t>
      </w:r>
      <w:r w:rsidR="00AE24A4" w:rsidRPr="004E7F46">
        <w:rPr>
          <w:b/>
          <w:color w:val="365F91" w:themeColor="accent1" w:themeShade="BF"/>
        </w:rPr>
        <w:t>SUBVENCIONET DHE TRANSFERET</w:t>
      </w:r>
    </w:p>
    <w:p w:rsidR="00107636" w:rsidRPr="00816C40" w:rsidRDefault="00107636" w:rsidP="00AE24A4">
      <w:pPr>
        <w:rPr>
          <w:b/>
          <w:color w:val="C00000"/>
        </w:rPr>
      </w:pPr>
    </w:p>
    <w:bookmarkStart w:id="21" w:name="_MON_1584304351"/>
    <w:bookmarkStart w:id="22" w:name="_MON_1632350170"/>
    <w:bookmarkStart w:id="23" w:name="_MON_1632350180"/>
    <w:bookmarkStart w:id="24" w:name="_MON_1595622923"/>
    <w:bookmarkStart w:id="25" w:name="_MON_1595624213"/>
    <w:bookmarkStart w:id="26" w:name="_MON_1600353310"/>
    <w:bookmarkStart w:id="27" w:name="_MON_1632495165"/>
    <w:bookmarkEnd w:id="21"/>
    <w:bookmarkEnd w:id="22"/>
    <w:bookmarkEnd w:id="23"/>
    <w:bookmarkEnd w:id="24"/>
    <w:bookmarkEnd w:id="25"/>
    <w:bookmarkEnd w:id="26"/>
    <w:bookmarkEnd w:id="27"/>
    <w:p w:rsidR="00AE24A4" w:rsidRDefault="00E976CC" w:rsidP="00AE24A4">
      <w:pPr>
        <w:rPr>
          <w:b/>
          <w:color w:val="C00000"/>
        </w:rPr>
      </w:pPr>
      <w:r w:rsidRPr="00F370EE">
        <w:rPr>
          <w:b/>
          <w:color w:val="C00000"/>
        </w:rPr>
        <w:object w:dxaOrig="8611" w:dyaOrig="2759">
          <v:shape id="_x0000_i1030" type="#_x0000_t75" style="width:431.25pt;height:138pt" o:ole="">
            <v:imagedata r:id="rId19" o:title=""/>
          </v:shape>
          <o:OLEObject Type="Embed" ProgID="Excel.Sheet.12" ShapeID="_x0000_i1030" DrawAspect="Content" ObjectID="_1634053667" r:id="rId20"/>
        </w:object>
      </w:r>
    </w:p>
    <w:p w:rsidR="009A76D7" w:rsidRDefault="009A76D7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A00F83" w:rsidRDefault="00A00F83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A00F83" w:rsidRDefault="00A00F83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A00F83" w:rsidRDefault="00A00F83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A00F83" w:rsidRDefault="00A00F83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7B1B02" w:rsidRDefault="007B1B02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7B1B02" w:rsidRDefault="007B1B02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C66DB" w:rsidRDefault="009C66DB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AE24A4" w:rsidRPr="00D92A1F" w:rsidRDefault="00B82826" w:rsidP="00AE24A4">
      <w:pPr>
        <w:pStyle w:val="NoSpacing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sq-AL"/>
        </w:rPr>
      </w:pPr>
      <w:r w:rsidRPr="00D92A1F">
        <w:rPr>
          <w:rFonts w:ascii="Times New Roman" w:hAnsi="Times New Roman" w:cs="Times New Roman"/>
          <w:color w:val="365F91" w:themeColor="accent1" w:themeShade="BF"/>
          <w:sz w:val="24"/>
          <w:szCs w:val="24"/>
          <w:lang w:val="sq-AL"/>
        </w:rPr>
        <w:lastRenderedPageBreak/>
        <w:t>7.1. SHPJEGIME PËR KATEGORINË EKONOMIKE SUBVENCIONE DHE TRANSFERE</w:t>
      </w:r>
    </w:p>
    <w:p w:rsidR="00150FB1" w:rsidRDefault="00150FB1" w:rsidP="00AE24A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</w:p>
    <w:p w:rsidR="009A76D7" w:rsidRPr="009622EF" w:rsidRDefault="009A76D7" w:rsidP="009A76D7">
      <w:pPr>
        <w:pStyle w:val="NoSpacing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  <w:lang w:val="sq-AL"/>
        </w:rPr>
      </w:pPr>
      <w:r w:rsidRPr="009622EF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  <w:lang w:val="sq-AL"/>
        </w:rPr>
        <w:t>SUBVENCIONET PËR ENTITETET JOPUBLIKE</w:t>
      </w:r>
    </w:p>
    <w:p w:rsidR="009A76D7" w:rsidRPr="00D74C9D" w:rsidRDefault="009A76D7" w:rsidP="009A76D7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9A76D7" w:rsidRPr="003D4B83" w:rsidRDefault="009A76D7" w:rsidP="009A76D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041827">
        <w:rPr>
          <w:rFonts w:ascii="Times New Roman" w:hAnsi="Times New Roman" w:cs="Times New Roman"/>
          <w:sz w:val="24"/>
          <w:szCs w:val="24"/>
          <w:lang w:val="sq-AL"/>
        </w:rPr>
        <w:t xml:space="preserve">azuar në Marrëveshjen e  bashkëpunimit në mes Komunës dhe OJQ </w:t>
      </w:r>
      <w:r w:rsidRPr="00BF6ADF"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  <w:t>Help-Hilfe zur Selbsthilfe</w:t>
      </w:r>
      <w:r w:rsidRPr="00041827">
        <w:rPr>
          <w:rFonts w:ascii="Times New Roman" w:hAnsi="Times New Roman" w:cs="Times New Roman"/>
          <w:sz w:val="24"/>
          <w:szCs w:val="24"/>
          <w:lang w:val="sq-AL"/>
        </w:rPr>
        <w:t xml:space="preserve"> për projektin “Programi i trajnimit për vetëpunësim” që ka të bëjë me ofrimin e trajnimev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041827">
        <w:rPr>
          <w:rFonts w:ascii="Times New Roman" w:hAnsi="Times New Roman" w:cs="Times New Roman"/>
          <w:sz w:val="24"/>
          <w:szCs w:val="24"/>
          <w:lang w:val="sq-AL"/>
        </w:rPr>
        <w:t xml:space="preserve"> të biznesit për 50 të rinjë nga Hani i Elezit dhe </w:t>
      </w:r>
      <w:r>
        <w:rPr>
          <w:rFonts w:ascii="Times New Roman" w:hAnsi="Times New Roman" w:cs="Times New Roman"/>
          <w:sz w:val="24"/>
          <w:szCs w:val="24"/>
          <w:lang w:val="sq-AL"/>
        </w:rPr>
        <w:t>krijimit të vendeve të punës për 11</w:t>
      </w:r>
      <w:r w:rsidRPr="00041827">
        <w:rPr>
          <w:rFonts w:ascii="Times New Roman" w:hAnsi="Times New Roman" w:cs="Times New Roman"/>
          <w:sz w:val="24"/>
          <w:szCs w:val="24"/>
          <w:lang w:val="sq-AL"/>
        </w:rPr>
        <w:t xml:space="preserve"> përfitues të granteve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vetëpunësim,</w:t>
      </w:r>
      <w:r w:rsidRPr="00BF063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është paguar kësti i</w:t>
      </w:r>
      <w:r w:rsidRPr="000B400C">
        <w:rPr>
          <w:rFonts w:ascii="Times New Roman" w:hAnsi="Times New Roman" w:cs="Times New Roman"/>
          <w:sz w:val="24"/>
          <w:szCs w:val="24"/>
          <w:lang w:val="sq-AL"/>
        </w:rPr>
        <w:t xml:space="preserve"> dytë në shumë prej</w:t>
      </w:r>
      <w:r w:rsidR="00D54864">
        <w:rPr>
          <w:rFonts w:ascii="Times New Roman" w:hAnsi="Times New Roman" w:cs="Times New Roman"/>
          <w:sz w:val="24"/>
          <w:szCs w:val="24"/>
          <w:lang w:val="sq-AL"/>
        </w:rPr>
        <w:t xml:space="preserve"> 4,000.00 €;</w:t>
      </w:r>
      <w:r w:rsidRPr="000B40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A76D7" w:rsidRPr="003D4B83" w:rsidRDefault="009A76D7" w:rsidP="009A76D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bazë të marrëveshjes me shoqatën “Jetimat e Ballkanit”, komuna e Hanit të Elezit ka participuar në shumë prej 5,000.00 € për 5 familje </w:t>
      </w:r>
      <w:r w:rsidR="00D54864">
        <w:rPr>
          <w:rFonts w:ascii="Times New Roman" w:hAnsi="Times New Roman" w:cs="Times New Roman"/>
          <w:sz w:val="24"/>
          <w:szCs w:val="24"/>
          <w:lang w:val="sq-AL"/>
        </w:rPr>
        <w:t>për ndërtim të shtëpive të reja;</w:t>
      </w:r>
    </w:p>
    <w:p w:rsidR="009A76D7" w:rsidRDefault="009A76D7" w:rsidP="009A76D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 ndihmuar Klubi i futbollit “Sharri” në shumë prej 9,000.00 €;</w:t>
      </w:r>
    </w:p>
    <w:p w:rsidR="009A76D7" w:rsidRDefault="009A76D7" w:rsidP="009A76D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Është ndihmuar Shoqëria kulturore artistike “Sharri” në shumë prej 4,000.00€; </w:t>
      </w:r>
    </w:p>
    <w:p w:rsidR="009A76D7" w:rsidRDefault="009A76D7" w:rsidP="009A76D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 ndihmuar Klubi i mundjes “Sharri” në shumë prej 1,000.00 €;</w:t>
      </w:r>
    </w:p>
    <w:p w:rsidR="009A76D7" w:rsidRDefault="009A76D7" w:rsidP="009A76D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 ndihmuar Klubi i mundjes “Dardania” në shumë prej 1,000.00 €;</w:t>
      </w:r>
    </w:p>
    <w:p w:rsidR="009A76D7" w:rsidRDefault="009A76D7" w:rsidP="009A76D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 ndihmuar Shkolla e futbollit “Sharri” në</w:t>
      </w:r>
      <w:r w:rsidR="00D54864">
        <w:rPr>
          <w:rFonts w:ascii="Times New Roman" w:hAnsi="Times New Roman" w:cs="Times New Roman"/>
          <w:sz w:val="24"/>
          <w:szCs w:val="24"/>
          <w:lang w:val="sq-AL"/>
        </w:rPr>
        <w:t xml:space="preserve"> shumë prej 1,000.00 €.</w:t>
      </w:r>
    </w:p>
    <w:p w:rsidR="009A76D7" w:rsidRDefault="009A76D7" w:rsidP="009A76D7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</w:p>
    <w:p w:rsidR="009A76D7" w:rsidRPr="009622EF" w:rsidRDefault="009A76D7" w:rsidP="009A76D7">
      <w:pPr>
        <w:pStyle w:val="NoSpacing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u w:val="single"/>
          <w:lang w:val="sq-AL"/>
        </w:rPr>
      </w:pPr>
      <w:r w:rsidRPr="009622EF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u w:val="single"/>
          <w:lang w:val="sq-AL"/>
        </w:rPr>
        <w:t>PAGESAT PËR PËRFITUES INDIVIDUAL</w:t>
      </w:r>
    </w:p>
    <w:p w:rsidR="009A76D7" w:rsidRDefault="009A76D7" w:rsidP="009A76D7">
      <w:pPr>
        <w:pStyle w:val="NoSpacing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  <w:lang w:val="sq-AL"/>
        </w:rPr>
      </w:pPr>
    </w:p>
    <w:p w:rsidR="009A76D7" w:rsidRPr="005E3B2C" w:rsidRDefault="009A76D7" w:rsidP="009A76D7">
      <w:pPr>
        <w:pStyle w:val="NoSpacing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>J</w:t>
      </w:r>
      <w:r w:rsidR="004022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anë bërë pagesat në shumë prej </w:t>
      </w:r>
      <w:r w:rsidR="00FA7639">
        <w:rPr>
          <w:rFonts w:ascii="Times New Roman" w:eastAsia="Times New Roman" w:hAnsi="Times New Roman" w:cs="Times New Roman"/>
          <w:sz w:val="24"/>
          <w:szCs w:val="24"/>
          <w:lang w:val="sq-AL"/>
        </w:rPr>
        <w:t>8,827.00 €, për lehonitë (për 89</w:t>
      </w: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persona, ku borxhe të vitit 2018 kanë qenë për 7 persona apo në shumë prej 627 €)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9A76D7" w:rsidRPr="005E3B2C" w:rsidRDefault="009A76D7" w:rsidP="009A76D7">
      <w:pPr>
        <w:pStyle w:val="NoSpacing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>Janë kryer pagesat për fermerët në bujqësi në shumë prej 6,406.80 € (grurë, serra tunel, luleshtrydhe, pula vojse)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9A76D7" w:rsidRDefault="009A76D7" w:rsidP="009A76D7">
      <w:pPr>
        <w:pStyle w:val="NoSpacing"/>
        <w:numPr>
          <w:ilvl w:val="0"/>
          <w:numId w:val="12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Janë paguar bursat e studentëve për 24 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bursistë në shumë prej 11,500 €;</w:t>
      </w:r>
      <w:r w:rsidRPr="000B400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9A76D7" w:rsidRPr="000B400C" w:rsidRDefault="009A76D7" w:rsidP="009A76D7">
      <w:pPr>
        <w:pStyle w:val="NoSpacing"/>
        <w:numPr>
          <w:ilvl w:val="0"/>
          <w:numId w:val="12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Është ndihmuar studenti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 mjekësisë </w:t>
      </w: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>Bislim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Curri, në shumë prej</w:t>
      </w: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3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00.00 €;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9A76D7" w:rsidRPr="005E3B2C" w:rsidRDefault="009A76D7" w:rsidP="009A76D7">
      <w:pPr>
        <w:pStyle w:val="NoSpacing"/>
        <w:numPr>
          <w:ilvl w:val="0"/>
          <w:numId w:val="12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>Është ndihmuar qytetari Daut Loki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për shkaqe shëndetësore</w:t>
      </w:r>
      <w:r w:rsidR="009C66DB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9C66DB" w:rsidRPr="009C66D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C66DB">
        <w:rPr>
          <w:rFonts w:ascii="Times New Roman" w:eastAsia="Times New Roman" w:hAnsi="Times New Roman" w:cs="Times New Roman"/>
          <w:sz w:val="24"/>
          <w:szCs w:val="24"/>
          <w:lang w:val="sq-AL"/>
        </w:rPr>
        <w:t>në shumë prej</w:t>
      </w:r>
      <w:r w:rsidR="009C66DB"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1</w:t>
      </w:r>
      <w:r w:rsidR="009C66DB">
        <w:rPr>
          <w:rFonts w:ascii="Times New Roman" w:eastAsia="Times New Roman" w:hAnsi="Times New Roman" w:cs="Times New Roman"/>
          <w:sz w:val="24"/>
          <w:szCs w:val="24"/>
          <w:lang w:val="sq-AL"/>
        </w:rPr>
        <w:t>00.00 €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9A76D7" w:rsidRDefault="009A76D7" w:rsidP="009A76D7">
      <w:pPr>
        <w:pStyle w:val="NoSpacing"/>
        <w:numPr>
          <w:ilvl w:val="0"/>
          <w:numId w:val="12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>Është ndihmuar qytetari Fatmir Curri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 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shkaqe shëndetësore (</w:t>
      </w:r>
      <w:r w:rsidR="007922E1">
        <w:rPr>
          <w:rFonts w:ascii="Times New Roman" w:eastAsia="Times New Roman" w:hAnsi="Times New Roman" w:cs="Times New Roman"/>
          <w:sz w:val="24"/>
          <w:szCs w:val="24"/>
          <w:lang w:val="sq-AL"/>
        </w:rPr>
        <w:t>për operim</w:t>
      </w:r>
      <w:r w:rsidR="009C66DB">
        <w:rPr>
          <w:rFonts w:ascii="Times New Roman" w:eastAsia="Times New Roman" w:hAnsi="Times New Roman" w:cs="Times New Roman"/>
          <w:sz w:val="24"/>
          <w:szCs w:val="24"/>
          <w:lang w:val="sq-AL"/>
        </w:rPr>
        <w:t>),</w:t>
      </w:r>
      <w:r w:rsidR="009C66DB" w:rsidRPr="009C66D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C66DB">
        <w:rPr>
          <w:rFonts w:ascii="Times New Roman" w:eastAsia="Times New Roman" w:hAnsi="Times New Roman" w:cs="Times New Roman"/>
          <w:sz w:val="24"/>
          <w:szCs w:val="24"/>
          <w:lang w:val="sq-AL"/>
        </w:rPr>
        <w:t>në shumë prej</w:t>
      </w:r>
      <w:r w:rsidR="009C66DB"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500.00 €</w:t>
      </w:r>
      <w:r w:rsidR="009C66DB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ED76AC" w:rsidRPr="005E3B2C" w:rsidRDefault="00ED76AC" w:rsidP="00ED76AC">
      <w:pPr>
        <w:pStyle w:val="NoSpacing"/>
        <w:numPr>
          <w:ilvl w:val="0"/>
          <w:numId w:val="12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Është ndihmuar qytetari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Afrim</w:t>
      </w:r>
      <w:r w:rsidR="00FC2A6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Loku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për shkak të kushteve të vështira ekonomike</w:t>
      </w:r>
      <w:r w:rsidR="009C66DB" w:rsidRPr="009C66D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C66DB">
        <w:rPr>
          <w:rFonts w:ascii="Times New Roman" w:eastAsia="Times New Roman" w:hAnsi="Times New Roman" w:cs="Times New Roman"/>
          <w:sz w:val="24"/>
          <w:szCs w:val="24"/>
          <w:lang w:val="sq-AL"/>
        </w:rPr>
        <w:t>në shumë prej</w:t>
      </w:r>
      <w:r w:rsidR="009C66DB"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1</w:t>
      </w:r>
      <w:r w:rsidR="009C66DB">
        <w:rPr>
          <w:rFonts w:ascii="Times New Roman" w:eastAsia="Times New Roman" w:hAnsi="Times New Roman" w:cs="Times New Roman"/>
          <w:sz w:val="24"/>
          <w:szCs w:val="24"/>
          <w:lang w:val="sq-AL"/>
        </w:rPr>
        <w:t>50.00 €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ED76AC" w:rsidRPr="00D126AC" w:rsidRDefault="00ED76AC" w:rsidP="00D126AC">
      <w:pPr>
        <w:pStyle w:val="NoSpacing"/>
        <w:numPr>
          <w:ilvl w:val="0"/>
          <w:numId w:val="12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>Është ndihmuar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mundësi Urim Qaili, 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për</w:t>
      </w:r>
      <w:r w:rsidR="00EE116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shpenzimet 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E116E">
        <w:rPr>
          <w:rFonts w:ascii="Times New Roman" w:eastAsia="Times New Roman" w:hAnsi="Times New Roman" w:cs="Times New Roman"/>
          <w:sz w:val="24"/>
          <w:szCs w:val="24"/>
          <w:lang w:val="sq-AL"/>
        </w:rPr>
        <w:t>e pjesëmarrjes në lojërat E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uropiane Baku 2019-Azerbajxhan</w:t>
      </w:r>
      <w:r w:rsidR="009C66DB" w:rsidRPr="009C66D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C66DB">
        <w:rPr>
          <w:rFonts w:ascii="Times New Roman" w:eastAsia="Times New Roman" w:hAnsi="Times New Roman" w:cs="Times New Roman"/>
          <w:sz w:val="24"/>
          <w:szCs w:val="24"/>
          <w:lang w:val="sq-AL"/>
        </w:rPr>
        <w:t>në shumë prej 500.00 €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ED76AC" w:rsidRPr="00EE116E" w:rsidRDefault="00ED76AC" w:rsidP="00EE116E">
      <w:pPr>
        <w:pStyle w:val="NoSpacing"/>
        <w:numPr>
          <w:ilvl w:val="0"/>
          <w:numId w:val="12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>Është ndihmuar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trajneri Ziber Xhoni, </w:t>
      </w:r>
      <w:r w:rsidR="00EE116E">
        <w:rPr>
          <w:rFonts w:ascii="Times New Roman" w:eastAsia="Times New Roman" w:hAnsi="Times New Roman" w:cs="Times New Roman"/>
          <w:sz w:val="24"/>
          <w:szCs w:val="24"/>
          <w:lang w:val="sq-AL"/>
        </w:rPr>
        <w:t>për shpenzimet  e pjesëmarrjes në lojërat Europiane Baku 2019-Azerbajxhan</w:t>
      </w:r>
      <w:r w:rsidR="009C66DB" w:rsidRPr="009C66D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C66DB">
        <w:rPr>
          <w:rFonts w:ascii="Times New Roman" w:eastAsia="Times New Roman" w:hAnsi="Times New Roman" w:cs="Times New Roman"/>
          <w:sz w:val="24"/>
          <w:szCs w:val="24"/>
          <w:lang w:val="sq-AL"/>
        </w:rPr>
        <w:t>në shumë prej 500.00 €</w:t>
      </w:r>
      <w:r w:rsidR="00EE116E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ED76AC" w:rsidRDefault="00ED76AC" w:rsidP="009A76D7">
      <w:pPr>
        <w:pStyle w:val="NoSpacing"/>
        <w:numPr>
          <w:ilvl w:val="0"/>
          <w:numId w:val="12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>Është ndihmuar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Nerxhivane Berisha, për shkaqe shëndetësore për </w:t>
      </w:r>
      <w:r w:rsidR="00637925">
        <w:rPr>
          <w:rFonts w:ascii="Times New Roman" w:eastAsia="Times New Roman" w:hAnsi="Times New Roman" w:cs="Times New Roman"/>
          <w:sz w:val="24"/>
          <w:szCs w:val="24"/>
          <w:lang w:val="sq-AL"/>
        </w:rPr>
        <w:t>operim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jashtë vendit</w:t>
      </w:r>
      <w:r w:rsidR="009C66DB" w:rsidRPr="009C66D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C66DB">
        <w:rPr>
          <w:rFonts w:ascii="Times New Roman" w:eastAsia="Times New Roman" w:hAnsi="Times New Roman" w:cs="Times New Roman"/>
          <w:sz w:val="24"/>
          <w:szCs w:val="24"/>
          <w:lang w:val="sq-AL"/>
        </w:rPr>
        <w:t>në shumë prej 1,000.00 €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ED76AC" w:rsidRPr="005E3B2C" w:rsidRDefault="00ED76AC" w:rsidP="009A76D7">
      <w:pPr>
        <w:pStyle w:val="NoSpacing"/>
        <w:numPr>
          <w:ilvl w:val="0"/>
          <w:numId w:val="12"/>
        </w:num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E3B2C">
        <w:rPr>
          <w:rFonts w:ascii="Times New Roman" w:eastAsia="Times New Roman" w:hAnsi="Times New Roman" w:cs="Times New Roman"/>
          <w:sz w:val="24"/>
          <w:szCs w:val="24"/>
          <w:lang w:val="sq-AL"/>
        </w:rPr>
        <w:t>Është ndihmuar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Bekim Qupi për djalin e tij</w:t>
      </w:r>
      <w:r w:rsidR="006379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 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operim</w:t>
      </w:r>
      <w:r w:rsidR="006379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ashtë vendit</w:t>
      </w:r>
      <w:r w:rsidR="009C66DB" w:rsidRPr="009C66D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9C66DB">
        <w:rPr>
          <w:rFonts w:ascii="Times New Roman" w:eastAsia="Times New Roman" w:hAnsi="Times New Roman" w:cs="Times New Roman"/>
          <w:sz w:val="24"/>
          <w:szCs w:val="24"/>
          <w:lang w:val="sq-AL"/>
        </w:rPr>
        <w:t>në shumë prej 1,000.00 €</w:t>
      </w:r>
      <w:r w:rsidR="00D126AC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9A76D7" w:rsidRPr="006E329E" w:rsidRDefault="009A76D7" w:rsidP="009A76D7">
      <w:pPr>
        <w:pStyle w:val="NoSpacing"/>
        <w:tabs>
          <w:tab w:val="left" w:pos="990"/>
        </w:tabs>
        <w:ind w:left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q-AL"/>
        </w:rPr>
      </w:pPr>
    </w:p>
    <w:p w:rsidR="009A76D7" w:rsidRPr="006E329E" w:rsidRDefault="009A76D7" w:rsidP="009A76D7">
      <w:pPr>
        <w:pStyle w:val="NoSpacing"/>
        <w:tabs>
          <w:tab w:val="left" w:pos="990"/>
        </w:tabs>
        <w:ind w:left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q-AL"/>
        </w:rPr>
      </w:pPr>
    </w:p>
    <w:p w:rsidR="009A76D7" w:rsidRDefault="009A76D7" w:rsidP="009A76D7"/>
    <w:p w:rsidR="00DA5AEB" w:rsidRPr="0086411C" w:rsidRDefault="00DA5AEB" w:rsidP="006F095D">
      <w:pPr>
        <w:pStyle w:val="NoSpacing"/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</w:p>
    <w:p w:rsidR="00AE24A4" w:rsidRDefault="00AE24A4">
      <w:pPr>
        <w:sectPr w:rsidR="00AE24A4" w:rsidSect="00D64209"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:rsidR="009A76D7" w:rsidRDefault="009A76D7" w:rsidP="009A76D7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 xml:space="preserve">8. </w:t>
      </w:r>
      <w:r w:rsidRPr="004E7F46">
        <w:rPr>
          <w:b/>
          <w:color w:val="365F91" w:themeColor="accent1" w:themeShade="BF"/>
        </w:rPr>
        <w:t>LISTA E PROJEKTE</w:t>
      </w:r>
      <w:r>
        <w:rPr>
          <w:b/>
          <w:color w:val="365F91" w:themeColor="accent1" w:themeShade="BF"/>
        </w:rPr>
        <w:t>VE KAPITALE PËR PERIUDHËN JANAR-SHTATOR 2019</w:t>
      </w:r>
    </w:p>
    <w:p w:rsidR="009A76D7" w:rsidRDefault="009A76D7" w:rsidP="009A76D7">
      <w:pPr>
        <w:rPr>
          <w:b/>
          <w:color w:val="C00000"/>
        </w:rPr>
      </w:pPr>
      <w:r w:rsidRPr="001E00DE">
        <w:rPr>
          <w:b/>
          <w:color w:val="C00000"/>
        </w:rPr>
        <w:t>TABELA 8.</w:t>
      </w:r>
      <w:r w:rsidRPr="001E00DE">
        <w:rPr>
          <w:b/>
          <w:color w:val="C00000"/>
        </w:rPr>
        <w:tab/>
      </w:r>
    </w:p>
    <w:p w:rsidR="009A76D7" w:rsidRDefault="009A76D7" w:rsidP="009A76D7">
      <w:pPr>
        <w:rPr>
          <w:b/>
          <w:color w:val="C00000"/>
        </w:rPr>
      </w:pPr>
    </w:p>
    <w:tbl>
      <w:tblPr>
        <w:tblW w:w="14040" w:type="dxa"/>
        <w:tblInd w:w="-252" w:type="dxa"/>
        <w:tblLayout w:type="fixed"/>
        <w:tblLook w:val="04A0"/>
      </w:tblPr>
      <w:tblGrid>
        <w:gridCol w:w="716"/>
        <w:gridCol w:w="3784"/>
        <w:gridCol w:w="1180"/>
        <w:gridCol w:w="1180"/>
        <w:gridCol w:w="1180"/>
        <w:gridCol w:w="1035"/>
        <w:gridCol w:w="1170"/>
        <w:gridCol w:w="1272"/>
        <w:gridCol w:w="1330"/>
        <w:gridCol w:w="1193"/>
      </w:tblGrid>
      <w:tr w:rsidR="009A76D7" w:rsidRPr="00E82B8F" w:rsidTr="009C11D3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6D7" w:rsidRPr="00E82B8F" w:rsidRDefault="009A76D7" w:rsidP="007F2288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  <w:lang w:val="en-US"/>
              </w:rPr>
              <w:t>TOTAL 2019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9A76D7" w:rsidRPr="00E82B8F" w:rsidRDefault="009A76D7" w:rsidP="002565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82B8F">
              <w:rPr>
                <w:color w:val="000000"/>
                <w:sz w:val="20"/>
                <w:szCs w:val="20"/>
                <w:lang w:val="en-US"/>
              </w:rPr>
              <w:t>Të shpenzuara janar-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shtator </w:t>
            </w:r>
            <w:r w:rsidRPr="00E82B8F">
              <w:rPr>
                <w:color w:val="000000"/>
                <w:sz w:val="20"/>
                <w:szCs w:val="20"/>
                <w:lang w:val="en-US"/>
              </w:rPr>
              <w:t>2019</w:t>
            </w:r>
            <w:r w:rsidR="002255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A76D7" w:rsidRPr="00E82B8F" w:rsidTr="009C11D3">
        <w:trPr>
          <w:trHeight w:val="78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9A76D7" w:rsidRPr="00E82B8F" w:rsidRDefault="009A76D7" w:rsidP="007F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E82B8F">
              <w:rPr>
                <w:b/>
                <w:bCs/>
                <w:sz w:val="20"/>
                <w:szCs w:val="20"/>
              </w:rPr>
              <w:t>Kodi</w:t>
            </w:r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9A76D7" w:rsidRPr="00E82B8F" w:rsidRDefault="009A76D7" w:rsidP="007F22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>Programi/përshkrimi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5A5A5"/>
            <w:vAlign w:val="center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10- BKK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5A5A5"/>
            <w:vAlign w:val="center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21- THV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22- THV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5A5A5"/>
            <w:vAlign w:val="center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FH</w:t>
            </w:r>
            <w:r w:rsidRPr="00E82B8F">
              <w:rPr>
                <w:color w:val="000000"/>
                <w:sz w:val="20"/>
                <w:szCs w:val="20"/>
              </w:rPr>
              <w:t xml:space="preserve">-04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GRANTE </w:t>
            </w:r>
            <w:r>
              <w:rPr>
                <w:color w:val="000000"/>
                <w:sz w:val="20"/>
                <w:szCs w:val="20"/>
              </w:rPr>
              <w:t>NGA SHARRCEM</w:t>
            </w:r>
            <w:r w:rsidRPr="00E82B8F">
              <w:rPr>
                <w:color w:val="000000"/>
                <w:sz w:val="20"/>
                <w:szCs w:val="20"/>
              </w:rPr>
              <w:t>-32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QEVERIA JAPONEZE-59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5A5A5"/>
            <w:vAlign w:val="center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Total 2019</w:t>
            </w: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76D7" w:rsidRPr="00E82B8F" w:rsidRDefault="009A76D7" w:rsidP="007F2288">
            <w:pPr>
              <w:rPr>
                <w:color w:val="000000"/>
                <w:sz w:val="20"/>
                <w:szCs w:val="20"/>
              </w:rPr>
            </w:pPr>
          </w:p>
        </w:tc>
      </w:tr>
      <w:tr w:rsidR="009A76D7" w:rsidRPr="00E82B8F" w:rsidTr="009C11D3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8B54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8B54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8B54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76D7" w:rsidRPr="00E82B8F" w:rsidTr="009C11D3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A76D7" w:rsidRPr="00E82B8F" w:rsidRDefault="009A76D7" w:rsidP="007F22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>SHPENZIMET KAPITALE TOTALE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829,890.00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212,675.00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169,485.73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46D0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1,468.00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46D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55,000.00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61,016.00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1,329,534.73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A76D7" w:rsidRPr="00E82B8F" w:rsidRDefault="00600DB4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DE244E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E244E">
              <w:rPr>
                <w:b/>
                <w:bCs/>
                <w:color w:val="000000"/>
                <w:sz w:val="20"/>
                <w:szCs w:val="20"/>
              </w:rPr>
              <w:t>,489.62</w:t>
            </w:r>
            <w:r w:rsidR="009A76D7" w:rsidRPr="00E82B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A76D7" w:rsidRPr="00E82B8F" w:rsidTr="009C11D3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9A76D7" w:rsidRPr="00E62940" w:rsidRDefault="009A76D7" w:rsidP="007F2288">
            <w:pPr>
              <w:rPr>
                <w:b/>
                <w:sz w:val="20"/>
                <w:szCs w:val="20"/>
              </w:rPr>
            </w:pPr>
            <w:r w:rsidRPr="00E62940">
              <w:rPr>
                <w:b/>
                <w:sz w:val="20"/>
                <w:szCs w:val="20"/>
              </w:rPr>
              <w:t>16335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9A76D7" w:rsidRPr="00E82B8F" w:rsidRDefault="009A76D7" w:rsidP="007F22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>Administrata dhe personeli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46D0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10,245.35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46D0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10,245.35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46D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10,244.00 </w:t>
            </w:r>
          </w:p>
        </w:tc>
      </w:tr>
      <w:tr w:rsidR="009A76D7" w:rsidRPr="00E82B8F" w:rsidTr="009C11D3">
        <w:trPr>
          <w:trHeight w:val="40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45624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76D7" w:rsidRPr="00E82B8F" w:rsidRDefault="009A76D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Mbulimi i parkingut dhe rregullimi i garazhës për automjetet zyrtare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       10,245.35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          10,245.35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        10,244.00 </w:t>
            </w:r>
          </w:p>
        </w:tc>
      </w:tr>
      <w:tr w:rsidR="009A76D7" w:rsidRPr="00E82B8F" w:rsidTr="009C11D3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A76D7" w:rsidRPr="00E82B8F" w:rsidRDefault="009A76D7" w:rsidP="007F2288">
            <w:pPr>
              <w:jc w:val="center"/>
              <w:rPr>
                <w:b/>
                <w:bCs/>
                <w:sz w:val="20"/>
                <w:szCs w:val="20"/>
              </w:rPr>
            </w:pPr>
            <w:r w:rsidRPr="00E82B8F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A76D7" w:rsidRPr="00E82B8F" w:rsidRDefault="009A76D7" w:rsidP="007F22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>Shërbimet publike dhe emergjenca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46D0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46D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45,000.00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61,016.00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F46D0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156,016.00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A76D7" w:rsidRPr="00E82B8F" w:rsidRDefault="00DE244E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72,570.60</w:t>
            </w:r>
            <w:r w:rsidR="009A76D7" w:rsidRPr="00E82B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A76D7" w:rsidRPr="00E82B8F" w:rsidTr="009C11D3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45628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76D7" w:rsidRPr="00E82B8F" w:rsidRDefault="009A76D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Riparimi i rrugëve dhe trotuareve të Hanit të Elezit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FF46D0">
              <w:rPr>
                <w:sz w:val="20"/>
                <w:szCs w:val="20"/>
              </w:rPr>
              <w:t xml:space="preserve">   </w:t>
            </w:r>
            <w:r w:rsidRPr="00E82B8F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FF46D0">
              <w:rPr>
                <w:sz w:val="20"/>
                <w:szCs w:val="20"/>
              </w:rPr>
              <w:t xml:space="preserve">      </w:t>
            </w:r>
            <w:r w:rsidRPr="00E82B8F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7" w:rsidRPr="0022558D" w:rsidRDefault="009A76D7" w:rsidP="009C66DB">
            <w:pPr>
              <w:rPr>
                <w:color w:val="0070C0"/>
                <w:sz w:val="16"/>
                <w:szCs w:val="16"/>
              </w:rPr>
            </w:pPr>
          </w:p>
        </w:tc>
      </w:tr>
      <w:tr w:rsidR="009A76D7" w:rsidRPr="00E82B8F" w:rsidTr="009C11D3">
        <w:trPr>
          <w:trHeight w:val="35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41620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76D7" w:rsidRPr="00E82B8F" w:rsidRDefault="009A76D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Fond për emergjencë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FF46D0">
              <w:rPr>
                <w:sz w:val="20"/>
                <w:szCs w:val="20"/>
              </w:rPr>
              <w:t xml:space="preserve">   </w:t>
            </w:r>
            <w:r w:rsidRPr="00E82B8F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FF46D0">
              <w:rPr>
                <w:sz w:val="20"/>
                <w:szCs w:val="20"/>
              </w:rPr>
              <w:t xml:space="preserve">     </w:t>
            </w:r>
            <w:r w:rsidRPr="00E82B8F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7" w:rsidRPr="0022558D" w:rsidRDefault="009A76D7" w:rsidP="009C66DB">
            <w:pPr>
              <w:rPr>
                <w:color w:val="0070C0"/>
                <w:sz w:val="16"/>
                <w:szCs w:val="16"/>
              </w:rPr>
            </w:pPr>
          </w:p>
        </w:tc>
      </w:tr>
      <w:tr w:rsidR="009A76D7" w:rsidRPr="00E82B8F" w:rsidTr="009C11D3">
        <w:trPr>
          <w:trHeight w:val="35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90573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7" w:rsidRPr="00E82B8F" w:rsidRDefault="009A76D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Ndriçimi publik i zonës urbane dhe rurale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FF46D0">
              <w:rPr>
                <w:sz w:val="20"/>
                <w:szCs w:val="20"/>
              </w:rPr>
              <w:t xml:space="preserve">   </w:t>
            </w:r>
            <w:r w:rsidRPr="00E82B8F">
              <w:rPr>
                <w:sz w:val="20"/>
                <w:szCs w:val="20"/>
              </w:rPr>
              <w:t xml:space="preserve">20,000.00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FF46D0">
              <w:rPr>
                <w:sz w:val="20"/>
                <w:szCs w:val="20"/>
              </w:rPr>
              <w:t xml:space="preserve">  </w:t>
            </w:r>
            <w:r w:rsidRPr="00E82B8F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A76D7" w:rsidRPr="00E82B8F" w:rsidRDefault="009A76D7" w:rsidP="007F2288">
            <w:pPr>
              <w:jc w:val="right"/>
              <w:rPr>
                <w:sz w:val="20"/>
                <w:szCs w:val="20"/>
              </w:rPr>
            </w:pPr>
            <w:r w:rsidRPr="00FF46D0">
              <w:rPr>
                <w:sz w:val="20"/>
                <w:szCs w:val="20"/>
              </w:rPr>
              <w:t xml:space="preserve"> </w:t>
            </w:r>
            <w:r w:rsidRPr="00E82B8F">
              <w:rPr>
                <w:sz w:val="20"/>
                <w:szCs w:val="20"/>
              </w:rPr>
              <w:t xml:space="preserve">30,000.00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7" w:rsidRPr="0022558D" w:rsidRDefault="009A76D7" w:rsidP="009C66DB">
            <w:pPr>
              <w:rPr>
                <w:color w:val="0070C0"/>
                <w:sz w:val="16"/>
                <w:szCs w:val="16"/>
              </w:rPr>
            </w:pPr>
          </w:p>
        </w:tc>
      </w:tr>
      <w:tr w:rsidR="000C5A47" w:rsidRPr="00E82B8F" w:rsidTr="009C11D3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47216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Shtimi i kapaciteteve të ujit dhe rregullimi i rrjetit të ujësjellësit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 20,000.00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22558D" w:rsidRDefault="000C5A47" w:rsidP="0022558D">
            <w:pPr>
              <w:rPr>
                <w:color w:val="0070C0"/>
                <w:sz w:val="16"/>
                <w:szCs w:val="16"/>
              </w:rPr>
            </w:pPr>
          </w:p>
        </w:tc>
      </w:tr>
      <w:tr w:rsidR="000C5A47" w:rsidRPr="00E82B8F" w:rsidTr="009C11D3">
        <w:trPr>
          <w:trHeight w:val="3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48954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Vendosja e kamerave në zonat rurale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FF46D0">
              <w:rPr>
                <w:sz w:val="20"/>
                <w:szCs w:val="20"/>
              </w:rPr>
              <w:t xml:space="preserve">   </w:t>
            </w:r>
            <w:r w:rsidRPr="00E82B8F">
              <w:rPr>
                <w:sz w:val="20"/>
                <w:szCs w:val="20"/>
              </w:rPr>
              <w:t xml:space="preserve">5,000.00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FF46D0">
              <w:rPr>
                <w:sz w:val="20"/>
                <w:szCs w:val="20"/>
              </w:rPr>
              <w:t xml:space="preserve">       </w:t>
            </w:r>
            <w:r w:rsidRPr="00E82B8F">
              <w:rPr>
                <w:sz w:val="20"/>
                <w:szCs w:val="20"/>
              </w:rPr>
              <w:t xml:space="preserve">5,000.00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22558D" w:rsidRDefault="000C5A47" w:rsidP="009C66DB">
            <w:pPr>
              <w:rPr>
                <w:color w:val="0070C0"/>
                <w:sz w:val="16"/>
                <w:szCs w:val="16"/>
              </w:rPr>
            </w:pPr>
          </w:p>
        </w:tc>
      </w:tr>
      <w:tr w:rsidR="000C5A47" w:rsidRPr="00E82B8F" w:rsidTr="009C11D3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41622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Hulumtimi dhe furnizimi i fshatrave me ujë të pijshëm (Paldenicë, Seçishtë, Gorancë)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 20,000.00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        11,555.00 </w:t>
            </w:r>
          </w:p>
        </w:tc>
      </w:tr>
      <w:tr w:rsidR="000C5A47" w:rsidRPr="00E82B8F" w:rsidTr="009C11D3">
        <w:trPr>
          <w:trHeight w:val="4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95923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Projekti për menaxhimin e mbeturinave të ngurta (Kamion për mbeturina)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61,016.00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 61,016.00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CE580B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61,015.60</w:t>
            </w:r>
            <w:r w:rsidRPr="00E82B8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C5A47" w:rsidRPr="00E82B8F" w:rsidTr="009C11D3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C5A47" w:rsidRPr="00E82B8F" w:rsidRDefault="000C5A47" w:rsidP="007F2288">
            <w:pPr>
              <w:rPr>
                <w:b/>
                <w:bCs/>
                <w:sz w:val="20"/>
                <w:szCs w:val="20"/>
              </w:rPr>
            </w:pPr>
            <w:r w:rsidRPr="00E82B8F">
              <w:rPr>
                <w:b/>
                <w:bCs/>
                <w:sz w:val="20"/>
                <w:szCs w:val="20"/>
              </w:rPr>
              <w:t>66</w:t>
            </w: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C5A47" w:rsidRPr="00E82B8F" w:rsidRDefault="000C5A47" w:rsidP="007F22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>Planifikim urban dhe mjedisi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sz w:val="20"/>
                <w:szCs w:val="20"/>
              </w:rPr>
            </w:pPr>
            <w:r w:rsidRPr="00E82B8F">
              <w:rPr>
                <w:b/>
                <w:bCs/>
                <w:sz w:val="20"/>
                <w:szCs w:val="20"/>
              </w:rPr>
              <w:t xml:space="preserve">493,890.00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sz w:val="20"/>
                <w:szCs w:val="20"/>
              </w:rPr>
            </w:pPr>
            <w:r w:rsidRPr="00E82B8F">
              <w:rPr>
                <w:b/>
                <w:bCs/>
                <w:sz w:val="20"/>
                <w:szCs w:val="20"/>
              </w:rPr>
              <w:t xml:space="preserve">152,675.00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sz w:val="20"/>
                <w:szCs w:val="20"/>
              </w:rPr>
            </w:pPr>
            <w:r w:rsidRPr="00E82B8F">
              <w:rPr>
                <w:b/>
                <w:bCs/>
                <w:sz w:val="20"/>
                <w:szCs w:val="20"/>
              </w:rPr>
              <w:t xml:space="preserve">159,240.38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sz w:val="20"/>
                <w:szCs w:val="20"/>
              </w:rPr>
            </w:pPr>
            <w:r w:rsidRPr="00FF46D0">
              <w:rPr>
                <w:b/>
                <w:bCs/>
                <w:sz w:val="20"/>
                <w:szCs w:val="20"/>
              </w:rPr>
              <w:t xml:space="preserve">               </w:t>
            </w:r>
            <w:r w:rsidRPr="00E82B8F">
              <w:rPr>
                <w:b/>
                <w:bCs/>
                <w:sz w:val="20"/>
                <w:szCs w:val="20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sz w:val="20"/>
                <w:szCs w:val="20"/>
              </w:rPr>
            </w:pPr>
            <w:r w:rsidRPr="00FF46D0">
              <w:rPr>
                <w:b/>
                <w:bCs/>
                <w:sz w:val="20"/>
                <w:szCs w:val="20"/>
              </w:rPr>
              <w:t xml:space="preserve">  </w:t>
            </w:r>
            <w:r w:rsidRPr="00E82B8F">
              <w:rPr>
                <w:b/>
                <w:bCs/>
                <w:sz w:val="20"/>
                <w:szCs w:val="20"/>
              </w:rPr>
              <w:t xml:space="preserve">55,000.00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sz w:val="20"/>
                <w:szCs w:val="20"/>
              </w:rPr>
            </w:pPr>
            <w:r w:rsidRPr="00FF46D0">
              <w:rPr>
                <w:b/>
                <w:bCs/>
                <w:sz w:val="20"/>
                <w:szCs w:val="20"/>
              </w:rPr>
              <w:t xml:space="preserve">               </w:t>
            </w:r>
            <w:r w:rsidRPr="00E82B8F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sz w:val="20"/>
                <w:szCs w:val="20"/>
              </w:rPr>
            </w:pPr>
            <w:r w:rsidRPr="00FF46D0">
              <w:rPr>
                <w:b/>
                <w:bCs/>
                <w:sz w:val="20"/>
                <w:szCs w:val="20"/>
              </w:rPr>
              <w:t xml:space="preserve">  </w:t>
            </w:r>
            <w:r w:rsidRPr="00E82B8F">
              <w:rPr>
                <w:b/>
                <w:bCs/>
                <w:sz w:val="20"/>
                <w:szCs w:val="20"/>
              </w:rPr>
              <w:t xml:space="preserve">860,805.38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285,854.81</w:t>
            </w:r>
            <w:r w:rsidRPr="00E82B8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C5A47" w:rsidRPr="00E82B8F" w:rsidTr="009C11D3">
        <w:trPr>
          <w:trHeight w:val="4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45700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Shtrimi me kubëza betoni i rrugicave nëpër zonat urbane të Hanit të Elezit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4,476.21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 14,476.21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FF46D0">
              <w:rPr>
                <w:color w:val="000000"/>
                <w:sz w:val="20"/>
                <w:szCs w:val="20"/>
              </w:rPr>
              <w:t xml:space="preserve">        </w:t>
            </w:r>
            <w:r w:rsidRPr="00E82B8F">
              <w:rPr>
                <w:color w:val="000000"/>
                <w:sz w:val="20"/>
                <w:szCs w:val="20"/>
              </w:rPr>
              <w:t xml:space="preserve">4,473.00 </w:t>
            </w:r>
          </w:p>
        </w:tc>
      </w:tr>
      <w:tr w:rsidR="000C5A47" w:rsidRPr="00E82B8F" w:rsidTr="009C11D3">
        <w:trPr>
          <w:trHeight w:val="7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45702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Shtrimi me kubëza betoni i rrugicave nëpër zonat  rurale të Hanit të Elezit (Gorancë, Krivenik, Paldenicë, Pustenik, Rezhancë, Seçishtë, Meliq, Dimcë, Lagja e re, Uji i Thartë)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60,000.00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15,080.83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 75,080.83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          6,878.00 </w:t>
            </w:r>
          </w:p>
        </w:tc>
      </w:tr>
      <w:tr w:rsidR="000C5A47" w:rsidRPr="00E82B8F" w:rsidTr="009C11D3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41641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Mjete të lira për bashkëinvestime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2B8F">
              <w:rPr>
                <w:sz w:val="20"/>
                <w:szCs w:val="20"/>
              </w:rPr>
              <w:t xml:space="preserve">40,000.00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82B8F">
              <w:rPr>
                <w:sz w:val="20"/>
                <w:szCs w:val="20"/>
              </w:rPr>
              <w:t xml:space="preserve">50,000.00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9C11D3" w:rsidP="006235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0C5A47">
              <w:rPr>
                <w:color w:val="000000"/>
                <w:sz w:val="20"/>
                <w:szCs w:val="20"/>
              </w:rPr>
              <w:t>43,050.30</w:t>
            </w:r>
            <w:r w:rsidR="000C5A47" w:rsidRPr="00E82B8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C5A47" w:rsidRPr="00E82B8F" w:rsidTr="009C11D3">
        <w:trPr>
          <w:trHeight w:val="4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41629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Rregullimi i kanalizimeve  në lagjet e mbetura të zonës urbane të Hanit të Elezit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16,565.00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 16,565.00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22558D" w:rsidRDefault="000C5A47" w:rsidP="000C5A47">
            <w:pPr>
              <w:rPr>
                <w:color w:val="0070C0"/>
                <w:sz w:val="16"/>
                <w:szCs w:val="16"/>
              </w:rPr>
            </w:pPr>
          </w:p>
        </w:tc>
      </w:tr>
      <w:tr w:rsidR="000C5A47" w:rsidRPr="00E82B8F" w:rsidTr="009C11D3">
        <w:trPr>
          <w:trHeight w:val="68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lastRenderedPageBreak/>
              <w:t>45710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Rregullimi i kanalizimeve  në lagjet e mbetura të zonave rurale të Hanit të Elezit (Rezhancë, Paldenicë, Gorancë, Dimcë, Lagja e re, Dermjak)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50,000.00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9,865.48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 59,865.48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37,672.72</w:t>
            </w: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5A47" w:rsidRPr="00E82B8F" w:rsidTr="009C11D3">
        <w:trPr>
          <w:trHeight w:val="4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48910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Ndërtimi (rihapja, zgjërimi) dhe asfaltimi i rrugëve rurale në Han të Elezit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130,000.00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          -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130,000.00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22558D" w:rsidRDefault="000C5A47" w:rsidP="000C5A47">
            <w:pPr>
              <w:rPr>
                <w:color w:val="0070C0"/>
                <w:sz w:val="16"/>
                <w:szCs w:val="16"/>
              </w:rPr>
            </w:pPr>
          </w:p>
        </w:tc>
      </w:tr>
      <w:tr w:rsidR="000C5A47" w:rsidRPr="00E82B8F" w:rsidTr="009C11D3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45755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Asfaltimi i rrugës nga fshati Dermjak deri në fshatin Neqavcë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20,000.00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 30,000.00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22558D" w:rsidRDefault="000C5A47" w:rsidP="000C5A47">
            <w:pPr>
              <w:rPr>
                <w:color w:val="0070C0"/>
                <w:sz w:val="16"/>
                <w:szCs w:val="16"/>
              </w:rPr>
            </w:pPr>
          </w:p>
        </w:tc>
      </w:tr>
      <w:tr w:rsidR="000C5A47" w:rsidRPr="00E82B8F" w:rsidTr="009C11D3">
        <w:trPr>
          <w:trHeight w:val="3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45758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Rregullimi i burimit të ujit të thartë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2B8F">
              <w:rPr>
                <w:sz w:val="20"/>
                <w:szCs w:val="20"/>
              </w:rPr>
              <w:t xml:space="preserve">5,000.00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82B8F">
              <w:rPr>
                <w:sz w:val="20"/>
                <w:szCs w:val="20"/>
              </w:rPr>
              <w:t xml:space="preserve">5,000.00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22558D" w:rsidRDefault="000C5A47" w:rsidP="000C5A47">
            <w:pPr>
              <w:rPr>
                <w:color w:val="0070C0"/>
                <w:sz w:val="16"/>
                <w:szCs w:val="16"/>
              </w:rPr>
            </w:pPr>
          </w:p>
        </w:tc>
      </w:tr>
      <w:tr w:rsidR="000C5A47" w:rsidRPr="00E82B8F" w:rsidTr="009C11D3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41642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Fond për hartimin e projekteve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2B8F">
              <w:rPr>
                <w:sz w:val="20"/>
                <w:szCs w:val="20"/>
              </w:rPr>
              <w:t xml:space="preserve">20,000.00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2B8F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82B8F">
              <w:rPr>
                <w:sz w:val="20"/>
                <w:szCs w:val="20"/>
              </w:rPr>
              <w:t xml:space="preserve">30,000.00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E82B8F">
              <w:rPr>
                <w:color w:val="000000"/>
                <w:sz w:val="20"/>
                <w:szCs w:val="20"/>
              </w:rPr>
              <w:t xml:space="preserve">980.00 </w:t>
            </w:r>
          </w:p>
        </w:tc>
      </w:tr>
      <w:tr w:rsidR="000C5A47" w:rsidRPr="00E82B8F" w:rsidTr="009C11D3">
        <w:trPr>
          <w:trHeight w:val="4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45772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Rregullimi i prrockave dhe i kanalizimeve atmosferike ne zonat rurale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50,000.00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          -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 50,000.00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22558D" w:rsidRDefault="000C5A47" w:rsidP="000C5A47">
            <w:pPr>
              <w:rPr>
                <w:color w:val="0070C0"/>
                <w:sz w:val="20"/>
                <w:szCs w:val="20"/>
              </w:rPr>
            </w:pPr>
          </w:p>
        </w:tc>
      </w:tr>
      <w:tr w:rsidR="000C5A47" w:rsidRPr="00E82B8F" w:rsidTr="009C11D3">
        <w:trPr>
          <w:trHeight w:val="3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41628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Fonde për shpronësim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2B8F">
              <w:rPr>
                <w:sz w:val="20"/>
                <w:szCs w:val="20"/>
              </w:rPr>
              <w:t xml:space="preserve">5,000.00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E82B8F">
              <w:rPr>
                <w:sz w:val="20"/>
                <w:szCs w:val="20"/>
              </w:rPr>
              <w:t xml:space="preserve">5,000.00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22558D" w:rsidRDefault="000C5A47" w:rsidP="000C5A47">
            <w:pPr>
              <w:rPr>
                <w:color w:val="0070C0"/>
                <w:sz w:val="20"/>
                <w:szCs w:val="20"/>
              </w:rPr>
            </w:pPr>
          </w:p>
        </w:tc>
      </w:tr>
      <w:tr w:rsidR="000C5A47" w:rsidRPr="00E82B8F" w:rsidTr="009C11D3">
        <w:trPr>
          <w:trHeight w:val="3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41631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Fasadimi i objekteve publike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82B8F">
              <w:rPr>
                <w:sz w:val="20"/>
                <w:szCs w:val="20"/>
              </w:rPr>
              <w:t xml:space="preserve">5,000.00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82B8F">
              <w:rPr>
                <w:sz w:val="20"/>
                <w:szCs w:val="20"/>
              </w:rPr>
              <w:t xml:space="preserve">5,000.00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22558D" w:rsidRDefault="000C5A47" w:rsidP="000C5A47">
            <w:pPr>
              <w:rPr>
                <w:color w:val="0070C0"/>
                <w:sz w:val="20"/>
                <w:szCs w:val="20"/>
              </w:rPr>
            </w:pPr>
          </w:p>
        </w:tc>
      </w:tr>
      <w:tr w:rsidR="000C5A47" w:rsidRPr="00E82B8F" w:rsidTr="009C11D3">
        <w:trPr>
          <w:trHeight w:val="3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41640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Gjelbërimi i disa hapësirave publike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2B8F">
              <w:rPr>
                <w:sz w:val="20"/>
                <w:szCs w:val="20"/>
              </w:rPr>
              <w:t xml:space="preserve">7,325.00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82B8F">
              <w:rPr>
                <w:sz w:val="20"/>
                <w:szCs w:val="20"/>
              </w:rPr>
              <w:t xml:space="preserve">2,675.00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2B8F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22558D" w:rsidRDefault="000C5A47" w:rsidP="000C5A47">
            <w:pPr>
              <w:rPr>
                <w:color w:val="0070C0"/>
                <w:sz w:val="20"/>
                <w:szCs w:val="20"/>
              </w:rPr>
            </w:pPr>
          </w:p>
        </w:tc>
      </w:tr>
      <w:tr w:rsidR="000C5A47" w:rsidRPr="00E82B8F" w:rsidTr="009C11D3">
        <w:trPr>
          <w:trHeight w:val="3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47262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Asfaltimi i trotuarit për këmbësor nga Hani i Elezit - Uji i Thartë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20,000.00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95,155.67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125,155.67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CE580B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112,407.80</w:t>
            </w:r>
            <w:r w:rsidRPr="00E82B8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C5A47" w:rsidRPr="00E82B8F" w:rsidTr="009C11D3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48915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Ngritja e pllakave përkujtimore për dëshmorët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2B8F">
              <w:rPr>
                <w:sz w:val="20"/>
                <w:szCs w:val="20"/>
              </w:rPr>
              <w:t xml:space="preserve">80,000.00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82B8F">
              <w:rPr>
                <w:sz w:val="20"/>
                <w:szCs w:val="20"/>
              </w:rPr>
              <w:t xml:space="preserve">80,000.00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9,999.29</w:t>
            </w: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5A47" w:rsidRPr="00E82B8F" w:rsidTr="009C11D3">
        <w:trPr>
          <w:trHeight w:val="2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48921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Ndërtimi i qendrës kulturore në Han të Elezit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2B8F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82B8F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22558D" w:rsidRDefault="000C5A47" w:rsidP="000C5A47">
            <w:pPr>
              <w:rPr>
                <w:color w:val="0070C0"/>
                <w:sz w:val="20"/>
                <w:szCs w:val="20"/>
              </w:rPr>
            </w:pPr>
          </w:p>
        </w:tc>
      </w:tr>
      <w:tr w:rsidR="000C5A47" w:rsidRPr="00E82B8F" w:rsidTr="009C11D3">
        <w:trPr>
          <w:trHeight w:val="4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48926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Rregullimi i deponive për hudhje të materialeve të ngurta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 10,000.00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22558D" w:rsidRDefault="000C5A47" w:rsidP="000C5A47">
            <w:pPr>
              <w:rPr>
                <w:color w:val="0070C0"/>
                <w:sz w:val="20"/>
                <w:szCs w:val="20"/>
              </w:rPr>
            </w:pPr>
          </w:p>
        </w:tc>
      </w:tr>
      <w:tr w:rsidR="000C5A47" w:rsidRPr="00E82B8F" w:rsidTr="009C11D3">
        <w:trPr>
          <w:trHeight w:val="5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48930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Rregullimi i shtigjeve për këmbësor nga qendra në drejtim të pikës kufitare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9,302.60</w:t>
            </w: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5A47" w:rsidRPr="00E82B8F" w:rsidTr="009C11D3">
        <w:trPr>
          <w:trHeight w:val="2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48936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Ndërtimi i hallës së sportit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2B8F">
              <w:rPr>
                <w:sz w:val="20"/>
                <w:szCs w:val="20"/>
              </w:rPr>
              <w:t xml:space="preserve">25,000.00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2B8F">
              <w:rPr>
                <w:sz w:val="20"/>
                <w:szCs w:val="20"/>
              </w:rPr>
              <w:t xml:space="preserve">25,000.00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22558D" w:rsidRDefault="000C5A47" w:rsidP="000C5A47">
            <w:pPr>
              <w:rPr>
                <w:color w:val="0070C0"/>
                <w:sz w:val="20"/>
                <w:szCs w:val="20"/>
              </w:rPr>
            </w:pPr>
          </w:p>
        </w:tc>
      </w:tr>
      <w:tr w:rsidR="000C5A47" w:rsidRPr="00E82B8F" w:rsidTr="009C11D3">
        <w:trPr>
          <w:trHeight w:val="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41635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Rregullimi i shtratit të lumit lepenc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2B8F">
              <w:rPr>
                <w:sz w:val="20"/>
                <w:szCs w:val="20"/>
              </w:rPr>
              <w:t xml:space="preserve">50,000.00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82B8F">
              <w:rPr>
                <w:sz w:val="20"/>
                <w:szCs w:val="20"/>
              </w:rPr>
              <w:t xml:space="preserve">50,000.00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22558D" w:rsidRDefault="000C5A47" w:rsidP="000C5A47">
            <w:pPr>
              <w:rPr>
                <w:color w:val="0070C0"/>
                <w:sz w:val="20"/>
                <w:szCs w:val="20"/>
              </w:rPr>
            </w:pPr>
          </w:p>
        </w:tc>
      </w:tr>
      <w:tr w:rsidR="000C5A47" w:rsidRPr="00E82B8F" w:rsidTr="009C11D3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90613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47" w:rsidRPr="00E82B8F" w:rsidRDefault="009C11D3" w:rsidP="007F2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Asfaltimi i rrugë</w:t>
            </w:r>
            <w:r w:rsidR="000C5A47">
              <w:rPr>
                <w:sz w:val="20"/>
                <w:szCs w:val="20"/>
              </w:rPr>
              <w:t>s Uji i Thartë</w:t>
            </w:r>
            <w:r w:rsidR="000C5A47" w:rsidRPr="00E82B8F">
              <w:rPr>
                <w:sz w:val="20"/>
                <w:szCs w:val="20"/>
              </w:rPr>
              <w:t xml:space="preserve"> -Pustenik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2B8F">
              <w:rPr>
                <w:sz w:val="20"/>
                <w:szCs w:val="20"/>
              </w:rPr>
              <w:t xml:space="preserve">14,662.19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82B8F">
              <w:rPr>
                <w:sz w:val="20"/>
                <w:szCs w:val="20"/>
              </w:rPr>
              <w:t xml:space="preserve">14,662.19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6,121.10</w:t>
            </w: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5A47" w:rsidRPr="00E82B8F" w:rsidTr="009C11D3">
        <w:trPr>
          <w:trHeight w:val="2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44173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Rregullimi i pr</w:t>
            </w:r>
            <w:r w:rsidR="009C11D3">
              <w:rPr>
                <w:sz w:val="20"/>
                <w:szCs w:val="20"/>
              </w:rPr>
              <w:t>r</w:t>
            </w:r>
            <w:r w:rsidRPr="00E82B8F">
              <w:rPr>
                <w:sz w:val="20"/>
                <w:szCs w:val="20"/>
              </w:rPr>
              <w:t>ockës dhe kanalizimit fekal në fshatin Seçishtë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2B8F">
              <w:rPr>
                <w:sz w:val="20"/>
                <w:szCs w:val="20"/>
              </w:rPr>
              <w:t xml:space="preserve">55,000.00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82B8F">
              <w:rPr>
                <w:sz w:val="20"/>
                <w:szCs w:val="20"/>
              </w:rPr>
              <w:t xml:space="preserve">55,000.00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E82B8F">
              <w:rPr>
                <w:color w:val="000000"/>
                <w:sz w:val="20"/>
                <w:szCs w:val="20"/>
              </w:rPr>
              <w:t xml:space="preserve">54,970.00 </w:t>
            </w:r>
          </w:p>
        </w:tc>
      </w:tr>
      <w:tr w:rsidR="000C5A47" w:rsidRPr="00E82B8F" w:rsidTr="009C11D3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C5A47" w:rsidRPr="00E82B8F" w:rsidRDefault="000C5A47" w:rsidP="007F2288">
            <w:pPr>
              <w:rPr>
                <w:b/>
                <w:bCs/>
                <w:sz w:val="20"/>
                <w:szCs w:val="20"/>
              </w:rPr>
            </w:pPr>
            <w:r w:rsidRPr="00E82B8F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5050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0C5A47" w:rsidRPr="00E82B8F" w:rsidRDefault="000C5A47" w:rsidP="007F22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>Shëndetësia dhe Mirëqenia Sociale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51,000.00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15,000.00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66,000.00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37,896.00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</w:p>
        </w:tc>
      </w:tr>
      <w:tr w:rsidR="000C5A47" w:rsidRPr="00E82B8F" w:rsidTr="009C11D3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48939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Autoambulancë për QKMF-në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2B8F">
              <w:rPr>
                <w:sz w:val="20"/>
                <w:szCs w:val="20"/>
              </w:rPr>
              <w:t xml:space="preserve">40,000.00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E82B8F">
              <w:rPr>
                <w:color w:val="000000"/>
                <w:sz w:val="20"/>
                <w:szCs w:val="20"/>
              </w:rPr>
              <w:t xml:space="preserve">40,000.00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34,396.00</w:t>
            </w: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5A47" w:rsidRPr="00E82B8F" w:rsidTr="009C11D3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48942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47" w:rsidRPr="00E82B8F" w:rsidRDefault="000C5A47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Pajisje mjekësore për QKMF-në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2B8F">
              <w:rPr>
                <w:sz w:val="20"/>
                <w:szCs w:val="20"/>
              </w:rPr>
              <w:t xml:space="preserve">6,000.00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E82B8F">
              <w:rPr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47" w:rsidRPr="00E82B8F" w:rsidRDefault="000C5A47" w:rsidP="007F22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3,500.00</w:t>
            </w: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558D" w:rsidRPr="00E82B8F" w:rsidTr="009C11D3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48945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8D" w:rsidRPr="00E82B8F" w:rsidRDefault="0022558D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Izolimi i dhomës së </w:t>
            </w:r>
            <w:r>
              <w:rPr>
                <w:color w:val="000000"/>
                <w:sz w:val="20"/>
                <w:szCs w:val="20"/>
              </w:rPr>
              <w:t>rëntgenit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82B8F">
              <w:rPr>
                <w:sz w:val="20"/>
                <w:szCs w:val="20"/>
              </w:rPr>
              <w:t xml:space="preserve">5,000.00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E82B8F">
              <w:rPr>
                <w:color w:val="000000"/>
                <w:sz w:val="20"/>
                <w:szCs w:val="20"/>
              </w:rPr>
              <w:t xml:space="preserve">5,000.00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22558D" w:rsidRDefault="0022558D" w:rsidP="0022558D">
            <w:pPr>
              <w:rPr>
                <w:color w:val="0070C0"/>
                <w:sz w:val="20"/>
                <w:szCs w:val="20"/>
              </w:rPr>
            </w:pPr>
          </w:p>
        </w:tc>
      </w:tr>
      <w:tr w:rsidR="0022558D" w:rsidRPr="00E82B8F" w:rsidTr="009C11D3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48948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8D" w:rsidRPr="00E82B8F" w:rsidRDefault="0022558D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Ndërtimi i shtëpive dhe banesave për banim social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2B8F">
              <w:rPr>
                <w:sz w:val="20"/>
                <w:szCs w:val="20"/>
              </w:rPr>
              <w:t xml:space="preserve">15,000.00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E82B8F">
              <w:rPr>
                <w:color w:val="000000"/>
                <w:sz w:val="20"/>
                <w:szCs w:val="20"/>
              </w:rPr>
              <w:t xml:space="preserve">15,000.00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22558D" w:rsidRDefault="0022558D" w:rsidP="0022558D">
            <w:pPr>
              <w:rPr>
                <w:color w:val="0070C0"/>
                <w:sz w:val="20"/>
                <w:szCs w:val="20"/>
              </w:rPr>
            </w:pPr>
          </w:p>
        </w:tc>
      </w:tr>
      <w:tr w:rsidR="0022558D" w:rsidRPr="00E82B8F" w:rsidTr="009C11D3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2558D" w:rsidRPr="00E82B8F" w:rsidRDefault="0022558D" w:rsidP="007F2288">
            <w:pPr>
              <w:rPr>
                <w:b/>
                <w:bCs/>
                <w:sz w:val="20"/>
                <w:szCs w:val="20"/>
              </w:rPr>
            </w:pPr>
            <w:r w:rsidRPr="00E82B8F">
              <w:rPr>
                <w:b/>
                <w:bCs/>
                <w:sz w:val="20"/>
                <w:szCs w:val="20"/>
              </w:rPr>
              <w:lastRenderedPageBreak/>
              <w:t>92</w:t>
            </w: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2558D" w:rsidRPr="00E82B8F" w:rsidRDefault="0022558D" w:rsidP="007F22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>Arsimi dhe shkenca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235,000.00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235,000.00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2558D" w:rsidRPr="00E82B8F" w:rsidRDefault="0022558D" w:rsidP="007F22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13,484.29 </w:t>
            </w:r>
          </w:p>
        </w:tc>
      </w:tr>
      <w:tr w:rsidR="0022558D" w:rsidRPr="00E82B8F" w:rsidTr="009C11D3">
        <w:trPr>
          <w:trHeight w:val="3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45667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8D" w:rsidRPr="00E82B8F" w:rsidRDefault="0022558D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Rregullimi i infrastrukturës shkollore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20,000.00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20,000.00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22558D" w:rsidRDefault="0022558D" w:rsidP="009C11D3">
            <w:pPr>
              <w:jc w:val="right"/>
              <w:rPr>
                <w:color w:val="0070C0"/>
                <w:sz w:val="20"/>
                <w:szCs w:val="20"/>
              </w:rPr>
            </w:pPr>
          </w:p>
        </w:tc>
      </w:tr>
      <w:tr w:rsidR="0022558D" w:rsidRPr="00E82B8F" w:rsidTr="009C11D3">
        <w:trPr>
          <w:trHeight w:val="5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47281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8D" w:rsidRPr="00E82B8F" w:rsidRDefault="0022558D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Pajisja e çerdhes për fëmijë me pajisje dhe inventar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         5,000.00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            5,000.00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22558D" w:rsidRDefault="0022558D" w:rsidP="009C11D3">
            <w:pPr>
              <w:jc w:val="right"/>
              <w:rPr>
                <w:color w:val="0070C0"/>
                <w:sz w:val="20"/>
                <w:szCs w:val="20"/>
              </w:rPr>
            </w:pPr>
          </w:p>
        </w:tc>
      </w:tr>
      <w:tr w:rsidR="0022558D" w:rsidRPr="00E82B8F" w:rsidTr="009C11D3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45685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8D" w:rsidRPr="00E82B8F" w:rsidRDefault="0022558D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Ndërtimi i rrethojës së SHML "Dardania"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2B8F">
              <w:rPr>
                <w:sz w:val="20"/>
                <w:szCs w:val="20"/>
              </w:rPr>
              <w:t xml:space="preserve">15,000.00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E82B8F">
              <w:rPr>
                <w:color w:val="000000"/>
                <w:sz w:val="20"/>
                <w:szCs w:val="20"/>
              </w:rPr>
              <w:t xml:space="preserve">15,000.00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13,484.29 </w:t>
            </w:r>
          </w:p>
        </w:tc>
      </w:tr>
      <w:tr w:rsidR="0022558D" w:rsidRPr="00E82B8F" w:rsidTr="009C11D3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44179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8D" w:rsidRPr="00E82B8F" w:rsidRDefault="0022558D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Pajisja e kabineteve me mjete mësimore dhe laboratorike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       30,000.00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          30,000.00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22558D" w:rsidRDefault="0022558D" w:rsidP="009C11D3">
            <w:pPr>
              <w:jc w:val="right"/>
              <w:rPr>
                <w:color w:val="0070C0"/>
                <w:sz w:val="20"/>
                <w:szCs w:val="20"/>
              </w:rPr>
            </w:pPr>
          </w:p>
        </w:tc>
      </w:tr>
      <w:tr w:rsidR="0022558D" w:rsidRPr="00E82B8F" w:rsidTr="009C11D3">
        <w:trPr>
          <w:trHeight w:val="3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48951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8D" w:rsidRPr="00E82B8F" w:rsidRDefault="0022558D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 xml:space="preserve">Rregullimi i tereneve sportive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2B8F">
              <w:rPr>
                <w:sz w:val="20"/>
                <w:szCs w:val="20"/>
              </w:rPr>
              <w:t xml:space="preserve">30,000.00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E82B8F">
              <w:rPr>
                <w:color w:val="000000"/>
                <w:sz w:val="20"/>
                <w:szCs w:val="20"/>
              </w:rPr>
              <w:t xml:space="preserve">30,000.00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22558D" w:rsidRDefault="0022558D" w:rsidP="009C11D3">
            <w:pPr>
              <w:jc w:val="right"/>
              <w:rPr>
                <w:color w:val="0070C0"/>
                <w:sz w:val="20"/>
                <w:szCs w:val="20"/>
              </w:rPr>
            </w:pPr>
          </w:p>
        </w:tc>
      </w:tr>
      <w:tr w:rsidR="0022558D" w:rsidRPr="00E82B8F" w:rsidTr="009C11D3">
        <w:trPr>
          <w:trHeight w:val="4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48953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8D" w:rsidRPr="00E82B8F" w:rsidRDefault="0022558D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Rregullimi i parkingut te SHFMU "Kështjella e Diturisë" në Paldenicë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2B8F">
              <w:rPr>
                <w:sz w:val="20"/>
                <w:szCs w:val="20"/>
              </w:rPr>
              <w:t xml:space="preserve">15,000.00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E82B8F">
              <w:rPr>
                <w:color w:val="000000"/>
                <w:sz w:val="20"/>
                <w:szCs w:val="20"/>
              </w:rPr>
              <w:t xml:space="preserve">15,000.00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22558D" w:rsidRDefault="0022558D" w:rsidP="009C11D3">
            <w:pPr>
              <w:jc w:val="right"/>
              <w:rPr>
                <w:color w:val="0070C0"/>
                <w:sz w:val="20"/>
                <w:szCs w:val="20"/>
              </w:rPr>
            </w:pPr>
          </w:p>
        </w:tc>
      </w:tr>
      <w:tr w:rsidR="0022558D" w:rsidRPr="00E82B8F" w:rsidTr="009C11D3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jc w:val="center"/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41675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Ndërtimi i sallave sportive në Paldenicë dhe Gorancë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     120,000.00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 xml:space="preserve">        120,000.00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22558D" w:rsidRDefault="0022558D" w:rsidP="009C11D3">
            <w:pPr>
              <w:jc w:val="right"/>
              <w:rPr>
                <w:color w:val="0070C0"/>
                <w:sz w:val="20"/>
                <w:szCs w:val="20"/>
              </w:rPr>
            </w:pPr>
          </w:p>
        </w:tc>
      </w:tr>
      <w:tr w:rsidR="0022558D" w:rsidRPr="00E82B8F" w:rsidTr="009C11D3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2558D" w:rsidRPr="00E82B8F" w:rsidRDefault="0022558D" w:rsidP="007F2288">
            <w:pPr>
              <w:rPr>
                <w:b/>
                <w:bCs/>
                <w:sz w:val="20"/>
                <w:szCs w:val="20"/>
              </w:rPr>
            </w:pPr>
            <w:r w:rsidRPr="00E82B8F">
              <w:rPr>
                <w:b/>
                <w:bCs/>
                <w:sz w:val="20"/>
                <w:szCs w:val="20"/>
              </w:rPr>
              <w:t>94020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2558D" w:rsidRPr="00E82B8F" w:rsidRDefault="0022558D" w:rsidP="007F22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2B8F">
              <w:rPr>
                <w:b/>
                <w:bCs/>
                <w:color w:val="000000"/>
                <w:sz w:val="20"/>
                <w:szCs w:val="20"/>
              </w:rPr>
              <w:t>Arsimi fillor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1,468.00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1,468.00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1,439.92</w:t>
            </w:r>
            <w:r w:rsidRPr="00E82B8F">
              <w:rPr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</w:p>
        </w:tc>
      </w:tr>
      <w:tr w:rsidR="0022558D" w:rsidRPr="00E82B8F" w:rsidTr="009C11D3">
        <w:trPr>
          <w:trHeight w:val="3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7F2288">
            <w:pPr>
              <w:rPr>
                <w:sz w:val="20"/>
                <w:szCs w:val="20"/>
              </w:rPr>
            </w:pPr>
            <w:r w:rsidRPr="00E82B8F">
              <w:rPr>
                <w:sz w:val="20"/>
                <w:szCs w:val="20"/>
              </w:rPr>
              <w:t>47282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8D" w:rsidRPr="00E82B8F" w:rsidRDefault="0022558D" w:rsidP="007F2288">
            <w:pPr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Projekte për huamarrje në arsim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E82B8F">
              <w:rPr>
                <w:color w:val="000000"/>
                <w:sz w:val="20"/>
                <w:szCs w:val="20"/>
              </w:rPr>
              <w:t xml:space="preserve">1,468.00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E82B8F">
              <w:rPr>
                <w:color w:val="000000"/>
                <w:sz w:val="20"/>
                <w:szCs w:val="20"/>
              </w:rPr>
              <w:t xml:space="preserve">1,468.00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8D" w:rsidRPr="00E82B8F" w:rsidRDefault="0022558D" w:rsidP="009C11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1,439.92</w:t>
            </w:r>
            <w:r w:rsidRPr="00E82B8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A76D7" w:rsidRDefault="009A76D7" w:rsidP="009A76D7">
      <w:pPr>
        <w:rPr>
          <w:b/>
          <w:color w:val="C00000"/>
        </w:rPr>
      </w:pPr>
    </w:p>
    <w:p w:rsidR="009A76D7" w:rsidRPr="001E00DE" w:rsidRDefault="009A76D7" w:rsidP="009A76D7">
      <w:pPr>
        <w:rPr>
          <w:b/>
          <w:color w:val="C00000"/>
        </w:rPr>
      </w:pPr>
    </w:p>
    <w:p w:rsidR="009A76D7" w:rsidRDefault="009A76D7" w:rsidP="00D20346">
      <w:pPr>
        <w:rPr>
          <w:b/>
          <w:color w:val="365F91" w:themeColor="accent1" w:themeShade="BF"/>
        </w:rPr>
      </w:pPr>
    </w:p>
    <w:p w:rsidR="009A76D7" w:rsidRDefault="009A76D7" w:rsidP="00D20346">
      <w:pPr>
        <w:rPr>
          <w:b/>
          <w:color w:val="365F91" w:themeColor="accent1" w:themeShade="BF"/>
        </w:rPr>
      </w:pPr>
    </w:p>
    <w:p w:rsidR="009A76D7" w:rsidRDefault="009A76D7" w:rsidP="00D20346">
      <w:pPr>
        <w:rPr>
          <w:b/>
          <w:color w:val="365F91" w:themeColor="accent1" w:themeShade="BF"/>
        </w:rPr>
      </w:pPr>
    </w:p>
    <w:p w:rsidR="009A76D7" w:rsidRDefault="009A76D7" w:rsidP="00D20346">
      <w:pPr>
        <w:rPr>
          <w:b/>
          <w:color w:val="365F91" w:themeColor="accent1" w:themeShade="BF"/>
        </w:rPr>
      </w:pPr>
    </w:p>
    <w:p w:rsidR="009A76D7" w:rsidRDefault="009A76D7" w:rsidP="00D20346">
      <w:pPr>
        <w:rPr>
          <w:b/>
          <w:color w:val="365F91" w:themeColor="accent1" w:themeShade="BF"/>
        </w:rPr>
      </w:pPr>
    </w:p>
    <w:p w:rsidR="009A76D7" w:rsidRDefault="009A76D7" w:rsidP="00D20346">
      <w:pPr>
        <w:rPr>
          <w:b/>
          <w:color w:val="365F91" w:themeColor="accent1" w:themeShade="BF"/>
        </w:rPr>
      </w:pPr>
    </w:p>
    <w:p w:rsidR="00AE24A4" w:rsidRDefault="00AE24A4" w:rsidP="00AE24A4">
      <w:pPr>
        <w:sectPr w:rsidR="00AE24A4" w:rsidSect="00BF13E9">
          <w:pgSz w:w="15840" w:h="12240" w:orient="landscape"/>
          <w:pgMar w:top="1170" w:right="1440" w:bottom="1440" w:left="1440" w:header="720" w:footer="720" w:gutter="0"/>
          <w:cols w:space="720"/>
          <w:docGrid w:linePitch="360"/>
        </w:sectPr>
      </w:pPr>
    </w:p>
    <w:p w:rsidR="00755D47" w:rsidRPr="009145D5" w:rsidRDefault="00B82826" w:rsidP="009145D5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9</w:t>
      </w:r>
      <w:r w:rsidR="009145D5">
        <w:rPr>
          <w:b/>
          <w:color w:val="365F91" w:themeColor="accent1" w:themeShade="BF"/>
        </w:rPr>
        <w:t>.</w:t>
      </w:r>
      <w:r>
        <w:rPr>
          <w:b/>
          <w:color w:val="365F91" w:themeColor="accent1" w:themeShade="BF"/>
        </w:rPr>
        <w:t xml:space="preserve"> </w:t>
      </w:r>
      <w:r w:rsidR="00FE6967" w:rsidRPr="009145D5">
        <w:rPr>
          <w:b/>
          <w:color w:val="365F91" w:themeColor="accent1" w:themeShade="BF"/>
        </w:rPr>
        <w:t>RAPORTI I TË HYRAVE</w:t>
      </w:r>
      <w:r w:rsidR="00AE24A4" w:rsidRPr="009145D5">
        <w:rPr>
          <w:b/>
          <w:color w:val="365F91" w:themeColor="accent1" w:themeShade="BF"/>
        </w:rPr>
        <w:t xml:space="preserve"> VETANA</w:t>
      </w:r>
      <w:r w:rsidR="0096505B" w:rsidRPr="009145D5">
        <w:rPr>
          <w:b/>
          <w:color w:val="365F91" w:themeColor="accent1" w:themeShade="BF"/>
        </w:rPr>
        <w:t>KE PËR PERIUDHËN JANAR-</w:t>
      </w:r>
      <w:r w:rsidR="004223C0" w:rsidRPr="009145D5">
        <w:rPr>
          <w:b/>
          <w:color w:val="365F91" w:themeColor="accent1" w:themeShade="BF"/>
        </w:rPr>
        <w:t>SH</w:t>
      </w:r>
      <w:r w:rsidR="00BF6ADF">
        <w:rPr>
          <w:b/>
          <w:color w:val="365F91" w:themeColor="accent1" w:themeShade="BF"/>
        </w:rPr>
        <w:t>TAT</w:t>
      </w:r>
      <w:r w:rsidR="004223C0" w:rsidRPr="009145D5">
        <w:rPr>
          <w:b/>
          <w:color w:val="365F91" w:themeColor="accent1" w:themeShade="BF"/>
        </w:rPr>
        <w:t>OR</w:t>
      </w:r>
      <w:r w:rsidR="005C07B6">
        <w:rPr>
          <w:b/>
          <w:color w:val="365F91" w:themeColor="accent1" w:themeShade="BF"/>
        </w:rPr>
        <w:t xml:space="preserve"> 2019</w:t>
      </w:r>
    </w:p>
    <w:p w:rsidR="00BE45FA" w:rsidRDefault="001E00DE" w:rsidP="00AE24A4">
      <w:pPr>
        <w:rPr>
          <w:b/>
          <w:color w:val="C00000"/>
        </w:rPr>
      </w:pPr>
      <w:r w:rsidRPr="001E00DE">
        <w:rPr>
          <w:b/>
          <w:color w:val="C00000"/>
        </w:rPr>
        <w:t>TABELA 9.</w:t>
      </w:r>
    </w:p>
    <w:tbl>
      <w:tblPr>
        <w:tblStyle w:val="LightList-Accent1"/>
        <w:tblW w:w="9719" w:type="dxa"/>
        <w:tblInd w:w="108" w:type="dxa"/>
        <w:tblLook w:val="04A0"/>
      </w:tblPr>
      <w:tblGrid>
        <w:gridCol w:w="547"/>
        <w:gridCol w:w="4223"/>
        <w:gridCol w:w="1380"/>
        <w:gridCol w:w="1230"/>
        <w:gridCol w:w="1230"/>
        <w:gridCol w:w="1109"/>
      </w:tblGrid>
      <w:tr w:rsidR="004B4FAF" w:rsidTr="0022558D">
        <w:trPr>
          <w:cnfStyle w:val="100000000000"/>
          <w:trHeight w:val="530"/>
        </w:trPr>
        <w:tc>
          <w:tcPr>
            <w:cnfStyle w:val="001000000000"/>
            <w:tcW w:w="547" w:type="dxa"/>
            <w:tcBorders>
              <w:top w:val="single" w:sz="4" w:space="0" w:color="548DD4" w:themeColor="text2" w:themeTint="99"/>
            </w:tcBorders>
            <w:hideMark/>
          </w:tcPr>
          <w:p w:rsidR="004B4FAF" w:rsidRDefault="004B4FAF" w:rsidP="007F2288">
            <w:pPr>
              <w:jc w:val="center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Nr</w:t>
            </w:r>
          </w:p>
        </w:tc>
        <w:tc>
          <w:tcPr>
            <w:tcW w:w="4223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noWrap/>
            <w:hideMark/>
          </w:tcPr>
          <w:p w:rsidR="004B4FAF" w:rsidRDefault="004B4FAF" w:rsidP="007F2288">
            <w:pPr>
              <w:jc w:val="center"/>
              <w:cnfStyle w:val="100000000000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Përshkrimi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hideMark/>
          </w:tcPr>
          <w:p w:rsidR="004B4FAF" w:rsidRDefault="004B4FAF" w:rsidP="007F2288">
            <w:pPr>
              <w:jc w:val="center"/>
              <w:cnfStyle w:val="100000000000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Planifikimi 2019</w:t>
            </w:r>
          </w:p>
        </w:tc>
        <w:tc>
          <w:tcPr>
            <w:tcW w:w="1230" w:type="dxa"/>
            <w:hideMark/>
          </w:tcPr>
          <w:p w:rsidR="004B4FAF" w:rsidRDefault="004B4FAF" w:rsidP="007F2288">
            <w:pPr>
              <w:jc w:val="center"/>
              <w:cnfStyle w:val="100000000000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Realizimi TM3 2019</w:t>
            </w:r>
          </w:p>
        </w:tc>
        <w:tc>
          <w:tcPr>
            <w:tcW w:w="1230" w:type="dxa"/>
            <w:hideMark/>
          </w:tcPr>
          <w:p w:rsidR="004B4FAF" w:rsidRDefault="004B4FAF" w:rsidP="007F2288">
            <w:pPr>
              <w:jc w:val="center"/>
              <w:cnfStyle w:val="100000000000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Realizimi TM3 2018</w:t>
            </w:r>
          </w:p>
        </w:tc>
        <w:tc>
          <w:tcPr>
            <w:tcW w:w="1109" w:type="dxa"/>
            <w:hideMark/>
          </w:tcPr>
          <w:p w:rsidR="004B4FAF" w:rsidRDefault="004B4FAF" w:rsidP="007F2288">
            <w:pPr>
              <w:jc w:val="center"/>
              <w:cnfStyle w:val="100000000000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Progresi në %</w:t>
            </w:r>
          </w:p>
        </w:tc>
      </w:tr>
      <w:tr w:rsidR="00FB272C" w:rsidTr="0022558D">
        <w:trPr>
          <w:cnfStyle w:val="000000100000"/>
          <w:trHeight w:val="232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Certifikatat e lindjes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200.00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35.00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39.00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17.50%</w:t>
            </w:r>
          </w:p>
        </w:tc>
      </w:tr>
      <w:tr w:rsidR="00FB272C" w:rsidTr="0022558D">
        <w:trPr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Certifikatat e kurorëzimit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750.00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DD1CC4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460.00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620.00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61.33%</w:t>
            </w:r>
          </w:p>
        </w:tc>
      </w:tr>
      <w:tr w:rsidR="00FB272C" w:rsidTr="0022558D">
        <w:trPr>
          <w:cnfStyle w:val="000000100000"/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Certifikatat e vdekjes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150.00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161.00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72.00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107.33%</w:t>
            </w:r>
          </w:p>
        </w:tc>
      </w:tr>
      <w:tr w:rsidR="00FB272C" w:rsidTr="0022558D">
        <w:trPr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Certifikata tjera ofiqarie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5,000.00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4,114.00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4,252.00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82.28%</w:t>
            </w:r>
          </w:p>
        </w:tc>
      </w:tr>
      <w:tr w:rsidR="00FB272C" w:rsidTr="0022558D">
        <w:trPr>
          <w:cnfStyle w:val="000000100000"/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Taksa për verifikimin e dokum. të ndryshme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100.00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DD1CC4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53.00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50.00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53.00%</w:t>
            </w:r>
          </w:p>
        </w:tc>
      </w:tr>
      <w:tr w:rsidR="00FB272C" w:rsidTr="0022558D">
        <w:trPr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Taksa administrative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530.00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DD1CC4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61.00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124.00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11.51%</w:t>
            </w:r>
          </w:p>
        </w:tc>
      </w:tr>
      <w:tr w:rsidR="00FB272C" w:rsidTr="0022558D">
        <w:trPr>
          <w:cnfStyle w:val="000000100000"/>
          <w:trHeight w:val="287"/>
        </w:trPr>
        <w:tc>
          <w:tcPr>
            <w:cnfStyle w:val="001000000000"/>
            <w:tcW w:w="547" w:type="dxa"/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I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cnfStyle w:val="0000001000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Administrata e Përgjithshme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                     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6,730.00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FB272C" w:rsidP="00DD1CC4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4,884.00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FB272C" w:rsidP="004B4FAF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5,147.00 </w:t>
            </w:r>
          </w:p>
        </w:tc>
        <w:tc>
          <w:tcPr>
            <w:tcW w:w="1109" w:type="dxa"/>
            <w:shd w:val="clear" w:color="auto" w:fill="8DB3E2" w:themeFill="text2" w:themeFillTint="66"/>
            <w:noWrap/>
            <w:hideMark/>
          </w:tcPr>
          <w:p w:rsidR="00FB272C" w:rsidRPr="00F65F5B" w:rsidRDefault="00FB272C">
            <w:pPr>
              <w:jc w:val="right"/>
              <w:cnfStyle w:val="000000100000"/>
              <w:rPr>
                <w:b/>
                <w:color w:val="000000"/>
                <w:sz w:val="21"/>
                <w:szCs w:val="21"/>
              </w:rPr>
            </w:pPr>
            <w:r w:rsidRPr="00F65F5B">
              <w:rPr>
                <w:b/>
                <w:color w:val="000000"/>
                <w:sz w:val="21"/>
                <w:szCs w:val="21"/>
              </w:rPr>
              <w:t>72.57%</w:t>
            </w:r>
          </w:p>
        </w:tc>
      </w:tr>
      <w:tr w:rsidR="00FB272C" w:rsidTr="0022558D">
        <w:trPr>
          <w:trHeight w:val="233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Tatimi në pronë dhe në tokë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125,409.00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DD1CC4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85,701.26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95,043.52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68.34%</w:t>
            </w:r>
          </w:p>
        </w:tc>
      </w:tr>
      <w:tr w:rsidR="00FB272C" w:rsidTr="0022558D">
        <w:trPr>
          <w:cnfStyle w:val="000000100000"/>
          <w:trHeight w:val="242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Taksë për regjistrim të automjeteve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15,000.00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DD1CC4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13,330.00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13,480.00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88.87%</w:t>
            </w:r>
          </w:p>
        </w:tc>
      </w:tr>
      <w:tr w:rsidR="00FB272C" w:rsidTr="0022558D">
        <w:trPr>
          <w:trHeight w:val="242"/>
        </w:trPr>
        <w:tc>
          <w:tcPr>
            <w:cnfStyle w:val="001000000000"/>
            <w:tcW w:w="547" w:type="dxa"/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II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cnfStyle w:val="0000000000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Buxhet dhe Financa                               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140,409.00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99,031.26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108,523.52 </w:t>
            </w:r>
          </w:p>
        </w:tc>
        <w:tc>
          <w:tcPr>
            <w:tcW w:w="1109" w:type="dxa"/>
            <w:shd w:val="clear" w:color="auto" w:fill="8DB3E2" w:themeFill="text2" w:themeFillTint="66"/>
            <w:noWrap/>
            <w:hideMark/>
          </w:tcPr>
          <w:p w:rsidR="00FB272C" w:rsidRPr="00F65F5B" w:rsidRDefault="00FB272C">
            <w:pPr>
              <w:jc w:val="right"/>
              <w:cnfStyle w:val="000000000000"/>
              <w:rPr>
                <w:b/>
                <w:color w:val="000000"/>
                <w:sz w:val="21"/>
                <w:szCs w:val="21"/>
              </w:rPr>
            </w:pPr>
            <w:r w:rsidRPr="00F65F5B">
              <w:rPr>
                <w:b/>
                <w:color w:val="000000"/>
                <w:sz w:val="21"/>
                <w:szCs w:val="21"/>
              </w:rPr>
              <w:t>70.53%</w:t>
            </w:r>
          </w:p>
        </w:tc>
      </w:tr>
      <w:tr w:rsidR="00FB272C" w:rsidTr="0022558D">
        <w:trPr>
          <w:cnfStyle w:val="000000100000"/>
          <w:trHeight w:val="242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Të hyrat nga reklamimet publike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9,000.00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DD1CC4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9,672.00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2,680.00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107.47%</w:t>
            </w:r>
          </w:p>
        </w:tc>
      </w:tr>
      <w:tr w:rsidR="00FB272C" w:rsidTr="0022558D">
        <w:trPr>
          <w:trHeight w:val="242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Licenca tjera për afarizëm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800.00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550.00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510.00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68.75%</w:t>
            </w:r>
          </w:p>
        </w:tc>
      </w:tr>
      <w:tr w:rsidR="00FB272C" w:rsidTr="0022558D">
        <w:trPr>
          <w:cnfStyle w:val="000000100000"/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Taksa tjera administrative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200.00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DD1CC4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2,240.00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1,262.00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1120.00%</w:t>
            </w:r>
          </w:p>
        </w:tc>
      </w:tr>
      <w:tr w:rsidR="00FB272C" w:rsidTr="0022558D">
        <w:trPr>
          <w:trHeight w:val="205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Gjobat tjera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300.00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109" w:type="dxa"/>
            <w:noWrap/>
            <w:hideMark/>
          </w:tcPr>
          <w:p w:rsidR="00FB272C" w:rsidRDefault="00BD4AB9" w:rsidP="00BD4AB9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0.00%</w:t>
            </w:r>
          </w:p>
        </w:tc>
      </w:tr>
      <w:tr w:rsidR="00FB272C" w:rsidTr="0022558D">
        <w:trPr>
          <w:cnfStyle w:val="000000100000"/>
          <w:trHeight w:val="205"/>
        </w:trPr>
        <w:tc>
          <w:tcPr>
            <w:cnfStyle w:val="001000000000"/>
            <w:tcW w:w="547" w:type="dxa"/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III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cnfStyle w:val="0000001000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Shërbimet Publike dhe Emergjencë                                 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10,300.00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FB272C" w:rsidP="00DD1CC4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12,462.00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FB272C" w:rsidP="004B4FAF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4,452.00 </w:t>
            </w:r>
          </w:p>
        </w:tc>
        <w:tc>
          <w:tcPr>
            <w:tcW w:w="1109" w:type="dxa"/>
            <w:shd w:val="clear" w:color="auto" w:fill="8DB3E2" w:themeFill="text2" w:themeFillTint="66"/>
            <w:noWrap/>
            <w:hideMark/>
          </w:tcPr>
          <w:p w:rsidR="00FB272C" w:rsidRPr="00F65F5B" w:rsidRDefault="00FB272C">
            <w:pPr>
              <w:jc w:val="right"/>
              <w:cnfStyle w:val="000000100000"/>
              <w:rPr>
                <w:b/>
                <w:color w:val="000000"/>
                <w:sz w:val="21"/>
                <w:szCs w:val="21"/>
              </w:rPr>
            </w:pPr>
            <w:r w:rsidRPr="00F65F5B">
              <w:rPr>
                <w:b/>
                <w:color w:val="000000"/>
                <w:sz w:val="21"/>
                <w:szCs w:val="21"/>
              </w:rPr>
              <w:t>120.99%</w:t>
            </w:r>
          </w:p>
        </w:tc>
      </w:tr>
      <w:tr w:rsidR="00FB272C" w:rsidTr="0022558D">
        <w:trPr>
          <w:trHeight w:val="30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Të hyrat nga ushtrimi i veprimtar. afariste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86,100.00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37362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</w:t>
            </w:r>
            <w:r w:rsidR="0037362F">
              <w:rPr>
                <w:color w:val="000000"/>
                <w:sz w:val="21"/>
                <w:szCs w:val="21"/>
              </w:rPr>
              <w:t>75,810.00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60,258.60 </w:t>
            </w:r>
          </w:p>
        </w:tc>
        <w:tc>
          <w:tcPr>
            <w:tcW w:w="1109" w:type="dxa"/>
            <w:noWrap/>
            <w:hideMark/>
          </w:tcPr>
          <w:p w:rsidR="00FB272C" w:rsidRDefault="0037362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88.05</w:t>
            </w:r>
            <w:r w:rsidR="00FB272C">
              <w:rPr>
                <w:color w:val="000000"/>
                <w:sz w:val="21"/>
                <w:szCs w:val="21"/>
              </w:rPr>
              <w:t>%</w:t>
            </w:r>
          </w:p>
        </w:tc>
      </w:tr>
      <w:tr w:rsidR="00FB272C" w:rsidTr="0022558D">
        <w:trPr>
          <w:cnfStyle w:val="000000100000"/>
          <w:trHeight w:val="30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Licenca për pranim teknik të lokalit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100.00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60.00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120.00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60.00%</w:t>
            </w:r>
          </w:p>
        </w:tc>
      </w:tr>
      <w:tr w:rsidR="00FB272C" w:rsidTr="0022558D">
        <w:trPr>
          <w:trHeight w:val="187"/>
        </w:trPr>
        <w:tc>
          <w:tcPr>
            <w:cnfStyle w:val="001000000000"/>
            <w:tcW w:w="547" w:type="dxa"/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IV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cnfStyle w:val="0000000000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Zhvillimi Ekonomik                               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86,200.00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D22043" w:rsidP="007F2288">
            <w:pPr>
              <w:jc w:val="right"/>
              <w:cnfStyle w:val="0000000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75,87</w:t>
            </w:r>
            <w:r w:rsidR="00FB272C">
              <w:rPr>
                <w:b/>
                <w:bCs/>
                <w:color w:val="000000"/>
                <w:sz w:val="21"/>
                <w:szCs w:val="21"/>
              </w:rPr>
              <w:t xml:space="preserve">0.00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FB272C" w:rsidP="004B4FAF">
            <w:pPr>
              <w:jc w:val="right"/>
              <w:cnfStyle w:val="0000000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60,378.60 </w:t>
            </w:r>
          </w:p>
        </w:tc>
        <w:tc>
          <w:tcPr>
            <w:tcW w:w="1109" w:type="dxa"/>
            <w:shd w:val="clear" w:color="auto" w:fill="8DB3E2" w:themeFill="text2" w:themeFillTint="66"/>
            <w:noWrap/>
            <w:hideMark/>
          </w:tcPr>
          <w:p w:rsidR="00FB272C" w:rsidRPr="00F65F5B" w:rsidRDefault="00D22043">
            <w:pPr>
              <w:jc w:val="right"/>
              <w:cnfStyle w:val="00000000000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88.0</w:t>
            </w:r>
            <w:r w:rsidR="00FB272C" w:rsidRPr="00F65F5B">
              <w:rPr>
                <w:b/>
                <w:color w:val="000000"/>
                <w:sz w:val="21"/>
                <w:szCs w:val="21"/>
              </w:rPr>
              <w:t>2%</w:t>
            </w:r>
          </w:p>
        </w:tc>
      </w:tr>
      <w:tr w:rsidR="00FB272C" w:rsidTr="0022558D">
        <w:trPr>
          <w:cnfStyle w:val="000000100000"/>
          <w:trHeight w:val="278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Taksa komunale për leje ndërtimi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3,500.00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A46FF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7,129.75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3,717.62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203.71%</w:t>
            </w:r>
          </w:p>
        </w:tc>
      </w:tr>
      <w:tr w:rsidR="00FB272C" w:rsidTr="0022558D">
        <w:trPr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Taksa komunale për demolim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270.00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40.00 </w:t>
            </w:r>
          </w:p>
        </w:tc>
        <w:tc>
          <w:tcPr>
            <w:tcW w:w="1109" w:type="dxa"/>
            <w:noWrap/>
            <w:hideMark/>
          </w:tcPr>
          <w:p w:rsidR="00FB272C" w:rsidRDefault="00BD4AB9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0.00%</w:t>
            </w:r>
          </w:p>
        </w:tc>
      </w:tr>
      <w:tr w:rsidR="00FB272C" w:rsidTr="0022558D">
        <w:trPr>
          <w:cnfStyle w:val="000000100000"/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Taksë për përcaktimin e hipotekës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2,000.00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1,594.00 </w:t>
            </w:r>
          </w:p>
        </w:tc>
        <w:tc>
          <w:tcPr>
            <w:tcW w:w="1109" w:type="dxa"/>
            <w:noWrap/>
            <w:hideMark/>
          </w:tcPr>
          <w:p w:rsidR="00FB272C" w:rsidRDefault="00BD4AB9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0.00%</w:t>
            </w:r>
          </w:p>
        </w:tc>
      </w:tr>
      <w:tr w:rsidR="00FB272C" w:rsidTr="0022558D">
        <w:trPr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Taksë për bartjen e pronësisë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3,000.00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A46F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1,696.00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56.53%</w:t>
            </w:r>
          </w:p>
        </w:tc>
      </w:tr>
      <w:tr w:rsidR="00FB272C" w:rsidTr="0022558D">
        <w:trPr>
          <w:cnfStyle w:val="000000100000"/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Ndërrim destinimi i tokës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1,000.00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390.00 </w:t>
            </w:r>
          </w:p>
        </w:tc>
        <w:tc>
          <w:tcPr>
            <w:tcW w:w="1109" w:type="dxa"/>
            <w:noWrap/>
            <w:hideMark/>
          </w:tcPr>
          <w:p w:rsidR="00FB272C" w:rsidRDefault="00BD4AB9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0.00%</w:t>
            </w:r>
          </w:p>
        </w:tc>
      </w:tr>
      <w:tr w:rsidR="00FB272C" w:rsidTr="0022558D">
        <w:trPr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Shërbime të ndryshme kadastrale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5,000.00 </w:t>
            </w:r>
          </w:p>
        </w:tc>
        <w:tc>
          <w:tcPr>
            <w:tcW w:w="1230" w:type="dxa"/>
            <w:noWrap/>
            <w:hideMark/>
          </w:tcPr>
          <w:p w:rsidR="00FB272C" w:rsidRDefault="00D22043" w:rsidP="004A46F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7,75</w:t>
            </w:r>
            <w:r w:rsidR="00FB272C">
              <w:rPr>
                <w:color w:val="000000"/>
                <w:sz w:val="21"/>
                <w:szCs w:val="21"/>
              </w:rPr>
              <w:t xml:space="preserve">4.00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6,777.00 </w:t>
            </w:r>
          </w:p>
        </w:tc>
        <w:tc>
          <w:tcPr>
            <w:tcW w:w="1109" w:type="dxa"/>
            <w:noWrap/>
            <w:hideMark/>
          </w:tcPr>
          <w:p w:rsidR="00FB272C" w:rsidRDefault="00D22043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155.0</w:t>
            </w:r>
            <w:r w:rsidR="00FB272C">
              <w:rPr>
                <w:color w:val="000000"/>
                <w:sz w:val="21"/>
                <w:szCs w:val="21"/>
              </w:rPr>
              <w:t>8%</w:t>
            </w:r>
          </w:p>
        </w:tc>
      </w:tr>
      <w:tr w:rsidR="00FB272C" w:rsidTr="0022558D">
        <w:trPr>
          <w:cnfStyle w:val="000000100000"/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Të hyrat nga konfiskimet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2,198.10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109" w:type="dxa"/>
            <w:noWrap/>
            <w:hideMark/>
          </w:tcPr>
          <w:p w:rsidR="00FB272C" w:rsidRDefault="00BD4AB9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0.00%</w:t>
            </w:r>
          </w:p>
        </w:tc>
      </w:tr>
      <w:tr w:rsidR="00FB272C" w:rsidTr="0022558D">
        <w:trPr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Shfrytëzimi i pronës publike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6,150.00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A46F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3,468.90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1,989.04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56.40%</w:t>
            </w:r>
          </w:p>
        </w:tc>
      </w:tr>
      <w:tr w:rsidR="00FB272C" w:rsidTr="0022558D">
        <w:trPr>
          <w:cnfStyle w:val="000000100000"/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Të hyrat nga shitja e pasurisë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4,020.00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 </w:t>
            </w:r>
          </w:p>
        </w:tc>
        <w:tc>
          <w:tcPr>
            <w:tcW w:w="1109" w:type="dxa"/>
            <w:noWrap/>
            <w:hideMark/>
          </w:tcPr>
          <w:p w:rsidR="00FB272C" w:rsidRDefault="00BD4AB9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0.00%</w:t>
            </w:r>
          </w:p>
        </w:tc>
      </w:tr>
      <w:tr w:rsidR="00FB272C" w:rsidTr="0022558D">
        <w:trPr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 xml:space="preserve">Gjobat nga </w:t>
            </w:r>
            <w:r w:rsidR="0022558D">
              <w:rPr>
                <w:color w:val="000000"/>
              </w:rPr>
              <w:t>inspektorati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200.00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A46F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300.00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415.00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150.00%</w:t>
            </w:r>
          </w:p>
        </w:tc>
      </w:tr>
      <w:tr w:rsidR="00FB272C" w:rsidTr="0022558D">
        <w:trPr>
          <w:cnfStyle w:val="000000100000"/>
          <w:trHeight w:val="260"/>
        </w:trPr>
        <w:tc>
          <w:tcPr>
            <w:cnfStyle w:val="001000000000"/>
            <w:tcW w:w="547" w:type="dxa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Ndarja e parcelave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3,000.00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109" w:type="dxa"/>
            <w:noWrap/>
            <w:hideMark/>
          </w:tcPr>
          <w:p w:rsidR="00FB272C" w:rsidRDefault="00BD4AB9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0.00%</w:t>
            </w:r>
          </w:p>
        </w:tc>
      </w:tr>
      <w:tr w:rsidR="00FB272C" w:rsidTr="0022558D">
        <w:trPr>
          <w:trHeight w:val="278"/>
        </w:trPr>
        <w:tc>
          <w:tcPr>
            <w:cnfStyle w:val="001000000000"/>
            <w:tcW w:w="547" w:type="dxa"/>
            <w:noWrap/>
            <w:hideMark/>
          </w:tcPr>
          <w:p w:rsidR="00FB272C" w:rsidRDefault="00642982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Gjobat tjera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10.00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FB272C" w:rsidRDefault="00BD4AB9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0.00%</w:t>
            </w:r>
          </w:p>
        </w:tc>
      </w:tr>
      <w:tr w:rsidR="00FB272C" w:rsidTr="0022558D">
        <w:trPr>
          <w:cnfStyle w:val="000000100000"/>
          <w:trHeight w:val="277"/>
        </w:trPr>
        <w:tc>
          <w:tcPr>
            <w:cnfStyle w:val="001000000000"/>
            <w:tcW w:w="547" w:type="dxa"/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V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cnfStyle w:val="0000001000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Urbanizimi dhe Kadastri                       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24,120.00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D22043" w:rsidP="00642982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="00642982">
              <w:rPr>
                <w:b/>
                <w:bCs/>
                <w:color w:val="000000"/>
                <w:sz w:val="21"/>
                <w:szCs w:val="21"/>
              </w:rPr>
              <w:t>26,576.75</w:t>
            </w:r>
            <w:r w:rsidR="00FB272C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FB272C" w:rsidP="004B4FAF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14,922.66 </w:t>
            </w:r>
          </w:p>
        </w:tc>
        <w:tc>
          <w:tcPr>
            <w:tcW w:w="1109" w:type="dxa"/>
            <w:shd w:val="clear" w:color="auto" w:fill="8DB3E2" w:themeFill="text2" w:themeFillTint="66"/>
            <w:noWrap/>
            <w:hideMark/>
          </w:tcPr>
          <w:p w:rsidR="00FB272C" w:rsidRPr="00F65F5B" w:rsidRDefault="00642982">
            <w:pPr>
              <w:jc w:val="right"/>
              <w:cnfStyle w:val="00000010000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110.19</w:t>
            </w:r>
            <w:r w:rsidR="00FB272C" w:rsidRPr="00F65F5B">
              <w:rPr>
                <w:b/>
                <w:color w:val="000000"/>
                <w:sz w:val="21"/>
                <w:szCs w:val="21"/>
              </w:rPr>
              <w:t>%</w:t>
            </w:r>
          </w:p>
        </w:tc>
      </w:tr>
      <w:tr w:rsidR="00FB272C" w:rsidTr="0022558D">
        <w:trPr>
          <w:trHeight w:val="278"/>
        </w:trPr>
        <w:tc>
          <w:tcPr>
            <w:cnfStyle w:val="001000000000"/>
            <w:tcW w:w="547" w:type="dxa"/>
            <w:noWrap/>
            <w:hideMark/>
          </w:tcPr>
          <w:p w:rsidR="00FB272C" w:rsidRDefault="00642982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Participimet në Arsim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150.00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55.00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36.67%</w:t>
            </w:r>
          </w:p>
        </w:tc>
      </w:tr>
      <w:tr w:rsidR="00FB272C" w:rsidTr="0022558D">
        <w:trPr>
          <w:cnfStyle w:val="000000100000"/>
          <w:trHeight w:val="232"/>
        </w:trPr>
        <w:tc>
          <w:tcPr>
            <w:cnfStyle w:val="001000000000"/>
            <w:tcW w:w="547" w:type="dxa"/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VI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cnfStyle w:val="0000001000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Arsimi                                                    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   150.00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     55.00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109" w:type="dxa"/>
            <w:shd w:val="clear" w:color="auto" w:fill="8DB3E2" w:themeFill="text2" w:themeFillTint="66"/>
            <w:noWrap/>
            <w:hideMark/>
          </w:tcPr>
          <w:p w:rsidR="00FB272C" w:rsidRPr="00F65F5B" w:rsidRDefault="00FB272C">
            <w:pPr>
              <w:jc w:val="right"/>
              <w:cnfStyle w:val="000000100000"/>
              <w:rPr>
                <w:b/>
                <w:color w:val="000000"/>
                <w:sz w:val="21"/>
                <w:szCs w:val="21"/>
              </w:rPr>
            </w:pPr>
            <w:r w:rsidRPr="00F65F5B">
              <w:rPr>
                <w:b/>
                <w:color w:val="000000"/>
                <w:sz w:val="21"/>
                <w:szCs w:val="21"/>
              </w:rPr>
              <w:t>36.67%</w:t>
            </w:r>
          </w:p>
        </w:tc>
      </w:tr>
      <w:tr w:rsidR="00FB272C" w:rsidTr="0022558D">
        <w:trPr>
          <w:trHeight w:val="223"/>
        </w:trPr>
        <w:tc>
          <w:tcPr>
            <w:cnfStyle w:val="001000000000"/>
            <w:tcW w:w="547" w:type="dxa"/>
            <w:noWrap/>
            <w:hideMark/>
          </w:tcPr>
          <w:p w:rsidR="00FB272C" w:rsidRDefault="00642982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Taksa për shërbimet sociale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270.00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A46F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180.00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100.00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66.67%</w:t>
            </w:r>
          </w:p>
        </w:tc>
      </w:tr>
      <w:tr w:rsidR="00FB272C" w:rsidTr="0022558D">
        <w:trPr>
          <w:cnfStyle w:val="000000100000"/>
          <w:trHeight w:val="300"/>
        </w:trPr>
        <w:tc>
          <w:tcPr>
            <w:cnfStyle w:val="001000000000"/>
            <w:tcW w:w="547" w:type="dxa"/>
            <w:noWrap/>
            <w:hideMark/>
          </w:tcPr>
          <w:p w:rsidR="00FB272C" w:rsidRDefault="00642982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Certifikata mjekësore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1,600.00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A46FF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1,830.00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1,920.00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114.38%</w:t>
            </w:r>
          </w:p>
        </w:tc>
      </w:tr>
      <w:tr w:rsidR="00FB272C" w:rsidTr="0022558D">
        <w:trPr>
          <w:trHeight w:val="300"/>
        </w:trPr>
        <w:tc>
          <w:tcPr>
            <w:cnfStyle w:val="001000000000"/>
            <w:tcW w:w="547" w:type="dxa"/>
            <w:noWrap/>
            <w:hideMark/>
          </w:tcPr>
          <w:p w:rsidR="00FB272C" w:rsidRDefault="00642982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Participimet në shëndetësi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6,400.00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A46F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3,326.20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5,485.30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51.97%</w:t>
            </w:r>
          </w:p>
        </w:tc>
      </w:tr>
      <w:tr w:rsidR="00FB272C" w:rsidTr="0022558D">
        <w:trPr>
          <w:cnfStyle w:val="000000100000"/>
          <w:trHeight w:val="250"/>
        </w:trPr>
        <w:tc>
          <w:tcPr>
            <w:cnfStyle w:val="001000000000"/>
            <w:tcW w:w="547" w:type="dxa"/>
            <w:noWrap/>
            <w:hideMark/>
          </w:tcPr>
          <w:p w:rsidR="00FB272C" w:rsidRDefault="00642982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Inspektimi Higjeniko-Sanitar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150.00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109" w:type="dxa"/>
            <w:noWrap/>
            <w:hideMark/>
          </w:tcPr>
          <w:p w:rsidR="00FB272C" w:rsidRDefault="00BD4AB9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0.00%</w:t>
            </w:r>
          </w:p>
        </w:tc>
      </w:tr>
      <w:tr w:rsidR="00FB272C" w:rsidTr="0022558D">
        <w:trPr>
          <w:trHeight w:val="242"/>
        </w:trPr>
        <w:tc>
          <w:tcPr>
            <w:cnfStyle w:val="001000000000"/>
            <w:tcW w:w="547" w:type="dxa"/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VII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cnfStyle w:val="0000000000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Shëndetësia dhe MS                              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8,420.00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FB272C" w:rsidP="004A46FF">
            <w:pPr>
              <w:jc w:val="right"/>
              <w:cnfStyle w:val="0000000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5,336.20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FB272C" w:rsidP="004B4FAF">
            <w:pPr>
              <w:jc w:val="right"/>
              <w:cnfStyle w:val="0000000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7,505.30 </w:t>
            </w:r>
          </w:p>
        </w:tc>
        <w:tc>
          <w:tcPr>
            <w:tcW w:w="1109" w:type="dxa"/>
            <w:shd w:val="clear" w:color="auto" w:fill="8DB3E2" w:themeFill="text2" w:themeFillTint="66"/>
            <w:noWrap/>
            <w:hideMark/>
          </w:tcPr>
          <w:p w:rsidR="00FB272C" w:rsidRPr="00F65F5B" w:rsidRDefault="00FB272C">
            <w:pPr>
              <w:jc w:val="right"/>
              <w:cnfStyle w:val="000000000000"/>
              <w:rPr>
                <w:b/>
                <w:color w:val="000000"/>
                <w:sz w:val="21"/>
                <w:szCs w:val="21"/>
              </w:rPr>
            </w:pPr>
            <w:r w:rsidRPr="00F65F5B">
              <w:rPr>
                <w:b/>
                <w:color w:val="000000"/>
                <w:sz w:val="21"/>
                <w:szCs w:val="21"/>
              </w:rPr>
              <w:t>63.38%</w:t>
            </w:r>
          </w:p>
        </w:tc>
      </w:tr>
      <w:tr w:rsidR="00FB272C" w:rsidTr="0022558D">
        <w:trPr>
          <w:cnfStyle w:val="000000100000"/>
          <w:trHeight w:val="232"/>
        </w:trPr>
        <w:tc>
          <w:tcPr>
            <w:cnfStyle w:val="001000000000"/>
            <w:tcW w:w="547" w:type="dxa"/>
            <w:shd w:val="clear" w:color="auto" w:fill="E5B8B7" w:themeFill="accent2" w:themeFillTint="66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A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shd w:val="clear" w:color="auto" w:fill="E5B8B7" w:themeFill="accent2" w:themeFillTint="66"/>
            <w:noWrap/>
            <w:hideMark/>
          </w:tcPr>
          <w:p w:rsidR="00FB272C" w:rsidRDefault="00FB272C" w:rsidP="007F2288">
            <w:pPr>
              <w:cnfStyle w:val="0000001000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TË HYRAT DIREKTE  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shd w:val="clear" w:color="auto" w:fill="E5B8B7" w:themeFill="accent2" w:themeFillTint="66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276,329.00 </w:t>
            </w:r>
          </w:p>
        </w:tc>
        <w:tc>
          <w:tcPr>
            <w:tcW w:w="1230" w:type="dxa"/>
            <w:shd w:val="clear" w:color="auto" w:fill="E5B8B7" w:themeFill="accent2" w:themeFillTint="66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224,215.21 </w:t>
            </w:r>
          </w:p>
        </w:tc>
        <w:tc>
          <w:tcPr>
            <w:tcW w:w="1230" w:type="dxa"/>
            <w:shd w:val="clear" w:color="auto" w:fill="E5B8B7" w:themeFill="accent2" w:themeFillTint="66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200,939.08 </w:t>
            </w:r>
          </w:p>
        </w:tc>
        <w:tc>
          <w:tcPr>
            <w:tcW w:w="1109" w:type="dxa"/>
            <w:shd w:val="clear" w:color="auto" w:fill="E5B8B7" w:themeFill="accent2" w:themeFillTint="66"/>
            <w:noWrap/>
            <w:hideMark/>
          </w:tcPr>
          <w:p w:rsidR="00FB272C" w:rsidRPr="00F65F5B" w:rsidRDefault="00FB272C">
            <w:pPr>
              <w:jc w:val="right"/>
              <w:cnfStyle w:val="000000100000"/>
              <w:rPr>
                <w:b/>
                <w:color w:val="000000"/>
                <w:sz w:val="21"/>
                <w:szCs w:val="21"/>
              </w:rPr>
            </w:pPr>
            <w:r w:rsidRPr="00F65F5B">
              <w:rPr>
                <w:b/>
                <w:color w:val="000000"/>
                <w:sz w:val="21"/>
                <w:szCs w:val="21"/>
              </w:rPr>
              <w:t>81.14%</w:t>
            </w:r>
          </w:p>
        </w:tc>
      </w:tr>
      <w:tr w:rsidR="00FB272C" w:rsidTr="0022558D">
        <w:trPr>
          <w:trHeight w:val="300"/>
        </w:trPr>
        <w:tc>
          <w:tcPr>
            <w:cnfStyle w:val="001000000000"/>
            <w:tcW w:w="547" w:type="dxa"/>
            <w:noWrap/>
            <w:hideMark/>
          </w:tcPr>
          <w:p w:rsidR="00FB272C" w:rsidRDefault="00642982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Të hyrat nga dënimet në trafik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10,800.00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A46F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17,525.00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4B4FAF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24,715.00 </w:t>
            </w:r>
          </w:p>
        </w:tc>
        <w:tc>
          <w:tcPr>
            <w:tcW w:w="1109" w:type="dxa"/>
            <w:noWrap/>
            <w:hideMark/>
          </w:tcPr>
          <w:p w:rsidR="00FB272C" w:rsidRDefault="00FB272C">
            <w:pPr>
              <w:jc w:val="right"/>
              <w:cnfStyle w:val="0000000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162.27%</w:t>
            </w:r>
          </w:p>
        </w:tc>
      </w:tr>
      <w:tr w:rsidR="00FB272C" w:rsidTr="0022558D">
        <w:trPr>
          <w:cnfStyle w:val="000000100000"/>
          <w:trHeight w:val="278"/>
        </w:trPr>
        <w:tc>
          <w:tcPr>
            <w:cnfStyle w:val="001000000000"/>
            <w:tcW w:w="547" w:type="dxa"/>
            <w:noWrap/>
            <w:hideMark/>
          </w:tcPr>
          <w:p w:rsidR="00FB272C" w:rsidRDefault="00642982" w:rsidP="007F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Të hyrat nga dënimet në gjykata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2,000.00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-   </w:t>
            </w:r>
          </w:p>
        </w:tc>
        <w:tc>
          <w:tcPr>
            <w:tcW w:w="1230" w:type="dxa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880.00 </w:t>
            </w:r>
          </w:p>
        </w:tc>
        <w:tc>
          <w:tcPr>
            <w:tcW w:w="1109" w:type="dxa"/>
            <w:noWrap/>
            <w:hideMark/>
          </w:tcPr>
          <w:p w:rsidR="00FB272C" w:rsidRDefault="00BD4AB9">
            <w:pPr>
              <w:jc w:val="right"/>
              <w:cnfStyle w:val="0000001000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0.00%</w:t>
            </w:r>
          </w:p>
        </w:tc>
      </w:tr>
      <w:tr w:rsidR="00FB272C" w:rsidTr="0022558D">
        <w:trPr>
          <w:trHeight w:val="260"/>
        </w:trPr>
        <w:tc>
          <w:tcPr>
            <w:cnfStyle w:val="001000000000"/>
            <w:tcW w:w="547" w:type="dxa"/>
            <w:shd w:val="clear" w:color="auto" w:fill="D6E3BC" w:themeFill="accent3" w:themeFillTint="66"/>
            <w:noWrap/>
            <w:hideMark/>
          </w:tcPr>
          <w:p w:rsidR="00FB272C" w:rsidRPr="003B5052" w:rsidRDefault="00FB272C" w:rsidP="007F2288">
            <w:pPr>
              <w:jc w:val="center"/>
              <w:rPr>
                <w:b w:val="0"/>
                <w:color w:val="000000"/>
              </w:rPr>
            </w:pPr>
            <w:r w:rsidRPr="003B5052">
              <w:rPr>
                <w:b w:val="0"/>
                <w:color w:val="000000"/>
              </w:rPr>
              <w:t>B</w:t>
            </w: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shd w:val="clear" w:color="auto" w:fill="D6E3BC" w:themeFill="accent3" w:themeFillTint="66"/>
            <w:noWrap/>
            <w:hideMark/>
          </w:tcPr>
          <w:p w:rsidR="00FB272C" w:rsidRPr="003B5052" w:rsidRDefault="00FB272C" w:rsidP="007F2288">
            <w:pPr>
              <w:cnfStyle w:val="000000000000"/>
              <w:rPr>
                <w:b/>
                <w:color w:val="000000"/>
              </w:rPr>
            </w:pPr>
            <w:r w:rsidRPr="003B5052">
              <w:rPr>
                <w:b/>
                <w:color w:val="000000"/>
              </w:rPr>
              <w:t xml:space="preserve">TË HYRAT INDIREKTE                       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shd w:val="clear" w:color="auto" w:fill="D6E3BC" w:themeFill="accent3" w:themeFillTint="66"/>
            <w:noWrap/>
            <w:hideMark/>
          </w:tcPr>
          <w:p w:rsidR="00FB272C" w:rsidRPr="003B5052" w:rsidRDefault="00FB272C" w:rsidP="007F2288">
            <w:pPr>
              <w:jc w:val="right"/>
              <w:cnfStyle w:val="000000000000"/>
              <w:rPr>
                <w:b/>
                <w:bCs/>
                <w:color w:val="000000"/>
                <w:sz w:val="21"/>
                <w:szCs w:val="21"/>
              </w:rPr>
            </w:pPr>
            <w:r w:rsidRPr="003B5052">
              <w:rPr>
                <w:b/>
                <w:bCs/>
                <w:color w:val="000000"/>
                <w:sz w:val="21"/>
                <w:szCs w:val="21"/>
              </w:rPr>
              <w:t xml:space="preserve">   12,800.00 </w:t>
            </w:r>
          </w:p>
        </w:tc>
        <w:tc>
          <w:tcPr>
            <w:tcW w:w="1230" w:type="dxa"/>
            <w:shd w:val="clear" w:color="auto" w:fill="D6E3BC" w:themeFill="accent3" w:themeFillTint="66"/>
            <w:noWrap/>
            <w:hideMark/>
          </w:tcPr>
          <w:p w:rsidR="00FB272C" w:rsidRDefault="00FB272C" w:rsidP="004A46FF">
            <w:pPr>
              <w:jc w:val="right"/>
              <w:cnfStyle w:val="0000000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17,525.00 </w:t>
            </w:r>
          </w:p>
        </w:tc>
        <w:tc>
          <w:tcPr>
            <w:tcW w:w="1230" w:type="dxa"/>
            <w:shd w:val="clear" w:color="auto" w:fill="D6E3BC" w:themeFill="accent3" w:themeFillTint="66"/>
            <w:noWrap/>
            <w:hideMark/>
          </w:tcPr>
          <w:p w:rsidR="00FB272C" w:rsidRDefault="00FB272C" w:rsidP="004B4FAF">
            <w:pPr>
              <w:jc w:val="right"/>
              <w:cnfStyle w:val="0000000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25,595.00 </w:t>
            </w:r>
          </w:p>
        </w:tc>
        <w:tc>
          <w:tcPr>
            <w:tcW w:w="1109" w:type="dxa"/>
            <w:shd w:val="clear" w:color="auto" w:fill="D6E3BC" w:themeFill="accent3" w:themeFillTint="66"/>
            <w:noWrap/>
            <w:hideMark/>
          </w:tcPr>
          <w:p w:rsidR="00FB272C" w:rsidRPr="00F65F5B" w:rsidRDefault="00FB272C">
            <w:pPr>
              <w:jc w:val="right"/>
              <w:cnfStyle w:val="000000000000"/>
              <w:rPr>
                <w:b/>
                <w:color w:val="000000"/>
                <w:sz w:val="21"/>
                <w:szCs w:val="21"/>
              </w:rPr>
            </w:pPr>
            <w:r w:rsidRPr="00F65F5B">
              <w:rPr>
                <w:b/>
                <w:color w:val="000000"/>
                <w:sz w:val="21"/>
                <w:szCs w:val="21"/>
              </w:rPr>
              <w:t>136.91%</w:t>
            </w:r>
          </w:p>
        </w:tc>
      </w:tr>
      <w:tr w:rsidR="00FB272C" w:rsidTr="0022558D">
        <w:trPr>
          <w:cnfStyle w:val="000000100000"/>
          <w:trHeight w:val="260"/>
        </w:trPr>
        <w:tc>
          <w:tcPr>
            <w:cnfStyle w:val="001000000000"/>
            <w:tcW w:w="547" w:type="dxa"/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center"/>
              <w:rPr>
                <w:color w:val="000000"/>
              </w:rPr>
            </w:pPr>
          </w:p>
        </w:tc>
        <w:tc>
          <w:tcPr>
            <w:tcW w:w="4223" w:type="dxa"/>
            <w:tcBorders>
              <w:righ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cnfStyle w:val="000000100000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TOTALI I PËRGJITHSHËM (A + B)</w:t>
            </w:r>
          </w:p>
        </w:tc>
        <w:tc>
          <w:tcPr>
            <w:tcW w:w="1380" w:type="dxa"/>
            <w:tcBorders>
              <w:left w:val="single" w:sz="4" w:space="0" w:color="548DD4" w:themeColor="text2" w:themeTint="99"/>
            </w:tcBorders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289,129.00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241,740.21 </w:t>
            </w:r>
          </w:p>
        </w:tc>
        <w:tc>
          <w:tcPr>
            <w:tcW w:w="1230" w:type="dxa"/>
            <w:shd w:val="clear" w:color="auto" w:fill="8DB3E2" w:themeFill="text2" w:themeFillTint="66"/>
            <w:noWrap/>
            <w:hideMark/>
          </w:tcPr>
          <w:p w:rsidR="00FB272C" w:rsidRDefault="00FB272C" w:rsidP="007F2288">
            <w:pPr>
              <w:jc w:val="right"/>
              <w:cnfStyle w:val="00000010000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226,534.08 </w:t>
            </w:r>
          </w:p>
        </w:tc>
        <w:tc>
          <w:tcPr>
            <w:tcW w:w="1109" w:type="dxa"/>
            <w:shd w:val="clear" w:color="auto" w:fill="8DB3E2" w:themeFill="text2" w:themeFillTint="66"/>
            <w:noWrap/>
            <w:hideMark/>
          </w:tcPr>
          <w:p w:rsidR="00FB272C" w:rsidRPr="00F65F5B" w:rsidRDefault="00FB272C">
            <w:pPr>
              <w:jc w:val="right"/>
              <w:cnfStyle w:val="000000100000"/>
              <w:rPr>
                <w:b/>
                <w:color w:val="000000"/>
                <w:sz w:val="21"/>
                <w:szCs w:val="21"/>
              </w:rPr>
            </w:pPr>
            <w:r w:rsidRPr="00F65F5B">
              <w:rPr>
                <w:b/>
                <w:color w:val="000000"/>
                <w:sz w:val="21"/>
                <w:szCs w:val="21"/>
              </w:rPr>
              <w:t>83.61%</w:t>
            </w:r>
          </w:p>
        </w:tc>
      </w:tr>
    </w:tbl>
    <w:p w:rsidR="00AE24A4" w:rsidRPr="002A00AF" w:rsidRDefault="00AE24A4" w:rsidP="00AE24A4">
      <w:pPr>
        <w:sectPr w:rsidR="00AE24A4" w:rsidRPr="002A00AF" w:rsidSect="00642982">
          <w:footerReference w:type="default" r:id="rId21"/>
          <w:pgSz w:w="12240" w:h="15840"/>
          <w:pgMar w:top="900" w:right="1440" w:bottom="810" w:left="1267" w:header="720" w:footer="720" w:gutter="0"/>
          <w:cols w:space="720"/>
          <w:docGrid w:linePitch="360"/>
        </w:sectPr>
      </w:pPr>
    </w:p>
    <w:p w:rsidR="00AE24A4" w:rsidRPr="00302ADD" w:rsidRDefault="0077725E" w:rsidP="00AE24A4">
      <w:pPr>
        <w:jc w:val="both"/>
        <w:rPr>
          <w:color w:val="C00000"/>
          <w:u w:val="single"/>
        </w:rPr>
      </w:pPr>
      <w:r>
        <w:rPr>
          <w:color w:val="C00000"/>
          <w:u w:val="single"/>
        </w:rPr>
        <w:lastRenderedPageBreak/>
        <w:t xml:space="preserve">9.1 SHPJEGIME PËR </w:t>
      </w:r>
      <w:r w:rsidR="00AE24A4" w:rsidRPr="00302ADD">
        <w:rPr>
          <w:color w:val="C00000"/>
          <w:u w:val="single"/>
        </w:rPr>
        <w:t>TË HYRAT VETANAKE</w:t>
      </w:r>
    </w:p>
    <w:p w:rsidR="00AE24A4" w:rsidRPr="00E71581" w:rsidRDefault="00AE24A4" w:rsidP="00AE24A4">
      <w:pPr>
        <w:jc w:val="both"/>
      </w:pPr>
    </w:p>
    <w:p w:rsidR="00AE24A4" w:rsidRPr="000945C7" w:rsidRDefault="00AE24A4" w:rsidP="00AE24A4">
      <w:pPr>
        <w:pStyle w:val="ListParagraph"/>
        <w:numPr>
          <w:ilvl w:val="0"/>
          <w:numId w:val="3"/>
        </w:numPr>
        <w:jc w:val="both"/>
      </w:pPr>
      <w:r w:rsidRPr="000945C7">
        <w:t xml:space="preserve">Planifikimi i të hyrave </w:t>
      </w:r>
      <w:r w:rsidR="00172631">
        <w:t>vetanake për vitin 2019</w:t>
      </w:r>
      <w:r w:rsidRPr="000945C7">
        <w:t xml:space="preserve"> është në shumë prej </w:t>
      </w:r>
      <w:r w:rsidR="00172631">
        <w:t>289,129.00</w:t>
      </w:r>
      <w:r w:rsidR="00D55797" w:rsidRPr="000945C7">
        <w:t xml:space="preserve"> </w:t>
      </w:r>
      <w:r w:rsidRPr="000945C7">
        <w:t>€.</w:t>
      </w:r>
    </w:p>
    <w:p w:rsidR="000D0B57" w:rsidRPr="000945C7" w:rsidRDefault="000D0B57" w:rsidP="000D0B57">
      <w:pPr>
        <w:jc w:val="both"/>
      </w:pPr>
    </w:p>
    <w:p w:rsidR="00AE24A4" w:rsidRPr="000945C7" w:rsidRDefault="00AE24A4" w:rsidP="00AE24A4">
      <w:pPr>
        <w:pStyle w:val="ListParagraph"/>
        <w:numPr>
          <w:ilvl w:val="0"/>
          <w:numId w:val="3"/>
        </w:numPr>
        <w:jc w:val="both"/>
      </w:pPr>
      <w:r w:rsidRPr="000945C7">
        <w:t xml:space="preserve">Komuna e Hanit të Elezit ka arritur </w:t>
      </w:r>
      <w:r w:rsidR="00F24AE0" w:rsidRPr="000945C7">
        <w:t>t’i</w:t>
      </w:r>
      <w:r w:rsidRPr="000945C7">
        <w:t xml:space="preserve"> arkëtoj gjithsejtë </w:t>
      </w:r>
      <w:r w:rsidR="00BD4AB9">
        <w:rPr>
          <w:b/>
          <w:u w:val="single"/>
        </w:rPr>
        <w:t>241,740.21</w:t>
      </w:r>
      <w:r w:rsidRPr="000945C7">
        <w:rPr>
          <w:b/>
          <w:u w:val="single"/>
        </w:rPr>
        <w:t xml:space="preserve"> €</w:t>
      </w:r>
      <w:r w:rsidRPr="000945C7">
        <w:t xml:space="preserve"> të hyra vetana</w:t>
      </w:r>
      <w:r w:rsidR="00137AF0" w:rsidRPr="000945C7">
        <w:t>ke për periudhën janar-</w:t>
      </w:r>
      <w:r w:rsidR="0045255B" w:rsidRPr="000945C7">
        <w:t>shtator</w:t>
      </w:r>
      <w:r w:rsidR="00EE1A96">
        <w:t xml:space="preserve"> 2019</w:t>
      </w:r>
      <w:r w:rsidRPr="000945C7">
        <w:t xml:space="preserve"> apo </w:t>
      </w:r>
      <w:r w:rsidR="00BD4AB9">
        <w:t>83.61</w:t>
      </w:r>
      <w:r w:rsidR="00EE1A96">
        <w:t xml:space="preserve"> % e planifikimit.</w:t>
      </w:r>
    </w:p>
    <w:p w:rsidR="00F24AE0" w:rsidRPr="000945C7" w:rsidRDefault="00F24AE0" w:rsidP="00F24AE0">
      <w:pPr>
        <w:jc w:val="both"/>
      </w:pPr>
    </w:p>
    <w:p w:rsidR="00AE24A4" w:rsidRPr="000945C7" w:rsidRDefault="00AE24A4" w:rsidP="00AE24A4">
      <w:pPr>
        <w:pStyle w:val="ListParagraph"/>
        <w:numPr>
          <w:ilvl w:val="0"/>
          <w:numId w:val="3"/>
        </w:numPr>
        <w:jc w:val="both"/>
      </w:pPr>
      <w:r w:rsidRPr="000945C7">
        <w:t>Të hyrat vetana</w:t>
      </w:r>
      <w:r w:rsidR="00137AF0" w:rsidRPr="000945C7">
        <w:t>ke për periudhën janar-</w:t>
      </w:r>
      <w:r w:rsidR="00F24AE0" w:rsidRPr="000945C7">
        <w:t>sh</w:t>
      </w:r>
      <w:r w:rsidR="00FC7B79" w:rsidRPr="000945C7">
        <w:t>tat</w:t>
      </w:r>
      <w:r w:rsidR="00F24AE0" w:rsidRPr="000945C7">
        <w:t>or</w:t>
      </w:r>
      <w:r w:rsidR="00EE1A96">
        <w:t xml:space="preserve"> 2019</w:t>
      </w:r>
      <w:r w:rsidRPr="000945C7">
        <w:t xml:space="preserve"> janë më të </w:t>
      </w:r>
      <w:r w:rsidR="00D55797" w:rsidRPr="000945C7">
        <w:t>larta</w:t>
      </w:r>
      <w:r w:rsidRPr="000945C7">
        <w:t xml:space="preserve"> për </w:t>
      </w:r>
      <w:r w:rsidR="00BD4AB9">
        <w:rPr>
          <w:b/>
          <w:u w:val="single"/>
        </w:rPr>
        <w:t>15,206.13</w:t>
      </w:r>
      <w:r w:rsidRPr="000945C7">
        <w:rPr>
          <w:b/>
          <w:u w:val="single"/>
        </w:rPr>
        <w:t xml:space="preserve"> €</w:t>
      </w:r>
      <w:r w:rsidRPr="000945C7">
        <w:t xml:space="preserve"> apo </w:t>
      </w:r>
      <w:r w:rsidR="000D302B" w:rsidRPr="000945C7">
        <w:t xml:space="preserve">për </w:t>
      </w:r>
      <w:r w:rsidR="00BD4AB9">
        <w:rPr>
          <w:b/>
          <w:u w:val="single"/>
        </w:rPr>
        <w:t>6.71</w:t>
      </w:r>
      <w:r w:rsidRPr="000945C7">
        <w:rPr>
          <w:b/>
          <w:u w:val="single"/>
        </w:rPr>
        <w:t xml:space="preserve"> %</w:t>
      </w:r>
      <w:r w:rsidRPr="000945C7">
        <w:t xml:space="preserve"> se në </w:t>
      </w:r>
      <w:r w:rsidR="00EE1A96">
        <w:t>periudhën e njëjtë të vitit 2018</w:t>
      </w:r>
      <w:r w:rsidRPr="000945C7">
        <w:t xml:space="preserve">. </w:t>
      </w:r>
    </w:p>
    <w:p w:rsidR="00AE24A4" w:rsidRPr="00E71581" w:rsidRDefault="00AE24A4" w:rsidP="00AE24A4">
      <w:pPr>
        <w:pStyle w:val="ListParagraph"/>
      </w:pPr>
    </w:p>
    <w:p w:rsidR="00AE24A4" w:rsidRPr="00E71581" w:rsidRDefault="00AE24A4" w:rsidP="00AE24A4">
      <w:pPr>
        <w:pStyle w:val="ListParagraph"/>
        <w:jc w:val="both"/>
      </w:pPr>
    </w:p>
    <w:p w:rsidR="00AE24A4" w:rsidRPr="00E71581" w:rsidRDefault="00AE24A4" w:rsidP="00AE24A4">
      <w:pPr>
        <w:jc w:val="both"/>
      </w:pPr>
    </w:p>
    <w:p w:rsidR="00AE24A4" w:rsidRPr="00E71581" w:rsidRDefault="00AE24A4" w:rsidP="00AE24A4"/>
    <w:p w:rsidR="00AE24A4" w:rsidRDefault="00AE24A4" w:rsidP="00AE24A4"/>
    <w:p w:rsidR="00137AF0" w:rsidRDefault="00137AF0" w:rsidP="00AE24A4"/>
    <w:p w:rsidR="00D93E85" w:rsidRDefault="00D93E85" w:rsidP="00AE24A4"/>
    <w:p w:rsidR="00D93E85" w:rsidRDefault="00D93E85" w:rsidP="00AE24A4"/>
    <w:p w:rsidR="00D93E85" w:rsidRDefault="00D93E85" w:rsidP="00AE24A4"/>
    <w:p w:rsidR="00D93E85" w:rsidRDefault="00D93E85" w:rsidP="00AE24A4"/>
    <w:p w:rsidR="00D93E85" w:rsidRDefault="00D93E85" w:rsidP="00AE24A4"/>
    <w:p w:rsidR="00AE24A4" w:rsidRDefault="00AE24A4" w:rsidP="00AE24A4"/>
    <w:p w:rsidR="00AE24A4" w:rsidRDefault="00AE24A4" w:rsidP="00AE24A4"/>
    <w:p w:rsidR="00AE24A4" w:rsidRDefault="00AE24A4" w:rsidP="00AE24A4"/>
    <w:p w:rsidR="00AE24A4" w:rsidRPr="003116B1" w:rsidRDefault="00616769" w:rsidP="00AE24A4">
      <w:pPr>
        <w:rPr>
          <w:b/>
        </w:rPr>
      </w:pPr>
      <w:r>
        <w:rPr>
          <w:b/>
        </w:rPr>
        <w:t>Hani i Elezit</w:t>
      </w:r>
      <w:r w:rsidR="00AE24A4" w:rsidRPr="003116B1">
        <w:rPr>
          <w:b/>
        </w:rPr>
        <w:t xml:space="preserve">            </w:t>
      </w:r>
      <w:r>
        <w:rPr>
          <w:b/>
        </w:rPr>
        <w:t xml:space="preserve">            </w:t>
      </w:r>
      <w:r w:rsidR="00AE24A4" w:rsidRPr="003116B1">
        <w:rPr>
          <w:b/>
        </w:rPr>
        <w:t xml:space="preserve">                    </w:t>
      </w:r>
      <w:r w:rsidR="003116B1">
        <w:rPr>
          <w:b/>
        </w:rPr>
        <w:t xml:space="preserve">     </w:t>
      </w:r>
      <w:r w:rsidR="008946B5">
        <w:rPr>
          <w:b/>
        </w:rPr>
        <w:t xml:space="preserve">       </w:t>
      </w:r>
      <w:r>
        <w:rPr>
          <w:b/>
        </w:rPr>
        <w:t xml:space="preserve">               </w:t>
      </w:r>
    </w:p>
    <w:p w:rsidR="00AE24A4" w:rsidRDefault="00E5367E" w:rsidP="00AE24A4">
      <w:pPr>
        <w:rPr>
          <w:b/>
        </w:rPr>
      </w:pPr>
      <w:r>
        <w:rPr>
          <w:b/>
        </w:rPr>
        <w:t xml:space="preserve">Data: </w:t>
      </w:r>
      <w:r w:rsidR="0022558D">
        <w:rPr>
          <w:b/>
        </w:rPr>
        <w:t>14</w:t>
      </w:r>
      <w:r>
        <w:rPr>
          <w:b/>
        </w:rPr>
        <w:t>.</w:t>
      </w:r>
      <w:r w:rsidR="009B0926">
        <w:rPr>
          <w:b/>
        </w:rPr>
        <w:t>10</w:t>
      </w:r>
      <w:r w:rsidR="007139DC">
        <w:rPr>
          <w:b/>
        </w:rPr>
        <w:t>.2019</w:t>
      </w:r>
      <w:r w:rsidR="00616769">
        <w:rPr>
          <w:b/>
        </w:rPr>
        <w:t xml:space="preserve">                                          </w:t>
      </w:r>
      <w:r w:rsidR="00AE24A4" w:rsidRPr="003116B1">
        <w:rPr>
          <w:b/>
        </w:rPr>
        <w:t xml:space="preserve">                       </w:t>
      </w:r>
      <w:r w:rsidR="00616769">
        <w:rPr>
          <w:b/>
        </w:rPr>
        <w:t xml:space="preserve">              </w:t>
      </w:r>
    </w:p>
    <w:p w:rsidR="00E5367E" w:rsidRDefault="00E5367E" w:rsidP="00AE24A4">
      <w:pPr>
        <w:rPr>
          <w:b/>
        </w:rPr>
      </w:pPr>
    </w:p>
    <w:p w:rsidR="00E5367E" w:rsidRDefault="00E5367E" w:rsidP="00AE24A4">
      <w:pPr>
        <w:rPr>
          <w:b/>
        </w:rPr>
      </w:pPr>
    </w:p>
    <w:p w:rsidR="00E5367E" w:rsidRDefault="00E5367E" w:rsidP="00AE24A4">
      <w:pPr>
        <w:rPr>
          <w:b/>
        </w:rPr>
      </w:pPr>
    </w:p>
    <w:p w:rsidR="00E5367E" w:rsidRDefault="00E5367E" w:rsidP="00AE24A4">
      <w:pPr>
        <w:rPr>
          <w:b/>
        </w:rPr>
      </w:pPr>
      <w:r w:rsidRPr="003116B1">
        <w:rPr>
          <w:b/>
        </w:rPr>
        <w:t>Drejtor</w:t>
      </w:r>
      <w:r>
        <w:rPr>
          <w:b/>
        </w:rPr>
        <w:t>i</w:t>
      </w:r>
      <w:r w:rsidRPr="003116B1">
        <w:rPr>
          <w:b/>
        </w:rPr>
        <w:t xml:space="preserve"> për Buxhet dhe Financa</w:t>
      </w:r>
      <w:r>
        <w:rPr>
          <w:b/>
        </w:rPr>
        <w:t xml:space="preserve">                                                  </w:t>
      </w:r>
      <w:r w:rsidR="00554A9D">
        <w:rPr>
          <w:b/>
        </w:rPr>
        <w:t xml:space="preserve"> </w:t>
      </w:r>
      <w:r>
        <w:rPr>
          <w:b/>
        </w:rPr>
        <w:t>Kryetari i Komunës</w:t>
      </w:r>
    </w:p>
    <w:p w:rsidR="00001FF5" w:rsidRDefault="00E5367E" w:rsidP="00E5367E">
      <w:pPr>
        <w:rPr>
          <w:b/>
        </w:rPr>
      </w:pPr>
      <w:r w:rsidRPr="003116B1">
        <w:rPr>
          <w:b/>
        </w:rPr>
        <w:t>Shabi Rexhallari</w:t>
      </w:r>
      <w:r>
        <w:rPr>
          <w:b/>
        </w:rPr>
        <w:t xml:space="preserve">                                                                             </w:t>
      </w:r>
      <w:r w:rsidR="00933882">
        <w:rPr>
          <w:b/>
        </w:rPr>
        <w:t xml:space="preserve"> </w:t>
      </w:r>
      <w:r>
        <w:rPr>
          <w:b/>
        </w:rPr>
        <w:t>Rufki Suma</w:t>
      </w:r>
    </w:p>
    <w:p w:rsidR="00001FF5" w:rsidRPr="00001FF5" w:rsidRDefault="00001FF5" w:rsidP="00001FF5"/>
    <w:p w:rsidR="00001FF5" w:rsidRPr="00001FF5" w:rsidRDefault="00001FF5" w:rsidP="00001FF5"/>
    <w:p w:rsidR="00001FF5" w:rsidRDefault="00001FF5" w:rsidP="00001FF5"/>
    <w:p w:rsidR="00E5367E" w:rsidRPr="00001FF5" w:rsidRDefault="00E5367E" w:rsidP="00001FF5">
      <w:pPr>
        <w:jc w:val="center"/>
      </w:pPr>
    </w:p>
    <w:sectPr w:rsidR="00E5367E" w:rsidRPr="00001FF5" w:rsidSect="00AE2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B32" w:rsidRDefault="00030B32" w:rsidP="0083508D">
      <w:r>
        <w:separator/>
      </w:r>
    </w:p>
  </w:endnote>
  <w:endnote w:type="continuationSeparator" w:id="1">
    <w:p w:rsidR="00030B32" w:rsidRDefault="00030B32" w:rsidP="00835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A0" w:rsidRDefault="00221CA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Raporti financiar janar-shtator 2019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Faqe </w:t>
    </w:r>
    <w:fldSimple w:instr=" PAGE   \* MERGEFORMAT ">
      <w:r w:rsidR="00D878C1" w:rsidRPr="00D878C1">
        <w:rPr>
          <w:rFonts w:asciiTheme="majorHAnsi" w:hAnsiTheme="majorHAnsi"/>
          <w:noProof/>
        </w:rPr>
        <w:t>1</w:t>
      </w:r>
    </w:fldSimple>
  </w:p>
  <w:p w:rsidR="00221CA0" w:rsidRDefault="00221C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A0" w:rsidRDefault="00221CA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Raport financiar për periudhën janar-shtator 2019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Faqe </w:t>
    </w:r>
    <w:fldSimple w:instr=" PAGE   \* MERGEFORMAT ">
      <w:r w:rsidR="00D878C1" w:rsidRPr="00D878C1">
        <w:rPr>
          <w:rFonts w:asciiTheme="majorHAnsi" w:hAnsiTheme="majorHAnsi"/>
          <w:noProof/>
        </w:rPr>
        <w:t>22</w:t>
      </w:r>
    </w:fldSimple>
  </w:p>
  <w:p w:rsidR="00221CA0" w:rsidRDefault="00221C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B32" w:rsidRDefault="00030B32" w:rsidP="0083508D">
      <w:r>
        <w:separator/>
      </w:r>
    </w:p>
  </w:footnote>
  <w:footnote w:type="continuationSeparator" w:id="1">
    <w:p w:rsidR="00030B32" w:rsidRDefault="00030B32" w:rsidP="00835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D19"/>
      </v:shape>
    </w:pict>
  </w:numPicBullet>
  <w:abstractNum w:abstractNumId="0">
    <w:nsid w:val="02CC6ADF"/>
    <w:multiLevelType w:val="hybridMultilevel"/>
    <w:tmpl w:val="536E14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6DE"/>
    <w:multiLevelType w:val="hybridMultilevel"/>
    <w:tmpl w:val="7EF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C0DF9"/>
    <w:multiLevelType w:val="hybridMultilevel"/>
    <w:tmpl w:val="8876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0593B"/>
    <w:multiLevelType w:val="hybridMultilevel"/>
    <w:tmpl w:val="DF2C5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24856"/>
    <w:multiLevelType w:val="hybridMultilevel"/>
    <w:tmpl w:val="8E561006"/>
    <w:lvl w:ilvl="0" w:tplc="1516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17158"/>
    <w:multiLevelType w:val="hybridMultilevel"/>
    <w:tmpl w:val="2FA061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D34F1"/>
    <w:multiLevelType w:val="hybridMultilevel"/>
    <w:tmpl w:val="89CA8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B6021"/>
    <w:multiLevelType w:val="hybridMultilevel"/>
    <w:tmpl w:val="4EB4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C7AFC"/>
    <w:multiLevelType w:val="hybridMultilevel"/>
    <w:tmpl w:val="EF542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E74AC"/>
    <w:multiLevelType w:val="hybridMultilevel"/>
    <w:tmpl w:val="5394B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37E53"/>
    <w:multiLevelType w:val="hybridMultilevel"/>
    <w:tmpl w:val="F0E2AB8A"/>
    <w:lvl w:ilvl="0" w:tplc="92B0DDC8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07661"/>
    <w:multiLevelType w:val="hybridMultilevel"/>
    <w:tmpl w:val="59AA6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749B3967"/>
    <w:multiLevelType w:val="hybridMultilevel"/>
    <w:tmpl w:val="BDA04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B6F1F"/>
    <w:multiLevelType w:val="hybridMultilevel"/>
    <w:tmpl w:val="78AE2F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41962"/>
    <w:multiLevelType w:val="hybridMultilevel"/>
    <w:tmpl w:val="944472A0"/>
    <w:lvl w:ilvl="0" w:tplc="B6CAF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14"/>
  </w:num>
  <w:num w:numId="8">
    <w:abstractNumId w:val="6"/>
  </w:num>
  <w:num w:numId="9">
    <w:abstractNumId w:val="5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4A4"/>
    <w:rsid w:val="000017EF"/>
    <w:rsid w:val="00001FF5"/>
    <w:rsid w:val="000055DA"/>
    <w:rsid w:val="00011C3C"/>
    <w:rsid w:val="0001211F"/>
    <w:rsid w:val="00022A9F"/>
    <w:rsid w:val="00022D83"/>
    <w:rsid w:val="00023BB4"/>
    <w:rsid w:val="000308DC"/>
    <w:rsid w:val="00030B32"/>
    <w:rsid w:val="00034B62"/>
    <w:rsid w:val="00035AD9"/>
    <w:rsid w:val="00041827"/>
    <w:rsid w:val="00042729"/>
    <w:rsid w:val="00050619"/>
    <w:rsid w:val="00050D76"/>
    <w:rsid w:val="000528AE"/>
    <w:rsid w:val="00054DB3"/>
    <w:rsid w:val="00060F59"/>
    <w:rsid w:val="0006301E"/>
    <w:rsid w:val="00063A5B"/>
    <w:rsid w:val="000653ED"/>
    <w:rsid w:val="00067ABE"/>
    <w:rsid w:val="00070952"/>
    <w:rsid w:val="00071D0E"/>
    <w:rsid w:val="00073E4F"/>
    <w:rsid w:val="00073E64"/>
    <w:rsid w:val="000749E9"/>
    <w:rsid w:val="00074DE4"/>
    <w:rsid w:val="0008022A"/>
    <w:rsid w:val="00081762"/>
    <w:rsid w:val="000818C9"/>
    <w:rsid w:val="00082DB2"/>
    <w:rsid w:val="00083C7B"/>
    <w:rsid w:val="00084A7F"/>
    <w:rsid w:val="000850B5"/>
    <w:rsid w:val="0009135E"/>
    <w:rsid w:val="000922AA"/>
    <w:rsid w:val="000926F4"/>
    <w:rsid w:val="00093A57"/>
    <w:rsid w:val="000944C5"/>
    <w:rsid w:val="000945C7"/>
    <w:rsid w:val="000A44E8"/>
    <w:rsid w:val="000A5F40"/>
    <w:rsid w:val="000B03A9"/>
    <w:rsid w:val="000B0C45"/>
    <w:rsid w:val="000B1A32"/>
    <w:rsid w:val="000B28A9"/>
    <w:rsid w:val="000B7EAD"/>
    <w:rsid w:val="000C1171"/>
    <w:rsid w:val="000C5A47"/>
    <w:rsid w:val="000C61B5"/>
    <w:rsid w:val="000C687B"/>
    <w:rsid w:val="000C6A63"/>
    <w:rsid w:val="000D0B57"/>
    <w:rsid w:val="000D107D"/>
    <w:rsid w:val="000D302B"/>
    <w:rsid w:val="000D4F74"/>
    <w:rsid w:val="000E061F"/>
    <w:rsid w:val="000E3A4C"/>
    <w:rsid w:val="000E6219"/>
    <w:rsid w:val="000E681B"/>
    <w:rsid w:val="000E73EC"/>
    <w:rsid w:val="000F0D2B"/>
    <w:rsid w:val="000F2FB1"/>
    <w:rsid w:val="000F4126"/>
    <w:rsid w:val="001001F5"/>
    <w:rsid w:val="001026C5"/>
    <w:rsid w:val="001034A0"/>
    <w:rsid w:val="00107636"/>
    <w:rsid w:val="001137BB"/>
    <w:rsid w:val="00114206"/>
    <w:rsid w:val="001209EA"/>
    <w:rsid w:val="00121F90"/>
    <w:rsid w:val="00123E43"/>
    <w:rsid w:val="001250F2"/>
    <w:rsid w:val="00126AC9"/>
    <w:rsid w:val="00131C7E"/>
    <w:rsid w:val="0013572C"/>
    <w:rsid w:val="00137AF0"/>
    <w:rsid w:val="00140C5C"/>
    <w:rsid w:val="0014129E"/>
    <w:rsid w:val="00144C6D"/>
    <w:rsid w:val="00150FB1"/>
    <w:rsid w:val="001520AA"/>
    <w:rsid w:val="00152BA2"/>
    <w:rsid w:val="00157668"/>
    <w:rsid w:val="00157EE9"/>
    <w:rsid w:val="00160148"/>
    <w:rsid w:val="0016150C"/>
    <w:rsid w:val="001670F5"/>
    <w:rsid w:val="00167DAE"/>
    <w:rsid w:val="00171277"/>
    <w:rsid w:val="00172631"/>
    <w:rsid w:val="00176803"/>
    <w:rsid w:val="00176A01"/>
    <w:rsid w:val="0018245D"/>
    <w:rsid w:val="00194FEE"/>
    <w:rsid w:val="001A0567"/>
    <w:rsid w:val="001A22F9"/>
    <w:rsid w:val="001A5269"/>
    <w:rsid w:val="001B0789"/>
    <w:rsid w:val="001B692F"/>
    <w:rsid w:val="001B6B03"/>
    <w:rsid w:val="001B7EBA"/>
    <w:rsid w:val="001C4C1B"/>
    <w:rsid w:val="001C5AC3"/>
    <w:rsid w:val="001C7D55"/>
    <w:rsid w:val="001D242A"/>
    <w:rsid w:val="001D2BDB"/>
    <w:rsid w:val="001D3B49"/>
    <w:rsid w:val="001D3DEF"/>
    <w:rsid w:val="001D617C"/>
    <w:rsid w:val="001D6AE3"/>
    <w:rsid w:val="001E00DE"/>
    <w:rsid w:val="001E3774"/>
    <w:rsid w:val="001E51BF"/>
    <w:rsid w:val="001E6406"/>
    <w:rsid w:val="001F519E"/>
    <w:rsid w:val="001F58EF"/>
    <w:rsid w:val="00203F08"/>
    <w:rsid w:val="002057E8"/>
    <w:rsid w:val="0021095B"/>
    <w:rsid w:val="00213660"/>
    <w:rsid w:val="00214588"/>
    <w:rsid w:val="00217CA2"/>
    <w:rsid w:val="00221CA0"/>
    <w:rsid w:val="00222343"/>
    <w:rsid w:val="0022558D"/>
    <w:rsid w:val="002271B4"/>
    <w:rsid w:val="00235257"/>
    <w:rsid w:val="00241A77"/>
    <w:rsid w:val="00241CC9"/>
    <w:rsid w:val="00242E8A"/>
    <w:rsid w:val="00245BD8"/>
    <w:rsid w:val="002565B6"/>
    <w:rsid w:val="00260290"/>
    <w:rsid w:val="00260630"/>
    <w:rsid w:val="00261775"/>
    <w:rsid w:val="002622B1"/>
    <w:rsid w:val="0026301C"/>
    <w:rsid w:val="0026585D"/>
    <w:rsid w:val="00272F39"/>
    <w:rsid w:val="0027500D"/>
    <w:rsid w:val="0027790C"/>
    <w:rsid w:val="00287179"/>
    <w:rsid w:val="0028755F"/>
    <w:rsid w:val="00287608"/>
    <w:rsid w:val="002913FE"/>
    <w:rsid w:val="00293238"/>
    <w:rsid w:val="002957D1"/>
    <w:rsid w:val="00295FAE"/>
    <w:rsid w:val="002A0771"/>
    <w:rsid w:val="002A1667"/>
    <w:rsid w:val="002A1AE6"/>
    <w:rsid w:val="002A2606"/>
    <w:rsid w:val="002B1C28"/>
    <w:rsid w:val="002B1EA4"/>
    <w:rsid w:val="002B271C"/>
    <w:rsid w:val="002B3D10"/>
    <w:rsid w:val="002B62E8"/>
    <w:rsid w:val="002C31CB"/>
    <w:rsid w:val="002C7294"/>
    <w:rsid w:val="002C75D5"/>
    <w:rsid w:val="002C789E"/>
    <w:rsid w:val="002D1707"/>
    <w:rsid w:val="002D3FF9"/>
    <w:rsid w:val="002D6A01"/>
    <w:rsid w:val="002E0D27"/>
    <w:rsid w:val="002E1921"/>
    <w:rsid w:val="002E392D"/>
    <w:rsid w:val="002E71F4"/>
    <w:rsid w:val="002F3E6F"/>
    <w:rsid w:val="0030226D"/>
    <w:rsid w:val="00302ADD"/>
    <w:rsid w:val="00303540"/>
    <w:rsid w:val="00303DF1"/>
    <w:rsid w:val="003116B1"/>
    <w:rsid w:val="00320EDE"/>
    <w:rsid w:val="00321577"/>
    <w:rsid w:val="00327EB9"/>
    <w:rsid w:val="00331336"/>
    <w:rsid w:val="00332BB3"/>
    <w:rsid w:val="00335DF7"/>
    <w:rsid w:val="00342CFB"/>
    <w:rsid w:val="003458A6"/>
    <w:rsid w:val="00356EF0"/>
    <w:rsid w:val="0035709D"/>
    <w:rsid w:val="00357D98"/>
    <w:rsid w:val="0036242D"/>
    <w:rsid w:val="00364075"/>
    <w:rsid w:val="00364770"/>
    <w:rsid w:val="00367573"/>
    <w:rsid w:val="00367CBF"/>
    <w:rsid w:val="00370D38"/>
    <w:rsid w:val="00372664"/>
    <w:rsid w:val="0037362F"/>
    <w:rsid w:val="00373F5F"/>
    <w:rsid w:val="003755C0"/>
    <w:rsid w:val="00375BC1"/>
    <w:rsid w:val="00382308"/>
    <w:rsid w:val="0038652C"/>
    <w:rsid w:val="0038694C"/>
    <w:rsid w:val="003878F3"/>
    <w:rsid w:val="00390E4F"/>
    <w:rsid w:val="00391AB5"/>
    <w:rsid w:val="00392DF6"/>
    <w:rsid w:val="003937D4"/>
    <w:rsid w:val="003A2396"/>
    <w:rsid w:val="003A487B"/>
    <w:rsid w:val="003B494A"/>
    <w:rsid w:val="003B7E17"/>
    <w:rsid w:val="003C22EE"/>
    <w:rsid w:val="003C27D3"/>
    <w:rsid w:val="003C2BC6"/>
    <w:rsid w:val="003C7576"/>
    <w:rsid w:val="003D4AE4"/>
    <w:rsid w:val="003E3B27"/>
    <w:rsid w:val="003E7D47"/>
    <w:rsid w:val="003F6490"/>
    <w:rsid w:val="003F744A"/>
    <w:rsid w:val="00402228"/>
    <w:rsid w:val="00403312"/>
    <w:rsid w:val="00415075"/>
    <w:rsid w:val="00415117"/>
    <w:rsid w:val="0041674A"/>
    <w:rsid w:val="00420C5D"/>
    <w:rsid w:val="004223C0"/>
    <w:rsid w:val="00433DA0"/>
    <w:rsid w:val="00436280"/>
    <w:rsid w:val="00445B9F"/>
    <w:rsid w:val="004466CE"/>
    <w:rsid w:val="0045125D"/>
    <w:rsid w:val="00451DE8"/>
    <w:rsid w:val="0045255B"/>
    <w:rsid w:val="00454A8F"/>
    <w:rsid w:val="0046243E"/>
    <w:rsid w:val="00467D8D"/>
    <w:rsid w:val="004752F7"/>
    <w:rsid w:val="004839C2"/>
    <w:rsid w:val="00491086"/>
    <w:rsid w:val="00491E35"/>
    <w:rsid w:val="004929A1"/>
    <w:rsid w:val="004A07FF"/>
    <w:rsid w:val="004A3042"/>
    <w:rsid w:val="004A36BF"/>
    <w:rsid w:val="004A46FF"/>
    <w:rsid w:val="004B11AE"/>
    <w:rsid w:val="004B2A6F"/>
    <w:rsid w:val="004B4FAF"/>
    <w:rsid w:val="004B558A"/>
    <w:rsid w:val="004B6B8D"/>
    <w:rsid w:val="004B77B4"/>
    <w:rsid w:val="004C427A"/>
    <w:rsid w:val="004C79C6"/>
    <w:rsid w:val="004D27FE"/>
    <w:rsid w:val="004D604F"/>
    <w:rsid w:val="004E1B3F"/>
    <w:rsid w:val="004E1F6D"/>
    <w:rsid w:val="004E2EBF"/>
    <w:rsid w:val="004E3337"/>
    <w:rsid w:val="004E5460"/>
    <w:rsid w:val="004E7365"/>
    <w:rsid w:val="004F08E9"/>
    <w:rsid w:val="004F3D6F"/>
    <w:rsid w:val="004F4673"/>
    <w:rsid w:val="004F52B8"/>
    <w:rsid w:val="004F6A84"/>
    <w:rsid w:val="004F7F40"/>
    <w:rsid w:val="00501E2F"/>
    <w:rsid w:val="00521611"/>
    <w:rsid w:val="00521C16"/>
    <w:rsid w:val="00522076"/>
    <w:rsid w:val="00531BA3"/>
    <w:rsid w:val="00531C15"/>
    <w:rsid w:val="005325E6"/>
    <w:rsid w:val="0053329E"/>
    <w:rsid w:val="00536AEF"/>
    <w:rsid w:val="005373C1"/>
    <w:rsid w:val="00537A1E"/>
    <w:rsid w:val="00542238"/>
    <w:rsid w:val="0055067F"/>
    <w:rsid w:val="00552D64"/>
    <w:rsid w:val="00552E8D"/>
    <w:rsid w:val="00554A9D"/>
    <w:rsid w:val="00560733"/>
    <w:rsid w:val="00564525"/>
    <w:rsid w:val="005665FC"/>
    <w:rsid w:val="0056752F"/>
    <w:rsid w:val="0057015F"/>
    <w:rsid w:val="00572EEE"/>
    <w:rsid w:val="00576E21"/>
    <w:rsid w:val="0058086C"/>
    <w:rsid w:val="005809B2"/>
    <w:rsid w:val="005813A2"/>
    <w:rsid w:val="00583BB7"/>
    <w:rsid w:val="00591786"/>
    <w:rsid w:val="00595EDC"/>
    <w:rsid w:val="005A3CAE"/>
    <w:rsid w:val="005A53D3"/>
    <w:rsid w:val="005A572C"/>
    <w:rsid w:val="005B4D83"/>
    <w:rsid w:val="005C07B6"/>
    <w:rsid w:val="005C0AC7"/>
    <w:rsid w:val="005C246D"/>
    <w:rsid w:val="005C3424"/>
    <w:rsid w:val="005D1CD4"/>
    <w:rsid w:val="005D2465"/>
    <w:rsid w:val="005D51CF"/>
    <w:rsid w:val="005D59E8"/>
    <w:rsid w:val="005E242A"/>
    <w:rsid w:val="005F6A3A"/>
    <w:rsid w:val="00600DB4"/>
    <w:rsid w:val="0060151E"/>
    <w:rsid w:val="006031C5"/>
    <w:rsid w:val="00603213"/>
    <w:rsid w:val="00603C5E"/>
    <w:rsid w:val="0060794E"/>
    <w:rsid w:val="006104B4"/>
    <w:rsid w:val="00612BA7"/>
    <w:rsid w:val="006159F5"/>
    <w:rsid w:val="00616769"/>
    <w:rsid w:val="00621DA9"/>
    <w:rsid w:val="00622C3F"/>
    <w:rsid w:val="0062355A"/>
    <w:rsid w:val="00631C85"/>
    <w:rsid w:val="00635739"/>
    <w:rsid w:val="00637925"/>
    <w:rsid w:val="00642982"/>
    <w:rsid w:val="00643736"/>
    <w:rsid w:val="00644E4D"/>
    <w:rsid w:val="006476BE"/>
    <w:rsid w:val="00654297"/>
    <w:rsid w:val="00656037"/>
    <w:rsid w:val="00656C01"/>
    <w:rsid w:val="00657E10"/>
    <w:rsid w:val="00662369"/>
    <w:rsid w:val="006632E7"/>
    <w:rsid w:val="006702DD"/>
    <w:rsid w:val="006712A2"/>
    <w:rsid w:val="006715C6"/>
    <w:rsid w:val="00672180"/>
    <w:rsid w:val="00672859"/>
    <w:rsid w:val="00687654"/>
    <w:rsid w:val="00687C4E"/>
    <w:rsid w:val="006913C7"/>
    <w:rsid w:val="006952C6"/>
    <w:rsid w:val="006A5B84"/>
    <w:rsid w:val="006A66B7"/>
    <w:rsid w:val="006B15F6"/>
    <w:rsid w:val="006B1AB2"/>
    <w:rsid w:val="006B1FD3"/>
    <w:rsid w:val="006B6000"/>
    <w:rsid w:val="006B6BA9"/>
    <w:rsid w:val="006B7A86"/>
    <w:rsid w:val="006C0418"/>
    <w:rsid w:val="006C1215"/>
    <w:rsid w:val="006C7262"/>
    <w:rsid w:val="006D07D1"/>
    <w:rsid w:val="006D3594"/>
    <w:rsid w:val="006D393B"/>
    <w:rsid w:val="006D4BD4"/>
    <w:rsid w:val="006E0FFD"/>
    <w:rsid w:val="006E1998"/>
    <w:rsid w:val="006E55D6"/>
    <w:rsid w:val="006E6AE2"/>
    <w:rsid w:val="006E772B"/>
    <w:rsid w:val="006F095D"/>
    <w:rsid w:val="006F1E4C"/>
    <w:rsid w:val="006F2510"/>
    <w:rsid w:val="006F5798"/>
    <w:rsid w:val="006F5A1F"/>
    <w:rsid w:val="006F77C1"/>
    <w:rsid w:val="00701AF8"/>
    <w:rsid w:val="00701BB5"/>
    <w:rsid w:val="00703BFC"/>
    <w:rsid w:val="007041B0"/>
    <w:rsid w:val="00706358"/>
    <w:rsid w:val="007139DC"/>
    <w:rsid w:val="00715E77"/>
    <w:rsid w:val="00720735"/>
    <w:rsid w:val="007238D2"/>
    <w:rsid w:val="00725066"/>
    <w:rsid w:val="00727D20"/>
    <w:rsid w:val="00727EA3"/>
    <w:rsid w:val="00730629"/>
    <w:rsid w:val="00733CD4"/>
    <w:rsid w:val="007340A5"/>
    <w:rsid w:val="007513AF"/>
    <w:rsid w:val="00751F8D"/>
    <w:rsid w:val="00755D47"/>
    <w:rsid w:val="00762CD4"/>
    <w:rsid w:val="007639EC"/>
    <w:rsid w:val="00767D5C"/>
    <w:rsid w:val="00771566"/>
    <w:rsid w:val="0077725E"/>
    <w:rsid w:val="007818A3"/>
    <w:rsid w:val="00785E68"/>
    <w:rsid w:val="007922E1"/>
    <w:rsid w:val="00792B73"/>
    <w:rsid w:val="00794C68"/>
    <w:rsid w:val="00797DAA"/>
    <w:rsid w:val="007A1A88"/>
    <w:rsid w:val="007A1DC6"/>
    <w:rsid w:val="007A5771"/>
    <w:rsid w:val="007A787F"/>
    <w:rsid w:val="007B1B02"/>
    <w:rsid w:val="007B2336"/>
    <w:rsid w:val="007B4219"/>
    <w:rsid w:val="007B54FC"/>
    <w:rsid w:val="007B6923"/>
    <w:rsid w:val="007C4698"/>
    <w:rsid w:val="007D4318"/>
    <w:rsid w:val="007D63B9"/>
    <w:rsid w:val="007D68A9"/>
    <w:rsid w:val="007E11D8"/>
    <w:rsid w:val="007E4FDE"/>
    <w:rsid w:val="007E7404"/>
    <w:rsid w:val="007E7941"/>
    <w:rsid w:val="007E7B9D"/>
    <w:rsid w:val="007E7FE5"/>
    <w:rsid w:val="007F0767"/>
    <w:rsid w:val="007F0D09"/>
    <w:rsid w:val="007F2288"/>
    <w:rsid w:val="007F342D"/>
    <w:rsid w:val="007F3D11"/>
    <w:rsid w:val="007F40B0"/>
    <w:rsid w:val="007F58FA"/>
    <w:rsid w:val="007F5B77"/>
    <w:rsid w:val="007F5C9E"/>
    <w:rsid w:val="00800F9C"/>
    <w:rsid w:val="00806265"/>
    <w:rsid w:val="008110E2"/>
    <w:rsid w:val="00816092"/>
    <w:rsid w:val="00816371"/>
    <w:rsid w:val="00816C40"/>
    <w:rsid w:val="00820A65"/>
    <w:rsid w:val="0082321A"/>
    <w:rsid w:val="00823776"/>
    <w:rsid w:val="00823B2F"/>
    <w:rsid w:val="00825D03"/>
    <w:rsid w:val="00827B4B"/>
    <w:rsid w:val="0083299A"/>
    <w:rsid w:val="00834280"/>
    <w:rsid w:val="0083508D"/>
    <w:rsid w:val="008365FD"/>
    <w:rsid w:val="00841135"/>
    <w:rsid w:val="00841B92"/>
    <w:rsid w:val="008446D2"/>
    <w:rsid w:val="008527F4"/>
    <w:rsid w:val="00853197"/>
    <w:rsid w:val="00854BBF"/>
    <w:rsid w:val="00855692"/>
    <w:rsid w:val="00855EDF"/>
    <w:rsid w:val="0086458F"/>
    <w:rsid w:val="008647AC"/>
    <w:rsid w:val="00880D05"/>
    <w:rsid w:val="0088119B"/>
    <w:rsid w:val="008867E7"/>
    <w:rsid w:val="00887F0E"/>
    <w:rsid w:val="008909EE"/>
    <w:rsid w:val="00892F78"/>
    <w:rsid w:val="008942EC"/>
    <w:rsid w:val="008946B5"/>
    <w:rsid w:val="00895669"/>
    <w:rsid w:val="008972E4"/>
    <w:rsid w:val="008A01E7"/>
    <w:rsid w:val="008A3621"/>
    <w:rsid w:val="008A393D"/>
    <w:rsid w:val="008A5593"/>
    <w:rsid w:val="008A5F7F"/>
    <w:rsid w:val="008B0B75"/>
    <w:rsid w:val="008B2BFE"/>
    <w:rsid w:val="008B6174"/>
    <w:rsid w:val="008C3BAC"/>
    <w:rsid w:val="008C4A67"/>
    <w:rsid w:val="008C4E05"/>
    <w:rsid w:val="008C7779"/>
    <w:rsid w:val="008C7865"/>
    <w:rsid w:val="008C7D17"/>
    <w:rsid w:val="008D14BB"/>
    <w:rsid w:val="008D29F0"/>
    <w:rsid w:val="008D4261"/>
    <w:rsid w:val="008D7685"/>
    <w:rsid w:val="008E51CA"/>
    <w:rsid w:val="008E6999"/>
    <w:rsid w:val="008F6FA9"/>
    <w:rsid w:val="00901B6B"/>
    <w:rsid w:val="009128D7"/>
    <w:rsid w:val="009145D5"/>
    <w:rsid w:val="00916803"/>
    <w:rsid w:val="00916B0E"/>
    <w:rsid w:val="00917140"/>
    <w:rsid w:val="009244C8"/>
    <w:rsid w:val="009271BC"/>
    <w:rsid w:val="009315AF"/>
    <w:rsid w:val="00933882"/>
    <w:rsid w:val="0093461A"/>
    <w:rsid w:val="00934DBD"/>
    <w:rsid w:val="0093651A"/>
    <w:rsid w:val="00951D94"/>
    <w:rsid w:val="00952072"/>
    <w:rsid w:val="00956A5A"/>
    <w:rsid w:val="009626A8"/>
    <w:rsid w:val="00963D0A"/>
    <w:rsid w:val="009646D4"/>
    <w:rsid w:val="0096505B"/>
    <w:rsid w:val="0096658D"/>
    <w:rsid w:val="00966E65"/>
    <w:rsid w:val="0096744A"/>
    <w:rsid w:val="009675AE"/>
    <w:rsid w:val="009720A9"/>
    <w:rsid w:val="00981E9E"/>
    <w:rsid w:val="009840C9"/>
    <w:rsid w:val="00984614"/>
    <w:rsid w:val="009857B2"/>
    <w:rsid w:val="009A2547"/>
    <w:rsid w:val="009A2FAF"/>
    <w:rsid w:val="009A3274"/>
    <w:rsid w:val="009A5867"/>
    <w:rsid w:val="009A6EF6"/>
    <w:rsid w:val="009A76D7"/>
    <w:rsid w:val="009B0926"/>
    <w:rsid w:val="009B64B9"/>
    <w:rsid w:val="009B6849"/>
    <w:rsid w:val="009B703D"/>
    <w:rsid w:val="009C0E6C"/>
    <w:rsid w:val="009C1197"/>
    <w:rsid w:val="009C11D3"/>
    <w:rsid w:val="009C4DB8"/>
    <w:rsid w:val="009C66DB"/>
    <w:rsid w:val="009C78F4"/>
    <w:rsid w:val="009D488F"/>
    <w:rsid w:val="009D4C53"/>
    <w:rsid w:val="009D6F87"/>
    <w:rsid w:val="009E4234"/>
    <w:rsid w:val="009E4313"/>
    <w:rsid w:val="009E5FD6"/>
    <w:rsid w:val="009E6993"/>
    <w:rsid w:val="009F1E3A"/>
    <w:rsid w:val="009F3D0F"/>
    <w:rsid w:val="009F4018"/>
    <w:rsid w:val="009F7C81"/>
    <w:rsid w:val="00A00F83"/>
    <w:rsid w:val="00A01A53"/>
    <w:rsid w:val="00A02313"/>
    <w:rsid w:val="00A10545"/>
    <w:rsid w:val="00A11988"/>
    <w:rsid w:val="00A12477"/>
    <w:rsid w:val="00A126C7"/>
    <w:rsid w:val="00A12844"/>
    <w:rsid w:val="00A15EAC"/>
    <w:rsid w:val="00A2201D"/>
    <w:rsid w:val="00A22722"/>
    <w:rsid w:val="00A232B2"/>
    <w:rsid w:val="00A241FC"/>
    <w:rsid w:val="00A26032"/>
    <w:rsid w:val="00A271B3"/>
    <w:rsid w:val="00A27DCB"/>
    <w:rsid w:val="00A303BE"/>
    <w:rsid w:val="00A3784D"/>
    <w:rsid w:val="00A413FD"/>
    <w:rsid w:val="00A41BD1"/>
    <w:rsid w:val="00A466D7"/>
    <w:rsid w:val="00A46925"/>
    <w:rsid w:val="00A525E0"/>
    <w:rsid w:val="00A548C6"/>
    <w:rsid w:val="00A603E5"/>
    <w:rsid w:val="00A62387"/>
    <w:rsid w:val="00A662AA"/>
    <w:rsid w:val="00A72D7E"/>
    <w:rsid w:val="00A76C20"/>
    <w:rsid w:val="00A80B11"/>
    <w:rsid w:val="00A820E1"/>
    <w:rsid w:val="00A83394"/>
    <w:rsid w:val="00A86413"/>
    <w:rsid w:val="00A90F9D"/>
    <w:rsid w:val="00A964C8"/>
    <w:rsid w:val="00AB0914"/>
    <w:rsid w:val="00AB23CA"/>
    <w:rsid w:val="00AB69F2"/>
    <w:rsid w:val="00AB7432"/>
    <w:rsid w:val="00AC1659"/>
    <w:rsid w:val="00AC2F40"/>
    <w:rsid w:val="00AC3064"/>
    <w:rsid w:val="00AC366D"/>
    <w:rsid w:val="00AC36A0"/>
    <w:rsid w:val="00AD2C9E"/>
    <w:rsid w:val="00AD5EE8"/>
    <w:rsid w:val="00AE1A6B"/>
    <w:rsid w:val="00AE24A4"/>
    <w:rsid w:val="00AE785D"/>
    <w:rsid w:val="00AF5B53"/>
    <w:rsid w:val="00AF5EBB"/>
    <w:rsid w:val="00B03586"/>
    <w:rsid w:val="00B06395"/>
    <w:rsid w:val="00B11073"/>
    <w:rsid w:val="00B119F9"/>
    <w:rsid w:val="00B15523"/>
    <w:rsid w:val="00B24DEC"/>
    <w:rsid w:val="00B30E78"/>
    <w:rsid w:val="00B3396D"/>
    <w:rsid w:val="00B408DF"/>
    <w:rsid w:val="00B418D2"/>
    <w:rsid w:val="00B42B1F"/>
    <w:rsid w:val="00B4534C"/>
    <w:rsid w:val="00B5036B"/>
    <w:rsid w:val="00B56BC1"/>
    <w:rsid w:val="00B57347"/>
    <w:rsid w:val="00B57805"/>
    <w:rsid w:val="00B57F81"/>
    <w:rsid w:val="00B62FA1"/>
    <w:rsid w:val="00B7184E"/>
    <w:rsid w:val="00B7606B"/>
    <w:rsid w:val="00B77DEE"/>
    <w:rsid w:val="00B82826"/>
    <w:rsid w:val="00B82C67"/>
    <w:rsid w:val="00B82FCB"/>
    <w:rsid w:val="00B85BDF"/>
    <w:rsid w:val="00B86702"/>
    <w:rsid w:val="00B90091"/>
    <w:rsid w:val="00B923B8"/>
    <w:rsid w:val="00B977C9"/>
    <w:rsid w:val="00BA0A6A"/>
    <w:rsid w:val="00BA2AE8"/>
    <w:rsid w:val="00BA4C3F"/>
    <w:rsid w:val="00BA55BA"/>
    <w:rsid w:val="00BB03F0"/>
    <w:rsid w:val="00BB0EC9"/>
    <w:rsid w:val="00BB1956"/>
    <w:rsid w:val="00BB4289"/>
    <w:rsid w:val="00BB79C1"/>
    <w:rsid w:val="00BC6700"/>
    <w:rsid w:val="00BC6F4A"/>
    <w:rsid w:val="00BD04CA"/>
    <w:rsid w:val="00BD3B2D"/>
    <w:rsid w:val="00BD4474"/>
    <w:rsid w:val="00BD4AB9"/>
    <w:rsid w:val="00BD6B8A"/>
    <w:rsid w:val="00BE044D"/>
    <w:rsid w:val="00BE1B40"/>
    <w:rsid w:val="00BE3F0C"/>
    <w:rsid w:val="00BE45FA"/>
    <w:rsid w:val="00BE6706"/>
    <w:rsid w:val="00BE72DB"/>
    <w:rsid w:val="00BE7DEA"/>
    <w:rsid w:val="00BF13E9"/>
    <w:rsid w:val="00BF297B"/>
    <w:rsid w:val="00BF44D8"/>
    <w:rsid w:val="00BF65F9"/>
    <w:rsid w:val="00BF6ADF"/>
    <w:rsid w:val="00C017AD"/>
    <w:rsid w:val="00C02501"/>
    <w:rsid w:val="00C025BC"/>
    <w:rsid w:val="00C0270D"/>
    <w:rsid w:val="00C06A36"/>
    <w:rsid w:val="00C12223"/>
    <w:rsid w:val="00C12904"/>
    <w:rsid w:val="00C12C48"/>
    <w:rsid w:val="00C13050"/>
    <w:rsid w:val="00C20794"/>
    <w:rsid w:val="00C23108"/>
    <w:rsid w:val="00C23C95"/>
    <w:rsid w:val="00C24B20"/>
    <w:rsid w:val="00C24E15"/>
    <w:rsid w:val="00C260E1"/>
    <w:rsid w:val="00C27CE9"/>
    <w:rsid w:val="00C3289B"/>
    <w:rsid w:val="00C423E3"/>
    <w:rsid w:val="00C44785"/>
    <w:rsid w:val="00C554C9"/>
    <w:rsid w:val="00C557C8"/>
    <w:rsid w:val="00C57D5C"/>
    <w:rsid w:val="00C62770"/>
    <w:rsid w:val="00C628F0"/>
    <w:rsid w:val="00C65218"/>
    <w:rsid w:val="00C661C9"/>
    <w:rsid w:val="00C73EE0"/>
    <w:rsid w:val="00C7458F"/>
    <w:rsid w:val="00C7574C"/>
    <w:rsid w:val="00C81C81"/>
    <w:rsid w:val="00C827C6"/>
    <w:rsid w:val="00C85CBE"/>
    <w:rsid w:val="00C874BE"/>
    <w:rsid w:val="00CA1336"/>
    <w:rsid w:val="00CA3C57"/>
    <w:rsid w:val="00CA4B6B"/>
    <w:rsid w:val="00CA5147"/>
    <w:rsid w:val="00CA57D2"/>
    <w:rsid w:val="00CA6964"/>
    <w:rsid w:val="00CB0F93"/>
    <w:rsid w:val="00CB7366"/>
    <w:rsid w:val="00CC2983"/>
    <w:rsid w:val="00CC2A14"/>
    <w:rsid w:val="00CC55DF"/>
    <w:rsid w:val="00CC584A"/>
    <w:rsid w:val="00CC5B67"/>
    <w:rsid w:val="00CE0CAB"/>
    <w:rsid w:val="00CE4B6B"/>
    <w:rsid w:val="00CE580B"/>
    <w:rsid w:val="00CE69EF"/>
    <w:rsid w:val="00CF1AC7"/>
    <w:rsid w:val="00CF3CAE"/>
    <w:rsid w:val="00CF485F"/>
    <w:rsid w:val="00CF7767"/>
    <w:rsid w:val="00CF7D5E"/>
    <w:rsid w:val="00D016CD"/>
    <w:rsid w:val="00D04062"/>
    <w:rsid w:val="00D07901"/>
    <w:rsid w:val="00D1117F"/>
    <w:rsid w:val="00D126AC"/>
    <w:rsid w:val="00D14062"/>
    <w:rsid w:val="00D20346"/>
    <w:rsid w:val="00D209E9"/>
    <w:rsid w:val="00D22043"/>
    <w:rsid w:val="00D25ED4"/>
    <w:rsid w:val="00D31EC9"/>
    <w:rsid w:val="00D34027"/>
    <w:rsid w:val="00D41952"/>
    <w:rsid w:val="00D4292D"/>
    <w:rsid w:val="00D45370"/>
    <w:rsid w:val="00D54599"/>
    <w:rsid w:val="00D54864"/>
    <w:rsid w:val="00D55797"/>
    <w:rsid w:val="00D64209"/>
    <w:rsid w:val="00D64F5A"/>
    <w:rsid w:val="00D65FB9"/>
    <w:rsid w:val="00D70C52"/>
    <w:rsid w:val="00D71F1C"/>
    <w:rsid w:val="00D726FD"/>
    <w:rsid w:val="00D7394D"/>
    <w:rsid w:val="00D74C9D"/>
    <w:rsid w:val="00D74E96"/>
    <w:rsid w:val="00D75533"/>
    <w:rsid w:val="00D8115F"/>
    <w:rsid w:val="00D878C1"/>
    <w:rsid w:val="00D87BA8"/>
    <w:rsid w:val="00D90732"/>
    <w:rsid w:val="00D92A1F"/>
    <w:rsid w:val="00D93E85"/>
    <w:rsid w:val="00D942EB"/>
    <w:rsid w:val="00D96073"/>
    <w:rsid w:val="00D96368"/>
    <w:rsid w:val="00DA5794"/>
    <w:rsid w:val="00DA5AEB"/>
    <w:rsid w:val="00DB22F2"/>
    <w:rsid w:val="00DB2432"/>
    <w:rsid w:val="00DB7610"/>
    <w:rsid w:val="00DC6049"/>
    <w:rsid w:val="00DD1452"/>
    <w:rsid w:val="00DD15A7"/>
    <w:rsid w:val="00DD1CC4"/>
    <w:rsid w:val="00DD2266"/>
    <w:rsid w:val="00DD3D73"/>
    <w:rsid w:val="00DE04A3"/>
    <w:rsid w:val="00DE1DEB"/>
    <w:rsid w:val="00DE244E"/>
    <w:rsid w:val="00DF0253"/>
    <w:rsid w:val="00DF0C91"/>
    <w:rsid w:val="00DF526D"/>
    <w:rsid w:val="00DF5A63"/>
    <w:rsid w:val="00DF63DE"/>
    <w:rsid w:val="00DF77F7"/>
    <w:rsid w:val="00E00A21"/>
    <w:rsid w:val="00E064D5"/>
    <w:rsid w:val="00E07E54"/>
    <w:rsid w:val="00E1044A"/>
    <w:rsid w:val="00E109FF"/>
    <w:rsid w:val="00E114C6"/>
    <w:rsid w:val="00E25ED3"/>
    <w:rsid w:val="00E27D09"/>
    <w:rsid w:val="00E32D25"/>
    <w:rsid w:val="00E374EA"/>
    <w:rsid w:val="00E43598"/>
    <w:rsid w:val="00E4443E"/>
    <w:rsid w:val="00E47869"/>
    <w:rsid w:val="00E5367E"/>
    <w:rsid w:val="00E5664F"/>
    <w:rsid w:val="00E5741A"/>
    <w:rsid w:val="00E65298"/>
    <w:rsid w:val="00E71581"/>
    <w:rsid w:val="00E7503C"/>
    <w:rsid w:val="00E8062A"/>
    <w:rsid w:val="00E80BC7"/>
    <w:rsid w:val="00E822F2"/>
    <w:rsid w:val="00E913A7"/>
    <w:rsid w:val="00E95207"/>
    <w:rsid w:val="00E95EA9"/>
    <w:rsid w:val="00E967FC"/>
    <w:rsid w:val="00E976CC"/>
    <w:rsid w:val="00EA42EF"/>
    <w:rsid w:val="00EB201D"/>
    <w:rsid w:val="00EB2945"/>
    <w:rsid w:val="00EB3B3D"/>
    <w:rsid w:val="00EB3C78"/>
    <w:rsid w:val="00EB4266"/>
    <w:rsid w:val="00EC350F"/>
    <w:rsid w:val="00EC3923"/>
    <w:rsid w:val="00EC40F3"/>
    <w:rsid w:val="00EC73C1"/>
    <w:rsid w:val="00ED00A3"/>
    <w:rsid w:val="00ED06BD"/>
    <w:rsid w:val="00ED1601"/>
    <w:rsid w:val="00ED5E8B"/>
    <w:rsid w:val="00ED60F9"/>
    <w:rsid w:val="00ED76AC"/>
    <w:rsid w:val="00ED7795"/>
    <w:rsid w:val="00EE0C0A"/>
    <w:rsid w:val="00EE116E"/>
    <w:rsid w:val="00EE1A96"/>
    <w:rsid w:val="00EE2130"/>
    <w:rsid w:val="00EE5694"/>
    <w:rsid w:val="00EE72D4"/>
    <w:rsid w:val="00EF0597"/>
    <w:rsid w:val="00EF10AD"/>
    <w:rsid w:val="00EF42EE"/>
    <w:rsid w:val="00EF5118"/>
    <w:rsid w:val="00F00BE8"/>
    <w:rsid w:val="00F01C59"/>
    <w:rsid w:val="00F026A8"/>
    <w:rsid w:val="00F07660"/>
    <w:rsid w:val="00F1395B"/>
    <w:rsid w:val="00F14196"/>
    <w:rsid w:val="00F22703"/>
    <w:rsid w:val="00F24AE0"/>
    <w:rsid w:val="00F26FFF"/>
    <w:rsid w:val="00F30BE1"/>
    <w:rsid w:val="00F31928"/>
    <w:rsid w:val="00F34F0A"/>
    <w:rsid w:val="00F34F28"/>
    <w:rsid w:val="00F35FF9"/>
    <w:rsid w:val="00F36198"/>
    <w:rsid w:val="00F4566A"/>
    <w:rsid w:val="00F55F98"/>
    <w:rsid w:val="00F56A5A"/>
    <w:rsid w:val="00F5720C"/>
    <w:rsid w:val="00F57985"/>
    <w:rsid w:val="00F60B8B"/>
    <w:rsid w:val="00F60BC0"/>
    <w:rsid w:val="00F62012"/>
    <w:rsid w:val="00F65F5B"/>
    <w:rsid w:val="00F67F31"/>
    <w:rsid w:val="00F74262"/>
    <w:rsid w:val="00F82C25"/>
    <w:rsid w:val="00F8359C"/>
    <w:rsid w:val="00F96038"/>
    <w:rsid w:val="00FA7639"/>
    <w:rsid w:val="00FB272C"/>
    <w:rsid w:val="00FC2A69"/>
    <w:rsid w:val="00FC2B70"/>
    <w:rsid w:val="00FC2C6C"/>
    <w:rsid w:val="00FC512B"/>
    <w:rsid w:val="00FC7B79"/>
    <w:rsid w:val="00FD0F70"/>
    <w:rsid w:val="00FD43F2"/>
    <w:rsid w:val="00FD71B9"/>
    <w:rsid w:val="00FE3836"/>
    <w:rsid w:val="00FE3EC9"/>
    <w:rsid w:val="00FE6967"/>
    <w:rsid w:val="00FE6F6A"/>
    <w:rsid w:val="00FF276B"/>
    <w:rsid w:val="00FF3647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24A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E24A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E24A4"/>
    <w:pPr>
      <w:ind w:left="720"/>
      <w:contextualSpacing/>
    </w:pPr>
  </w:style>
  <w:style w:type="table" w:styleId="ColorfulList-Accent4">
    <w:name w:val="Colorful List Accent 4"/>
    <w:basedOn w:val="TableNormal"/>
    <w:uiPriority w:val="72"/>
    <w:rsid w:val="00AE24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2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A4"/>
    <w:rPr>
      <w:rFonts w:ascii="Tahoma" w:eastAsia="Times New Roman" w:hAnsi="Tahoma" w:cs="Tahoma"/>
      <w:sz w:val="16"/>
      <w:szCs w:val="16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E2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4A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04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1B0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332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4B4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package" Target="embeddings/Microsoft_Office_Excel_Worksheet2.xlsx"/><Relationship Id="rId18" Type="http://schemas.openxmlformats.org/officeDocument/2006/relationships/package" Target="embeddings/Microsoft_Office_Excel_Worksheet4.xlsx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Excel_Worksheet3.xlsx"/><Relationship Id="rId20" Type="http://schemas.openxmlformats.org/officeDocument/2006/relationships/package" Target="embeddings/Microsoft_Office_Excel_Worksheet5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1.xlsx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0A13-7FDD-4913-AB4B-7A193302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6505</Words>
  <Characters>37083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shabi.rexhallari</dc:creator>
  <cp:lastModifiedBy>kimi</cp:lastModifiedBy>
  <cp:revision>2</cp:revision>
  <cp:lastPrinted>2019-10-14T09:38:00Z</cp:lastPrinted>
  <dcterms:created xsi:type="dcterms:W3CDTF">2019-10-31T18:01:00Z</dcterms:created>
  <dcterms:modified xsi:type="dcterms:W3CDTF">2019-10-31T18:01:00Z</dcterms:modified>
</cp:coreProperties>
</file>